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thodology"/>
    <w:p>
      <w:pPr>
        <w:pStyle w:val="Heading1"/>
      </w:pPr>
      <w:r>
        <w:t xml:space="preserve">3. Methodology</w:t>
      </w:r>
    </w:p>
    <w:bookmarkStart w:id="9" w:name="dataset-and-study-sections"/>
    <w:p>
      <w:pPr>
        <w:pStyle w:val="Heading2"/>
      </w:pPr>
      <w:r>
        <w:t xml:space="preserve">3.1 Dataset and Study Sections</w:t>
      </w:r>
    </w:p>
    <w:p>
      <w:pPr>
        <w:pStyle w:val="FirstParagraph"/>
      </w:pPr>
      <w:r>
        <w:t xml:space="preserve">This study draws from the Long-Term Pavement Performance (LTPP) General Pavement Studies (GPS) program, specifically GPS-1 flexible pavement sections monitored continuously between 1989 and 2021. The assembled dataset comprises</w:t>
      </w:r>
      <w:r>
        <w:t xml:space="preserve"> </w:t>
      </w:r>
      <w:r>
        <w:rPr>
          <w:b/>
          <w:bCs/>
        </w:rPr>
        <w:t xml:space="preserve">48 sections across four climate zones</w:t>
      </w:r>
      <w:r>
        <w:t xml:space="preserve"> </w:t>
      </w:r>
      <w:r>
        <w:t xml:space="preserve">— Arizona (22 sections), Georgia (12), Ohio (7), and Ontario (7) — yielding 4,397 source records at 432 raw variables prior to any pre-processing.</w:t>
      </w:r>
    </w:p>
    <w:p>
      <w:pPr>
        <w:pStyle w:val="BodyText"/>
      </w:pPr>
      <w:r>
        <w:t xml:space="preserve">The four regions were selected to produce a purposive climate gradient rather than geographic convenience. Annual freeze index (FI), computed as cumulative degree-days below 0°C, spans a 210× range across the study area: Arizona (mean FI = 5.9, near-arid), Georgia (mean FI = 10.9, wet subtropical), Ohio (mean FI = 316.6, moderate continental freeze), and Ontario (mean FI = 834.9, extreme freeze-thaw). This gradient defines the empirical basis for all climate-transfer tests in Section 3.11.</w:t>
      </w:r>
    </w:p>
    <w:p>
      <w:pPr>
        <w:pStyle w:val="BodyText"/>
      </w:pPr>
      <w:r>
        <w:t xml:space="preserve">Ontario’s seven sections are not climatically homogeneous. They fall into two distinct sub-groups by freeze index that are consequential for the Leave-One-Region-Out sensitivity analysis in Section 3.11.3: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Sub-group</w:t>
            </w:r>
          </w:p>
        </w:tc>
        <w:tc>
          <w:tcPr/>
          <w:p>
            <w:pPr>
              <w:pStyle w:val="Compact"/>
            </w:pPr>
            <w:r>
              <w:t xml:space="preserve">Sections</w:t>
            </w:r>
          </w:p>
        </w:tc>
        <w:tc>
          <w:tcPr/>
          <w:p>
            <w:pPr>
              <w:pStyle w:val="Compact"/>
            </w:pPr>
            <w:r>
              <w:t xml:space="preserve">Mean FI</w:t>
            </w:r>
          </w:p>
        </w:tc>
        <w:tc>
          <w:tcPr/>
          <w:p>
            <w:pPr>
              <w:pStyle w:val="Compact"/>
            </w:pPr>
            <w:r>
              <w:t xml:space="preserve">FI range</w:t>
            </w:r>
          </w:p>
        </w:tc>
      </w:tr>
      <w:tr>
        <w:tc>
          <w:tcPr/>
          <w:p>
            <w:pPr>
              <w:pStyle w:val="Compact"/>
            </w:pPr>
            <w:r>
              <w:t xml:space="preserve">Moderate-high freeze</w:t>
            </w:r>
          </w:p>
        </w:tc>
        <w:tc>
          <w:tcPr/>
          <w:p>
            <w:pPr>
              <w:pStyle w:val="Compact"/>
            </w:pPr>
            <w:r>
              <w:t xml:space="preserve">1620, 1680, 1806</w:t>
            </w:r>
          </w:p>
        </w:tc>
        <w:tc>
          <w:tcPr/>
          <w:p>
            <w:pPr>
              <w:pStyle w:val="Compact"/>
            </w:pPr>
            <w:r>
              <w:t xml:space="preserve">601</w:t>
            </w:r>
          </w:p>
        </w:tc>
        <w:tc>
          <w:tcPr/>
          <w:p>
            <w:pPr>
              <w:pStyle w:val="Compact"/>
            </w:pPr>
            <w:r>
              <w:t xml:space="preserve">322–988</w:t>
            </w:r>
          </w:p>
        </w:tc>
      </w:tr>
      <w:tr>
        <w:tc>
          <w:tcPr/>
          <w:p>
            <w:pPr>
              <w:pStyle w:val="Compact"/>
            </w:pPr>
            <w:r>
              <w:t xml:space="preserve">High freeze</w:t>
            </w:r>
          </w:p>
        </w:tc>
        <w:tc>
          <w:tcPr/>
          <w:p>
            <w:pPr>
              <w:pStyle w:val="Compact"/>
            </w:pPr>
            <w:r>
              <w:t xml:space="preserve">1622</w:t>
            </w:r>
          </w:p>
        </w:tc>
        <w:tc>
          <w:tcPr/>
          <w:p>
            <w:pPr>
              <w:pStyle w:val="Compact"/>
            </w:pPr>
            <w:r>
              <w:t xml:space="preserve">864</w:t>
            </w:r>
          </w:p>
        </w:tc>
        <w:tc>
          <w:tcPr/>
          <w:p>
            <w:pPr>
              <w:pStyle w:val="Compact"/>
            </w:pPr>
            <w:r>
              <w:t xml:space="preserve">554–1,161</w:t>
            </w:r>
          </w:p>
        </w:tc>
      </w:tr>
      <w:tr>
        <w:tc>
          <w:tcPr/>
          <w:p>
            <w:pPr>
              <w:pStyle w:val="Compact"/>
            </w:pPr>
            <w:r>
              <w:t xml:space="preserve">Extreme freeze</w:t>
            </w:r>
          </w:p>
        </w:tc>
        <w:tc>
          <w:tcPr/>
          <w:p>
            <w:pPr>
              <w:pStyle w:val="Compact"/>
            </w:pPr>
            <w:r>
              <w:t xml:space="preserve">903, 960, 961</w:t>
            </w:r>
          </w:p>
        </w:tc>
        <w:tc>
          <w:tcPr/>
          <w:p>
            <w:pPr>
              <w:pStyle w:val="Compact"/>
            </w:pPr>
            <w:r>
              <w:t xml:space="preserve">1,224</w:t>
            </w:r>
          </w:p>
        </w:tc>
        <w:tc>
          <w:tcPr/>
          <w:p>
            <w:pPr>
              <w:pStyle w:val="Compact"/>
            </w:pPr>
            <w:r>
              <w:t xml:space="preserve">805–1,559</w:t>
            </w:r>
          </w:p>
        </w:tc>
      </w:tr>
    </w:tbl>
    <w:p>
      <w:pPr>
        <w:pStyle w:val="BodyText"/>
      </w:pPr>
      <w:r>
        <w:t xml:space="preserve">Three deterioration indicators serve as prediction targets, stored in separate datasets and modeled independently:</w:t>
      </w:r>
    </w:p>
    <w:tbl>
      <w:tblPr>
        <w:tblStyle w:val="Table"/>
        <w:tblW w:type="pct" w:w="5000"/>
        <w:tblLayout w:type="fixed"/>
        <w:tblLook w:firstRow="1" w:lastRow="0" w:firstColumn="0" w:lastColumn="0" w:noHBand="0" w:noVBand="0" w:val="0020"/>
      </w:tblPr>
      <w:tblGrid>
        <w:gridCol w:w="1365"/>
        <w:gridCol w:w="1502"/>
        <w:gridCol w:w="1775"/>
        <w:gridCol w:w="3277"/>
      </w:tblGrid>
      <w:tr>
        <w:trPr>
          <w:tblHeader w:val="on"/>
        </w:trPr>
        <w:tc>
          <w:tcPr/>
          <w:p>
            <w:pPr>
              <w:pStyle w:val="Compact"/>
            </w:pPr>
            <w:r>
              <w:t xml:space="preserve">Priority</w:t>
            </w:r>
          </w:p>
        </w:tc>
        <w:tc>
          <w:tcPr/>
          <w:p>
            <w:pPr>
              <w:pStyle w:val="Compact"/>
            </w:pPr>
            <w:r>
              <w:t xml:space="preserve">Indicator</w:t>
            </w:r>
          </w:p>
        </w:tc>
        <w:tc>
          <w:tcPr/>
          <w:p>
            <w:pPr>
              <w:pStyle w:val="Compact"/>
            </w:pPr>
            <w:r>
              <w:t xml:space="preserve">LTPP column</w:t>
            </w:r>
          </w:p>
        </w:tc>
        <w:tc>
          <w:tcPr/>
          <w:p>
            <w:pPr>
              <w:pStyle w:val="Compact"/>
            </w:pPr>
            <w:r>
              <w:t xml:space="preserve">Non-null source records</w:t>
            </w:r>
          </w:p>
        </w:tc>
      </w:tr>
      <w:tr>
        <w:tc>
          <w:tcPr/>
          <w:p>
            <w:pPr>
              <w:pStyle w:val="Compact"/>
            </w:pPr>
            <w:r>
              <w:t xml:space="preserve">Primary</w:t>
            </w:r>
          </w:p>
        </w:tc>
        <w:tc>
          <w:tcPr/>
          <w:p>
            <w:pPr>
              <w:pStyle w:val="Compact"/>
            </w:pPr>
            <w:r>
              <w:t xml:space="preserve">Mean roughness index, IRI (m/km)</w:t>
            </w:r>
          </w:p>
        </w:tc>
        <w:tc>
          <w:tcPr/>
          <w:p>
            <w:pPr>
              <w:pStyle w:val="Compact"/>
            </w:pPr>
            <w:r>
              <w:rPr>
                <w:rStyle w:val="VerbatimChar"/>
              </w:rPr>
              <w:t xml:space="preserve">IRI_MRI</w:t>
            </w:r>
          </w:p>
        </w:tc>
        <w:tc>
          <w:tcPr/>
          <w:p>
            <w:pPr>
              <w:pStyle w:val="Compact"/>
            </w:pPr>
            <w:r>
              <w:t xml:space="preserve">3,233</w:t>
            </w:r>
          </w:p>
        </w:tc>
      </w:tr>
      <w:tr>
        <w:tc>
          <w:tcPr/>
          <w:p>
            <w:pPr>
              <w:pStyle w:val="Compact"/>
            </w:pPr>
            <w:r>
              <w:t xml:space="preserve">Secondary</w:t>
            </w:r>
          </w:p>
        </w:tc>
        <w:tc>
          <w:tcPr/>
          <w:p>
            <w:pPr>
              <w:pStyle w:val="Compact"/>
            </w:pPr>
            <w:r>
              <w:t xml:space="preserve">Mean left-lane rut depth (mm)</w:t>
            </w:r>
          </w:p>
        </w:tc>
        <w:tc>
          <w:tcPr/>
          <w:p>
            <w:pPr>
              <w:pStyle w:val="Compact"/>
            </w:pPr>
            <w:r>
              <w:rPr>
                <w:rStyle w:val="VerbatimChar"/>
              </w:rPr>
              <w:t xml:space="preserve">RUT_LLH_DEPTH_1_8_MEAN</w:t>
            </w:r>
          </w:p>
        </w:tc>
        <w:tc>
          <w:tcPr/>
          <w:p>
            <w:pPr>
              <w:pStyle w:val="Compact"/>
            </w:pPr>
            <w:r>
              <w:t xml:space="preserve">566</w:t>
            </w:r>
          </w:p>
        </w:tc>
      </w:tr>
      <w:tr>
        <w:tc>
          <w:tcPr/>
          <w:p>
            <w:pPr>
              <w:pStyle w:val="Compact"/>
            </w:pPr>
            <w:r>
              <w:t xml:space="preserve">Secondary</w:t>
            </w:r>
          </w:p>
        </w:tc>
        <w:tc>
          <w:tcPr/>
          <w:p>
            <w:pPr>
              <w:pStyle w:val="Compact"/>
            </w:pPr>
            <w:r>
              <w:t xml:space="preserve">HPMS total cracking extent (% lane area)</w:t>
            </w:r>
          </w:p>
        </w:tc>
        <w:tc>
          <w:tcPr/>
          <w:p>
            <w:pPr>
              <w:pStyle w:val="Compact"/>
            </w:pPr>
            <w:r>
              <w:rPr>
                <w:rStyle w:val="VerbatimChar"/>
              </w:rPr>
              <w:t xml:space="preserve">DIS_HPMS16_CRACKING_PERCENT_AC</w:t>
            </w:r>
          </w:p>
        </w:tc>
        <w:tc>
          <w:tcPr/>
          <w:p>
            <w:pPr>
              <w:pStyle w:val="Compact"/>
            </w:pPr>
            <w:r>
              <w:t xml:space="preserve">378</w:t>
            </w:r>
          </w:p>
        </w:tc>
      </w:tr>
    </w:tbl>
    <w:p>
      <w:pPr>
        <w:pStyle w:val="BodyText"/>
      </w:pPr>
      <w:r>
        <w:t xml:space="preserve">The distress target</w:t>
      </w:r>
      <w:r>
        <w:t xml:space="preserve"> </w:t>
      </w:r>
      <w:r>
        <w:rPr>
          <w:rStyle w:val="VerbatimChar"/>
        </w:rPr>
        <w:t xml:space="preserve">DIS_HPMS16_CRACKING_PERCENT_AC</w:t>
      </w:r>
      <w:r>
        <w:t xml:space="preserve"> </w:t>
      </w:r>
      <w:r>
        <w:t xml:space="preserve">is the HPMS-16 composite cracking indicator, which aggregates alligator, block, longitudinal, and transverse surface cracking into a single percentage of lane area. This composite is selected over mechanism-specific alternatives because it matches agency reporting standards and retains the full 378-record sample. Its composite nature — combining both temperature-sensitive transverse cracking and traffic-driven fatigue cracking — is an explicit scope boundary: the distress model predicts total surface distress extent, not a mechanistically decomposed quantity.</w:t>
      </w:r>
    </w:p>
    <w:p>
      <w:pPr>
        <w:pStyle w:val="BodyText"/>
      </w:pPr>
      <w:r>
        <w:t xml:space="preserve">All 48 sections belong to one of three pavement family types used as imputation strata in Section 3.6:</w:t>
      </w:r>
      <w:r>
        <w:t xml:space="preserve"> </w:t>
      </w:r>
      <w:r>
        <w:rPr>
          <w:b/>
          <w:bCs/>
        </w:rPr>
        <w:t xml:space="preserve">ACUB</w:t>
      </w:r>
      <w:r>
        <w:t xml:space="preserve"> </w:t>
      </w:r>
      <w:r>
        <w:t xml:space="preserve">— asphalt concrete over unbound granular base (2,672 records);</w:t>
      </w:r>
      <w:r>
        <w:t xml:space="preserve"> </w:t>
      </w:r>
      <w:r>
        <w:rPr>
          <w:b/>
          <w:bCs/>
        </w:rPr>
        <w:t xml:space="preserve">ACATB</w:t>
      </w:r>
      <w:r>
        <w:t xml:space="preserve"> </w:t>
      </w:r>
      <w:r>
        <w:t xml:space="preserve">— asphalt concrete over asphalt-treated base (1,218 records);</w:t>
      </w:r>
      <w:r>
        <w:t xml:space="preserve"> </w:t>
      </w:r>
      <w:r>
        <w:rPr>
          <w:b/>
          <w:bCs/>
        </w:rPr>
        <w:t xml:space="preserve">ACTB</w:t>
      </w:r>
      <w:r>
        <w:t xml:space="preserve"> </w:t>
      </w:r>
      <w:r>
        <w:t xml:space="preserve">— asphalt concrete over cement-treated base (448 records).</w:t>
      </w:r>
    </w:p>
    <w:p>
      <w:r>
        <w:pict>
          <v:rect style="width:0;height:1.5pt" o:hralign="center" o:hrstd="t" o:hr="t"/>
        </w:pict>
      </w:r>
    </w:p>
    <w:bookmarkEnd w:id="9"/>
    <w:bookmarkStart w:id="10" w:name="visit-level-aggregation"/>
    <w:p>
      <w:pPr>
        <w:pStyle w:val="Heading2"/>
      </w:pPr>
      <w:r>
        <w:t xml:space="preserve">3.2 Visit-Level Aggregation</w:t>
      </w:r>
    </w:p>
    <w:p>
      <w:pPr>
        <w:pStyle w:val="FirstParagraph"/>
      </w:pPr>
      <w:r>
        <w:t xml:space="preserve">IRI measurements in LTPP are collected at approximately five independent measurement runs per site visit — including left wheel path, right wheel path, center lane, and repeated passes — all recorded on the same observation date. The raw IRI dataset therefore contains 3,233 records representing</w:t>
      </w:r>
      <w:r>
        <w:t xml:space="preserve"> </w:t>
      </w:r>
      <w:r>
        <w:rPr>
          <w:b/>
          <w:bCs/>
        </w:rPr>
        <w:t xml:space="preserve">650 unique visit-dates</w:t>
      </w:r>
      <w:r>
        <w:t xml:space="preserve"> </w:t>
      </w:r>
      <w:r>
        <w:t xml:space="preserve">across 48 sections (mean 4.97 raw records per visit). For all modeling, the IRI dataset is aggregated to visit level before any analysis: for each (section, date) combination, the mean</w:t>
      </w:r>
      <w:r>
        <w:t xml:space="preserve"> </w:t>
      </w:r>
      <w:r>
        <w:rPr>
          <w:rStyle w:val="VerbatimChar"/>
        </w:rPr>
        <w:t xml:space="preserve">IRI_MRI</w:t>
      </w:r>
      <w:r>
        <w:t xml:space="preserve"> </w:t>
      </w:r>
      <w:r>
        <w:t xml:space="preserve">across all runs is taken as the representative observation. All predictor features are constant within a visit by construction. This aggregation reduces the effective IRI sample from 3,233 to</w:t>
      </w:r>
      <w:r>
        <w:t xml:space="preserve"> </w:t>
      </w:r>
      <w:r>
        <w:rPr>
          <w:b/>
          <w:bCs/>
        </w:rPr>
        <w:t xml:space="preserve">650 visit-level observations</w:t>
      </w:r>
      <w:r>
        <w:t xml:space="preserve">, which is the correct sample size for all capacity, power, and confidence interval calculations throughout the study.</w:t>
      </w:r>
    </w:p>
    <w:p>
      <w:pPr>
        <w:pStyle w:val="BodyText"/>
      </w:pPr>
      <w:r>
        <w:t xml:space="preserve">Rutting (566 records) and distress (378 records) do not have multiple runs per visit date and are used as recorded without aggregation.</w:t>
      </w:r>
    </w:p>
    <w:p>
      <w:pPr>
        <w:pStyle w:val="BodyText"/>
      </w:pPr>
      <w:r>
        <w:t xml:space="preserve">The inter-visit gap distribution for IRI, computed after same-day deduplication across 602 consecutive visit pairs, is: median 393 days, mean 519 days, 75th percentile 704 days, 90th percentile 881 days, maximum 2,862 days. This distribution directly governs the target-specific lag window specification in Section 3.8.</w:t>
      </w:r>
    </w:p>
    <w:p>
      <w:r>
        <w:pict>
          <v:rect style="width:0;height:1.5pt" o:hralign="center" o:hrstd="t" o:hr="t"/>
        </w:pict>
      </w:r>
    </w:p>
    <w:bookmarkEnd w:id="10"/>
    <w:bookmarkStart w:id="11" w:name="feature-engineering-and-domain-structure"/>
    <w:p>
      <w:pPr>
        <w:pStyle w:val="Heading2"/>
      </w:pPr>
      <w:r>
        <w:t xml:space="preserve">3.3 Feature Engineering and Domain Structure</w:t>
      </w:r>
    </w:p>
    <w:p>
      <w:pPr>
        <w:pStyle w:val="FirstParagraph"/>
      </w:pPr>
      <w:r>
        <w:t xml:space="preserve">After removing target variables, administrative identifiers, date fields, and sub-indicator duplicates from the 432 source columns, approximately 388 candidate predictor columns remain across four domains.</w:t>
      </w:r>
    </w:p>
    <w:p>
      <w:pPr>
        <w:pStyle w:val="BodyText"/>
      </w:pPr>
      <w:r>
        <w:rPr>
          <w:b/>
          <w:bCs/>
        </w:rPr>
        <w:t xml:space="preserve">Pavement structure domain.</w:t>
      </w:r>
      <w:r>
        <w:t xml:space="preserve"> </w:t>
      </w:r>
      <w:r>
        <w:t xml:space="preserve">Key variables with near-complete coverage (≥ 97%) include:</w:t>
      </w:r>
      <w:r>
        <w:t xml:space="preserve"> </w:t>
      </w:r>
      <w:r>
        <w:rPr>
          <w:rStyle w:val="VerbatimChar"/>
        </w:rPr>
        <w:t xml:space="preserve">LAYER_COUNT_AC</w:t>
      </w:r>
      <w:r>
        <w:t xml:space="preserve"> </w:t>
      </w:r>
      <w:r>
        <w:t xml:space="preserve">(AC layer count),</w:t>
      </w:r>
      <w:r>
        <w:t xml:space="preserve"> </w:t>
      </w:r>
      <w:r>
        <w:rPr>
          <w:rStyle w:val="VerbatimChar"/>
        </w:rPr>
        <w:t xml:space="preserve">LAYER_THICKNESS_AC_MM</w:t>
      </w:r>
      <w:r>
        <w:t xml:space="preserve"> </w:t>
      </w:r>
      <w:r>
        <w:t xml:space="preserve">(total AC thickness),</w:t>
      </w:r>
      <w:r>
        <w:t xml:space="preserve"> </w:t>
      </w:r>
      <w:r>
        <w:rPr>
          <w:rStyle w:val="VerbatimChar"/>
        </w:rPr>
        <w:t xml:space="preserve">AC_REPR_THICKNESS</w:t>
      </w:r>
      <w:r>
        <w:t xml:space="preserve"> </w:t>
      </w:r>
      <w:r>
        <w:t xml:space="preserve">(representative surface layer thickness),</w:t>
      </w:r>
      <w:r>
        <w:t xml:space="preserve"> </w:t>
      </w:r>
      <w:r>
        <w:rPr>
          <w:rStyle w:val="VerbatimChar"/>
        </w:rPr>
        <w:t xml:space="preserve">AC_BSG</w:t>
      </w:r>
      <w:r>
        <w:t xml:space="preserve"> </w:t>
      </w:r>
      <w:r>
        <w:t xml:space="preserve">(bulk specific gravity),</w:t>
      </w:r>
      <w:r>
        <w:t xml:space="preserve"> </w:t>
      </w:r>
      <w:r>
        <w:rPr>
          <w:rStyle w:val="VerbatimChar"/>
        </w:rPr>
        <w:t xml:space="preserve">AC_AIR_VOIDS_AVG_WP</w:t>
      </w:r>
      <w:r>
        <w:t xml:space="preserve"> </w:t>
      </w:r>
      <w:r>
        <w:t xml:space="preserve">(air voids in wheel path),</w:t>
      </w:r>
      <w:r>
        <w:t xml:space="preserve"> </w:t>
      </w:r>
      <w:r>
        <w:rPr>
          <w:rStyle w:val="VerbatimChar"/>
        </w:rPr>
        <w:t xml:space="preserve">AC_ASPHALT_CONTENT_MEAN</w:t>
      </w:r>
      <w:r>
        <w:t xml:space="preserve">, and</w:t>
      </w:r>
      <w:r>
        <w:t xml:space="preserve"> </w:t>
      </w:r>
      <w:r>
        <w:rPr>
          <w:rStyle w:val="VerbatimChar"/>
        </w:rPr>
        <w:t xml:space="preserve">AC_VOIDS_MINERAL_AGGR</w:t>
      </w:r>
      <w:r>
        <w:t xml:space="preserve">. The unbound base resilient modulus</w:t>
      </w:r>
      <w:r>
        <w:t xml:space="preserve"> </w:t>
      </w:r>
      <w:r>
        <w:rPr>
          <w:rStyle w:val="VerbatimChar"/>
        </w:rPr>
        <w:t xml:space="preserve">UB_RESILIENT_MODULUS</w:t>
      </w:r>
      <w:r>
        <w:t xml:space="preserve"> </w:t>
      </w:r>
      <w:r>
        <w:t xml:space="preserve">is available at 64.5% coverage and is retained subject to group-median imputation. Twelve structural columns exceed the 50% missingness threshold and are excluded under the procedure in Section 3.4.</w:t>
      </w:r>
    </w:p>
    <w:p>
      <w:pPr>
        <w:pStyle w:val="BodyText"/>
      </w:pPr>
      <w:r>
        <w:rPr>
          <w:b/>
          <w:bCs/>
        </w:rPr>
        <w:t xml:space="preserve">Traffic domain.</w:t>
      </w:r>
      <w:r>
        <w:t xml:space="preserve"> </w:t>
      </w:r>
      <w:r>
        <w:t xml:space="preserve">Thirty-eight MEPDG axle load distribution factors (</w:t>
      </w:r>
      <w:r>
        <w:rPr>
          <w:rStyle w:val="VerbatimChar"/>
        </w:rPr>
        <w:t xml:space="preserve">TRF_ALDF_MEPDG_LG01</w:t>
      </w:r>
      <w:r>
        <w:t xml:space="preserve"> </w:t>
      </w:r>
      <w:r>
        <w:t xml:space="preserve">through</w:t>
      </w:r>
      <w:r>
        <w:t xml:space="preserve"> </w:t>
      </w:r>
      <w:r>
        <w:rPr>
          <w:rStyle w:val="VerbatimChar"/>
        </w:rPr>
        <w:t xml:space="preserve">TRF_ALDF_MEPDG_LG38</w:t>
      </w:r>
      <w:r>
        <w:t xml:space="preserve">) describe the normalized proportion of traffic in each axle load group and are complete across all records. Annual average daily truck traffic (</w:t>
      </w:r>
      <w:r>
        <w:rPr>
          <w:rStyle w:val="VerbatimChar"/>
        </w:rPr>
        <w:t xml:space="preserve">TRF_TVP_AADTT_FIRST_YEAR_LTPP_LANE</w:t>
      </w:r>
      <w:r>
        <w:t xml:space="preserve">) and vehicle class breakdown trends are available at 98–100% coverage. Five traffic columns exceed the missingness threshold and are excluded. The 38 ALDF columns are expected to form one large collinearity cluster and will be substantially reduced in Section 3.7.</w:t>
      </w:r>
    </w:p>
    <w:p>
      <w:pPr>
        <w:pStyle w:val="BodyText"/>
      </w:pPr>
      <w:r>
        <w:rPr>
          <w:b/>
          <w:bCs/>
        </w:rPr>
        <w:t xml:space="preserve">Climate domain.</w:t>
      </w:r>
      <w:r>
        <w:t xml:space="preserve"> </w:t>
      </w:r>
      <w:r>
        <w:t xml:space="preserve">All climate columns are available at 98.7% coverage and none exceed the missingness threshold. Annual and seasonal decompositions of freeze index, freeze-thaw cycle count, precipitation, evaporation, mean temperature, relative humidity, cloud cover, shortwave radiation, and wind velocity are retained as candidate features. A critical data characteristic governs composite feature construction:</w:t>
      </w:r>
      <w:r>
        <w:t xml:space="preserve"> </w:t>
      </w:r>
      <w:r>
        <w:rPr>
          <w:b/>
          <w:bCs/>
        </w:rPr>
        <w:t xml:space="preserve">32.3% of all observations — 1,213 Arizona records and 206 Georgia records — have</w:t>
      </w:r>
      <w:r>
        <w:rPr>
          <w:b/>
          <w:bCs/>
        </w:rPr>
        <w:t xml:space="preserve"> </w:t>
      </w:r>
      <w:r>
        <w:rPr>
          <w:rStyle w:val="VerbatimChar"/>
          <w:b/>
          <w:bCs/>
        </w:rPr>
        <w:t xml:space="preserve">CLIM_FREEZE_INDEX = 0.0</w:t>
      </w:r>
      <w:r>
        <w:t xml:space="preserve">, reflecting genuinely zero freezing degree-days in warm-climate sections across 19 of the 22 Arizona sections and all 12 Georgia sections.</w:t>
      </w:r>
    </w:p>
    <w:p>
      <w:pPr>
        <w:pStyle w:val="BodyText"/>
      </w:pPr>
      <w:r>
        <w:rPr>
          <w:b/>
          <w:bCs/>
        </w:rPr>
        <w:t xml:space="preserve">Materials and operations domain.</w:t>
      </w:r>
      <w:r>
        <w:t xml:space="preserve"> </w:t>
      </w:r>
      <w:r>
        <w:t xml:space="preserve">Forty-three of 70 candidate columns exceed the 50% missingness threshold and are excluded, primarily detailed creep compliance parameters and subgrade test properties. Retained variables include unbound base gradation parameters, liquid and plastic limits, and AASHTO soil classification.</w:t>
      </w:r>
    </w:p>
    <w:p>
      <w:pPr>
        <w:pStyle w:val="BodyText"/>
      </w:pPr>
      <w:r>
        <w:rPr>
          <w:b/>
          <w:bCs/>
        </w:rPr>
        <w:t xml:space="preserve">Pavement age</w:t>
      </w:r>
      <w:r>
        <w:t xml:space="preserve"> </w:t>
      </w:r>
      <w:r>
        <w:t xml:space="preserve">is derived as a continuous feature from two near-complete fields (98.7% availability each):</w:t>
      </w:r>
    </w:p>
    <w:p>
      <w:pPr>
        <w:pStyle w:val="BodyText"/>
      </w:pPr>
      <m:oMathPara>
        <m:oMathParaPr>
          <m:jc m:val="center"/>
        </m:oMathParaPr>
        <m:oMath>
          <m:r>
            <m:rPr>
              <m:nor/>
              <m:sty m:val="p"/>
            </m:rPr>
            <m:t>AGE_YEARS</m:t>
          </m:r>
          <m:r>
            <m:rPr>
              <m:sty m:val="p"/>
            </m:rPr>
            <m:t>=</m:t>
          </m:r>
          <m:f>
            <m:fPr>
              <m:type m:val="bar"/>
            </m:fPr>
            <m:num>
              <m:r>
                <m:rPr>
                  <m:nor/>
                  <m:sty m:val="p"/>
                </m:rPr>
                <m:t>OBSERVATION_DATE</m:t>
              </m:r>
              <m:r>
                <m:rPr>
                  <m:sty m:val="p"/>
                </m:rPr>
                <m:t>−</m:t>
              </m:r>
              <m:r>
                <m:rPr>
                  <m:nor/>
                  <m:sty m:val="p"/>
                </m:rPr>
                <m:t>CN_ASSIGN_DATE</m:t>
              </m:r>
            </m:num>
            <m:den>
              <m:r>
                <m:t>365.25</m:t>
              </m:r>
            </m:den>
          </m:f>
        </m:oMath>
      </m:oMathPara>
    </w:p>
    <w:p>
      <w:pPr>
        <w:pStyle w:val="FirstParagraph"/>
      </w:pPr>
      <w:r>
        <w:t xml:space="preserve">This variable is the basis for the AASHTO empirical benchmark in Section 3.9.</w:t>
      </w:r>
    </w:p>
    <w:p>
      <w:pPr>
        <w:pStyle w:val="BodyText"/>
      </w:pPr>
      <w:r>
        <w:rPr>
          <w:b/>
          <w:bCs/>
        </w:rPr>
        <w:t xml:space="preserve">Nine physics-based composite features</w:t>
      </w:r>
      <w:r>
        <w:t xml:space="preserve"> </w:t>
      </w:r>
      <w:r>
        <w:t xml:space="preserve">are constructed after domain assembly, with formulas fixed before any data split occurs, and applied equally to all partitions: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Composite feature</w:t>
            </w:r>
          </w:p>
        </w:tc>
        <w:tc>
          <w:tcPr/>
          <w:p>
            <w:pPr>
              <w:pStyle w:val="Compact"/>
            </w:pPr>
            <w:r>
              <w:t xml:space="preserve">Formula</w:t>
            </w:r>
          </w:p>
        </w:tc>
        <w:tc>
          <w:tcPr/>
          <w:p>
            <w:pPr>
              <w:pStyle w:val="Compact"/>
            </w:pPr>
            <w:r>
              <w:t xml:space="preserve">Physical hypothesis encoded</w:t>
            </w:r>
          </w:p>
        </w:tc>
      </w:tr>
      <w:tr>
        <w:tc>
          <w:tcPr/>
          <w:p>
            <w:pPr>
              <w:pStyle w:val="Compact"/>
            </w:pPr>
            <w:r>
              <w:t xml:space="preserve">Wet-freeze compound</w:t>
            </w:r>
          </w:p>
        </w:tc>
        <w:tc>
          <w:tcPr/>
          <w:p>
            <w:pPr>
              <w:pStyle w:val="Compact"/>
            </w:pPr>
            <w:r>
              <w:rPr>
                <w:rStyle w:val="VerbatimChar"/>
              </w:rPr>
              <w:t xml:space="preserve">CLIM_FREEZE_THAW × CLIM_PRECIPITATION</w:t>
            </w:r>
          </w:p>
        </w:tc>
        <w:tc>
          <w:tcPr/>
          <w:p>
            <w:pPr>
              <w:pStyle w:val="Compact"/>
            </w:pPr>
            <w:r>
              <w:t xml:space="preserve">Freeze-thaw cycles amplified by moisture availability</w:t>
            </w:r>
          </w:p>
        </w:tc>
      </w:tr>
      <w:tr>
        <w:tc>
          <w:tcPr/>
          <w:p>
            <w:pPr>
              <w:pStyle w:val="Compact"/>
            </w:pPr>
            <w:r>
              <w:t xml:space="preserve">Structural freeze insulation</w:t>
            </w:r>
          </w:p>
        </w:tc>
        <w:tc>
          <w:tcPr/>
          <w:p>
            <w:pPr>
              <w:pStyle w:val="Compact"/>
            </w:pPr>
            <w:r>
              <w:rPr>
                <w:rStyle w:val="VerbatimChar"/>
              </w:rPr>
              <w:t xml:space="preserve">LAYER_THICKNESS_AC_MM × 1/(1 + CLIM_FREEZE_INDEX)</w:t>
            </w:r>
          </w:p>
        </w:tc>
        <w:tc>
          <w:tcPr/>
          <w:p>
            <w:pPr>
              <w:pStyle w:val="Compact"/>
            </w:pPr>
            <w:r>
              <w:t xml:space="preserve">Thicker AC moderates freeze-induced structural damage</w:t>
            </w:r>
          </w:p>
        </w:tc>
      </w:tr>
      <w:tr>
        <w:tc>
          <w:tcPr/>
          <w:p>
            <w:pPr>
              <w:pStyle w:val="Compact"/>
            </w:pPr>
            <w:r>
              <w:t xml:space="preserve">Material freeze susceptibility</w:t>
            </w:r>
          </w:p>
        </w:tc>
        <w:tc>
          <w:tcPr/>
          <w:p>
            <w:pPr>
              <w:pStyle w:val="Compact"/>
            </w:pPr>
            <w:r>
              <w:rPr>
                <w:rStyle w:val="VerbatimChar"/>
              </w:rPr>
              <w:t xml:space="preserve">CLIM_FREEZE_THAW × AC_BSG</w:t>
            </w:r>
          </w:p>
        </w:tc>
        <w:tc>
          <w:tcPr/>
          <w:p>
            <w:pPr>
              <w:pStyle w:val="Compact"/>
            </w:pPr>
            <w:r>
              <w:t xml:space="preserve">Denser mix resists freeze-thaw deterioration</w:t>
            </w:r>
          </w:p>
        </w:tc>
      </w:tr>
      <w:tr>
        <w:tc>
          <w:tcPr/>
          <w:p>
            <w:pPr>
              <w:pStyle w:val="Compact"/>
            </w:pPr>
            <w:r>
              <w:t xml:space="preserve">Cumulative wet-freeze damage</w:t>
            </w:r>
          </w:p>
        </w:tc>
        <w:tc>
          <w:tcPr/>
          <w:p>
            <w:pPr>
              <w:pStyle w:val="Compact"/>
            </w:pPr>
            <w:r>
              <w:rPr>
                <w:rStyle w:val="VerbatimChar"/>
              </w:rPr>
              <w:t xml:space="preserve">CLIM_FREEZE_INDEX × CLIM_PRECIPITATION × AGE_YEARS</w:t>
            </w:r>
          </w:p>
        </w:tc>
        <w:tc>
          <w:tcPr/>
          <w:p>
            <w:pPr>
              <w:pStyle w:val="Compact"/>
            </w:pPr>
            <w:r>
              <w:t xml:space="preserve">Integrated exposure accumulated over service life</w:t>
            </w:r>
          </w:p>
        </w:tc>
      </w:tr>
      <w:tr>
        <w:tc>
          <w:tcPr/>
          <w:p>
            <w:pPr>
              <w:pStyle w:val="Compact"/>
            </w:pPr>
            <w:r>
              <w:t xml:space="preserve">Freeze stress per layer</w:t>
            </w:r>
          </w:p>
        </w:tc>
        <w:tc>
          <w:tcPr/>
          <w:p>
            <w:pPr>
              <w:pStyle w:val="Compact"/>
            </w:pPr>
            <w:r>
              <w:rPr>
                <w:rStyle w:val="VerbatimChar"/>
              </w:rPr>
              <w:t xml:space="preserve">CLIM_FREEZE_INDEX / LAYER_COUNT_AC</w:t>
            </w:r>
          </w:p>
        </w:tc>
        <w:tc>
          <w:tcPr/>
          <w:p>
            <w:pPr>
              <w:pStyle w:val="Compact"/>
            </w:pPr>
            <w:r>
              <w:t xml:space="preserve">Freeze loading distributed across structural layer count</w:t>
            </w:r>
          </w:p>
        </w:tc>
      </w:tr>
      <w:tr>
        <w:tc>
          <w:tcPr/>
          <w:p>
            <w:pPr>
              <w:pStyle w:val="Compact"/>
            </w:pPr>
            <w:r>
              <w:t xml:space="preserve">Traffic-climate interaction</w:t>
            </w:r>
          </w:p>
        </w:tc>
        <w:tc>
          <w:tcPr/>
          <w:p>
            <w:pPr>
              <w:pStyle w:val="Compact"/>
            </w:pPr>
            <w:r>
              <w:rPr>
                <w:rStyle w:val="VerbatimChar"/>
              </w:rPr>
              <w:t xml:space="preserve">TRF_TVP_AADTT_FIRST_YEAR_LTPP_LANE × CLIM_FREEZE_INDEX</w:t>
            </w:r>
          </w:p>
        </w:tc>
        <w:tc>
          <w:tcPr/>
          <w:p>
            <w:pPr>
              <w:pStyle w:val="Compact"/>
            </w:pPr>
            <w:r>
              <w:t xml:space="preserve">Heavy traffic compounded by freeze severity</w:t>
            </w:r>
          </w:p>
        </w:tc>
      </w:tr>
      <w:tr>
        <w:tc>
          <w:tcPr/>
          <w:p>
            <w:pPr>
              <w:pStyle w:val="Compact"/>
            </w:pPr>
            <w:r>
              <w:t xml:space="preserve">Structural adequacy index</w:t>
            </w:r>
          </w:p>
        </w:tc>
        <w:tc>
          <w:tcPr/>
          <w:p>
            <w:pPr>
              <w:pStyle w:val="Compact"/>
            </w:pPr>
            <w:r>
              <w:rPr>
                <w:rStyle w:val="VerbatimChar"/>
              </w:rPr>
              <w:t xml:space="preserve">LAYER_THICKNESS_AC_MM / UB_RESILIENT_MODULUS</w:t>
            </w:r>
          </w:p>
        </w:tc>
        <w:tc>
          <w:tcPr/>
          <w:p>
            <w:pPr>
              <w:pStyle w:val="Compact"/>
            </w:pPr>
            <w:r>
              <w:t xml:space="preserve">AC thickness relative to subgrade support capacity</w:t>
            </w:r>
          </w:p>
        </w:tc>
      </w:tr>
      <w:tr>
        <w:tc>
          <w:tcPr/>
          <w:p>
            <w:pPr>
              <w:pStyle w:val="Compact"/>
            </w:pPr>
            <w:r>
              <w:t xml:space="preserve">Thermal gradient compound</w:t>
            </w:r>
          </w:p>
        </w:tc>
        <w:tc>
          <w:tcPr/>
          <w:p>
            <w:pPr>
              <w:pStyle w:val="Compact"/>
            </w:pPr>
            <w:r>
              <w:rPr>
                <w:rStyle w:val="VerbatimChar"/>
              </w:rPr>
              <w:t xml:space="preserve">(CLIM_TEMP_MEAN_AVG_SUMMER − CLIM_TEMP_MEAN_AVG_WINTER) × CLIM_FREEZE_INDEX</w:t>
            </w:r>
          </w:p>
        </w:tc>
        <w:tc>
          <w:tcPr/>
          <w:p>
            <w:pPr>
              <w:pStyle w:val="Compact"/>
            </w:pPr>
            <w:r>
              <w:t xml:space="preserve">Seasonal thermal amplitude under freeze exposure</w:t>
            </w:r>
          </w:p>
        </w:tc>
      </w:tr>
      <w:tr>
        <w:tc>
          <w:tcPr/>
          <w:p>
            <w:pPr>
              <w:pStyle w:val="Compact"/>
            </w:pPr>
            <w:r>
              <w:t xml:space="preserve">Age-climate compound</w:t>
            </w:r>
          </w:p>
        </w:tc>
        <w:tc>
          <w:tcPr/>
          <w:p>
            <w:pPr>
              <w:pStyle w:val="Compact"/>
            </w:pPr>
            <w:r>
              <w:rPr>
                <w:rStyle w:val="VerbatimChar"/>
              </w:rPr>
              <w:t xml:space="preserve">AGE_YEARS × CLIM_FREEZE_INDEX</w:t>
            </w:r>
          </w:p>
        </w:tc>
        <w:tc>
          <w:tcPr/>
          <w:p>
            <w:pPr>
              <w:pStyle w:val="Compact"/>
            </w:pPr>
            <w:r>
              <w:t xml:space="preserve">Cumulative service age under freeze conditions</w:t>
            </w:r>
          </w:p>
        </w:tc>
      </w:tr>
    </w:tbl>
    <w:p>
      <w:pPr>
        <w:pStyle w:val="BodyText"/>
      </w:pPr>
      <w:r>
        <w:rPr>
          <w:b/>
          <w:bCs/>
        </w:rPr>
        <w:t xml:space="preserve">Critical implementation note — structural freeze insulation composite.</w:t>
      </w:r>
      <w:r>
        <w:t xml:space="preserve"> </w:t>
      </w:r>
      <w:r>
        <w:t xml:space="preserve">The intuitive formulation</w:t>
      </w:r>
      <w:r>
        <w:t xml:space="preserve"> </w:t>
      </w:r>
      <w:r>
        <w:rPr>
          <w:rStyle w:val="VerbatimChar"/>
        </w:rPr>
        <w:t xml:space="preserve">LAYER_THICKNESS_AC_MM ÷ CLIM_FREEZE_INDEX</w:t>
      </w:r>
      <w:r>
        <w:t xml:space="preserve"> </w:t>
      </w:r>
      <w:r>
        <w:t xml:space="preserve">produces division-by-zero for all 1,419 observations where</w:t>
      </w:r>
      <w:r>
        <w:t xml:space="preserve"> </w:t>
      </w:r>
      <w:r>
        <w:rPr>
          <w:rStyle w:val="VerbatimChar"/>
        </w:rPr>
        <w:t xml:space="preserve">CLIM_FREEZE_INDEX = 0.0</w:t>
      </w:r>
      <w:r>
        <w:t xml:space="preserve">. This is not an edge case — it affects 32.3% of all records. The corrected formulation</w:t>
      </w:r>
      <w:r>
        <w:t xml:space="preserve"> </w:t>
      </w:r>
      <w:r>
        <w:rPr>
          <w:rStyle w:val="VerbatimChar"/>
        </w:rPr>
        <w:t xml:space="preserve">LAYER_THICKNESS_AC_MM × 1/(1 + CLIM_FREEZE_INDEX)</w:t>
      </w:r>
      <w:r>
        <w:t xml:space="preserve"> </w:t>
      </w:r>
      <w:r>
        <w:t xml:space="preserve">encodes the same physical hypothesis without computational risk: at FI = 0 the value equals the full layer thickness (no freeze penalty); at Ontario’s mean FI = 834 the value is scaled by a factor of 1/835, reflecting extreme freeze exposure. This transformation is monotone in the physically meaningful direction and requires no floor value or special-case handling.</w:t>
      </w:r>
    </w:p>
    <w:p>
      <w:pPr>
        <w:pStyle w:val="BodyText"/>
      </w:pPr>
      <w:r>
        <w:t xml:space="preserve">These composites are analytical hypotheses. Whether the ensemble models assign them meaningful importance relative to direct measurements is itself a finding that will be evaluated through the SHAP analysis in Section 3.12.</w:t>
      </w:r>
    </w:p>
    <w:p>
      <w:r>
        <w:pict>
          <v:rect style="width:0;height:1.5pt" o:hralign="center" o:hrstd="t" o:hr="t"/>
        </w:pict>
      </w:r>
    </w:p>
    <w:bookmarkEnd w:id="11"/>
    <w:bookmarkStart w:id="12" w:name="missingness-threshold"/>
    <w:p>
      <w:pPr>
        <w:pStyle w:val="Heading2"/>
      </w:pPr>
      <w:r>
        <w:t xml:space="preserve">3.4 Missingness Threshold</w:t>
      </w:r>
    </w:p>
    <w:p>
      <w:pPr>
        <w:pStyle w:val="FirstParagraph"/>
      </w:pPr>
      <w:r>
        <w:t xml:space="preserve">A 50% missingness threshold is applied independently to each target dataset, because the three targets have substantially different observation counts:</w:t>
      </w:r>
    </w:p>
    <w:tbl>
      <w:tblPr>
        <w:tblStyle w:val="Table"/>
        <w:tblW w:type="pct" w:w="5000"/>
        <w:tblLayout w:type="fixed"/>
        <w:tblLook w:firstRow="1" w:lastRow="0" w:firstColumn="0" w:lastColumn="0" w:noHBand="0" w:noVBand="0" w:val="0020"/>
      </w:tblPr>
      <w:tblGrid>
        <w:gridCol w:w="1408"/>
        <w:gridCol w:w="2288"/>
        <w:gridCol w:w="1936"/>
        <w:gridCol w:w="2288"/>
      </w:tblGrid>
      <w:tr>
        <w:trPr>
          <w:tblHeader w:val="on"/>
        </w:trPr>
        <w:tc>
          <w:tcPr/>
          <w:p>
            <w:pPr>
              <w:pStyle w:val="Compact"/>
            </w:pPr>
            <w:r>
              <w:t xml:space="preserve">Target</w:t>
            </w:r>
          </w:p>
        </w:tc>
        <w:tc>
          <w:tcPr/>
          <w:p>
            <w:pPr>
              <w:pStyle w:val="Compact"/>
            </w:pPr>
            <w:r>
              <w:t xml:space="preserve">Observations</w:t>
            </w:r>
          </w:p>
        </w:tc>
        <w:tc>
          <w:tcPr/>
          <w:p>
            <w:pPr>
              <w:pStyle w:val="Compact"/>
            </w:pPr>
            <w:r>
              <w:t xml:space="preserve">Threshold</w:t>
            </w:r>
          </w:p>
        </w:tc>
        <w:tc>
          <w:tcPr/>
          <w:p>
            <w:pPr>
              <w:pStyle w:val="Compact"/>
            </w:pPr>
            <w:r>
              <w:t xml:space="preserve">Implication</w:t>
            </w:r>
          </w:p>
        </w:tc>
      </w:tr>
      <w:tr>
        <w:tc>
          <w:tcPr/>
          <w:p>
            <w:pPr>
              <w:pStyle w:val="Compact"/>
            </w:pPr>
            <w:r>
              <w:t xml:space="preserve">IRI (visit-level)</w:t>
            </w:r>
          </w:p>
        </w:tc>
        <w:tc>
          <w:tcPr/>
          <w:p>
            <w:pPr>
              <w:pStyle w:val="Compact"/>
            </w:pPr>
            <w:r>
              <w:t xml:space="preserve">650</w:t>
            </w:r>
          </w:p>
        </w:tc>
        <w:tc>
          <w:tcPr/>
          <w:p>
            <w:pPr>
              <w:pStyle w:val="Compact"/>
            </w:pPr>
            <w:r>
              <w:t xml:space="preserve">&gt; 325 missing → exclude</w:t>
            </w:r>
          </w:p>
        </w:tc>
        <w:tc>
          <w:tcPr/>
          <w:p>
            <w:pPr>
              <w:pStyle w:val="Compact"/>
            </w:pPr>
            <w:r>
              <w:t xml:space="preserve">Applied across 650 visit-observations</w:t>
            </w:r>
          </w:p>
        </w:tc>
      </w:tr>
      <w:tr>
        <w:tc>
          <w:tcPr/>
          <w:p>
            <w:pPr>
              <w:pStyle w:val="Compact"/>
            </w:pPr>
            <w:r>
              <w:t xml:space="preserve">Rutting</w:t>
            </w:r>
          </w:p>
        </w:tc>
        <w:tc>
          <w:tcPr/>
          <w:p>
            <w:pPr>
              <w:pStyle w:val="Compact"/>
            </w:pPr>
            <w:r>
              <w:t xml:space="preserve">566</w:t>
            </w:r>
          </w:p>
        </w:tc>
        <w:tc>
          <w:tcPr/>
          <w:p>
            <w:pPr>
              <w:pStyle w:val="Compact"/>
            </w:pPr>
            <w:r>
              <w:t xml:space="preserve">&gt; 283 missing → exclude</w:t>
            </w:r>
          </w:p>
        </w:tc>
        <w:tc>
          <w:tcPr/>
          <w:p>
            <w:pPr>
              <w:pStyle w:val="Compact"/>
            </w:pPr>
            <w:r>
              <w:t xml:space="preserve">Materials domain most affected</w:t>
            </w:r>
          </w:p>
        </w:tc>
      </w:tr>
      <w:tr>
        <w:tc>
          <w:tcPr/>
          <w:p>
            <w:pPr>
              <w:pStyle w:val="Compact"/>
            </w:pPr>
            <w:r>
              <w:t xml:space="preserve">Distress</w:t>
            </w:r>
          </w:p>
        </w:tc>
        <w:tc>
          <w:tcPr/>
          <w:p>
            <w:pPr>
              <w:pStyle w:val="Compact"/>
            </w:pPr>
            <w:r>
              <w:t xml:space="preserve">378</w:t>
            </w:r>
          </w:p>
        </w:tc>
        <w:tc>
          <w:tcPr/>
          <w:p>
            <w:pPr>
              <w:pStyle w:val="Compact"/>
            </w:pPr>
            <w:r>
              <w:t xml:space="preserve">&gt; 189 missing → exclude</w:t>
            </w:r>
          </w:p>
        </w:tc>
        <w:tc>
          <w:tcPr/>
          <w:p>
            <w:pPr>
              <w:pStyle w:val="Compact"/>
            </w:pPr>
            <w:r>
              <w:t xml:space="preserve">Most restrictive threshold</w:t>
            </w:r>
          </w:p>
        </w:tc>
      </w:tr>
    </w:tbl>
    <w:p>
      <w:pPr>
        <w:pStyle w:val="BodyText"/>
      </w:pPr>
      <w:r>
        <w:t xml:space="preserve">The threshold is applied at the feature level, not the observation level — no observations are discarded at this stage. After threshold application, approximately 200–220 candidate features are retained per target before collinearity reduction. The retained and excluded feature lists are saved per target as</w:t>
      </w:r>
      <w:r>
        <w:t xml:space="preserve"> </w:t>
      </w:r>
      <w:r>
        <w:rPr>
          <w:rStyle w:val="VerbatimChar"/>
        </w:rPr>
        <w:t xml:space="preserve">features_retained_{target}.txt</w:t>
      </w:r>
      <w:r>
        <w:t xml:space="preserve"> </w:t>
      </w:r>
      <w:r>
        <w:t xml:space="preserve">and</w:t>
      </w:r>
      <w:r>
        <w:t xml:space="preserve"> </w:t>
      </w:r>
      <w:r>
        <w:rPr>
          <w:rStyle w:val="VerbatimChar"/>
        </w:rPr>
        <w:t xml:space="preserve">features_excluded_{target}.txt</w:t>
      </w:r>
      <w:r>
        <w:t xml:space="preserve"> </w:t>
      </w:r>
      <w:r>
        <w:t xml:space="preserve">for supplementary reporting.</w:t>
      </w:r>
    </w:p>
    <w:p>
      <w:r>
        <w:pict>
          <v:rect style="width:0;height:1.5pt" o:hralign="center" o:hrstd="t" o:hr="t"/>
        </w:pict>
      </w:r>
    </w:p>
    <w:bookmarkEnd w:id="12"/>
    <w:bookmarkStart w:id="13" w:name="section-wise-data-partitioning"/>
    <w:p>
      <w:pPr>
        <w:pStyle w:val="Heading2"/>
      </w:pPr>
      <w:r>
        <w:t xml:space="preserve">3.5 Section-Wise Data Partitioning</w:t>
      </w:r>
    </w:p>
    <w:p>
      <w:pPr>
        <w:pStyle w:val="FirstParagraph"/>
      </w:pPr>
      <w:r>
        <w:t xml:space="preserve">Data are partitioned at the</w:t>
      </w:r>
      <w:r>
        <w:t xml:space="preserve"> </w:t>
      </w:r>
      <w:r>
        <w:rPr>
          <w:b/>
          <w:bCs/>
        </w:rPr>
        <w:t xml:space="preserve">section level</w:t>
      </w:r>
      <w:r>
        <w:t xml:space="preserve">: every observation from a given section is assigned to exactly one partition. This eliminates the primary form of leakage in longitudinal pavement ML — if a section’s observations were divided across training and test, the model would encounter future observations of sections it has already learned during training, gaining section-specific temporal patterns that cannot generalize to new infrastructure.</w:t>
      </w:r>
    </w:p>
    <w:p>
      <w:pPr>
        <w:pStyle w:val="BodyText"/>
      </w:pPr>
      <w:r>
        <w:t xml:space="preserve">The 48 sections are allocated with stratification by region to ensure all four climate zones are represented in each partition: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Train</w:t>
            </w:r>
          </w:p>
        </w:tc>
        <w:tc>
          <w:tcPr/>
          <w:p>
            <w:pPr>
              <w:pStyle w:val="Compact"/>
            </w:pPr>
            <w:r>
              <w:t xml:space="preserve">Validation</w:t>
            </w:r>
          </w:p>
        </w:tc>
        <w:tc>
          <w:tcPr/>
          <w:p>
            <w:pPr>
              <w:pStyle w:val="Compact"/>
            </w:pPr>
            <w:r>
              <w:t xml:space="preserve">Test</w:t>
            </w:r>
          </w:p>
        </w:tc>
        <w:tc>
          <w:tcPr/>
          <w:p>
            <w:pPr>
              <w:pStyle w:val="Compact"/>
            </w:pPr>
            <w:r>
              <w:t xml:space="preserve">Total</w:t>
            </w:r>
          </w:p>
        </w:tc>
      </w:tr>
      <w:tr>
        <w:tc>
          <w:tcPr/>
          <w:p>
            <w:pPr>
              <w:pStyle w:val="Compact"/>
            </w:pPr>
            <w:r>
              <w:t xml:space="preserve">Arizona</w:t>
            </w:r>
          </w:p>
        </w:tc>
        <w:tc>
          <w:tcPr/>
          <w:p>
            <w:pPr>
              <w:pStyle w:val="Compact"/>
            </w:pPr>
            <w:r>
              <w:t xml:space="preserve">16</w:t>
            </w:r>
          </w:p>
        </w:tc>
        <w:tc>
          <w:tcPr/>
          <w:p>
            <w:pPr>
              <w:pStyle w:val="Compact"/>
            </w:pPr>
            <w:r>
              <w:t xml:space="preserve">3</w:t>
            </w:r>
          </w:p>
        </w:tc>
        <w:tc>
          <w:tcPr/>
          <w:p>
            <w:pPr>
              <w:pStyle w:val="Compact"/>
            </w:pPr>
            <w:r>
              <w:t xml:space="preserve">3</w:t>
            </w:r>
          </w:p>
        </w:tc>
        <w:tc>
          <w:tcPr/>
          <w:p>
            <w:pPr>
              <w:pStyle w:val="Compact"/>
            </w:pPr>
            <w:r>
              <w:t xml:space="preserve">22</w:t>
            </w:r>
          </w:p>
        </w:tc>
      </w:tr>
      <w:tr>
        <w:tc>
          <w:tcPr/>
          <w:p>
            <w:pPr>
              <w:pStyle w:val="Compact"/>
            </w:pPr>
            <w:r>
              <w:t xml:space="preserve">Georgia</w:t>
            </w:r>
          </w:p>
        </w:tc>
        <w:tc>
          <w:tcPr/>
          <w:p>
            <w:pPr>
              <w:pStyle w:val="Compact"/>
            </w:pPr>
            <w:r>
              <w:t xml:space="preserve">8</w:t>
            </w:r>
          </w:p>
        </w:tc>
        <w:tc>
          <w:tcPr/>
          <w:p>
            <w:pPr>
              <w:pStyle w:val="Compact"/>
            </w:pPr>
            <w:r>
              <w:t xml:space="preserve">2</w:t>
            </w:r>
          </w:p>
        </w:tc>
        <w:tc>
          <w:tcPr/>
          <w:p>
            <w:pPr>
              <w:pStyle w:val="Compact"/>
            </w:pPr>
            <w:r>
              <w:t xml:space="preserve">2</w:t>
            </w:r>
          </w:p>
        </w:tc>
        <w:tc>
          <w:tcPr/>
          <w:p>
            <w:pPr>
              <w:pStyle w:val="Compact"/>
            </w:pPr>
            <w:r>
              <w:t xml:space="preserve">12</w:t>
            </w:r>
          </w:p>
        </w:tc>
      </w:tr>
      <w:tr>
        <w:tc>
          <w:tcPr/>
          <w:p>
            <w:pPr>
              <w:pStyle w:val="Compact"/>
            </w:pPr>
            <w:r>
              <w:t xml:space="preserve">Ohio</w:t>
            </w:r>
          </w:p>
        </w:tc>
        <w:tc>
          <w:tcPr/>
          <w:p>
            <w:pPr>
              <w:pStyle w:val="Compact"/>
            </w:pPr>
            <w:r>
              <w:t xml:space="preserve">5</w:t>
            </w:r>
          </w:p>
        </w:tc>
        <w:tc>
          <w:tcPr/>
          <w:p>
            <w:pPr>
              <w:pStyle w:val="Compact"/>
            </w:pPr>
            <w:r>
              <w:t xml:space="preserve">1</w:t>
            </w:r>
          </w:p>
        </w:tc>
        <w:tc>
          <w:tcPr/>
          <w:p>
            <w:pPr>
              <w:pStyle w:val="Compact"/>
            </w:pPr>
            <w:r>
              <w:t xml:space="preserve">1</w:t>
            </w:r>
          </w:p>
        </w:tc>
        <w:tc>
          <w:tcPr/>
          <w:p>
            <w:pPr>
              <w:pStyle w:val="Compact"/>
            </w:pPr>
            <w:r>
              <w:t xml:space="preserve">7</w:t>
            </w:r>
          </w:p>
        </w:tc>
      </w:tr>
      <w:tr>
        <w:tc>
          <w:tcPr/>
          <w:p>
            <w:pPr>
              <w:pStyle w:val="Compact"/>
            </w:pPr>
            <w:r>
              <w:t xml:space="preserve">Ontario</w:t>
            </w:r>
          </w:p>
        </w:tc>
        <w:tc>
          <w:tcPr/>
          <w:p>
            <w:pPr>
              <w:pStyle w:val="Compact"/>
            </w:pPr>
            <w:r>
              <w:t xml:space="preserve">5</w:t>
            </w:r>
          </w:p>
        </w:tc>
        <w:tc>
          <w:tcPr/>
          <w:p>
            <w:pPr>
              <w:pStyle w:val="Compact"/>
            </w:pPr>
            <w:r>
              <w:t xml:space="preserve">1</w:t>
            </w:r>
          </w:p>
        </w:tc>
        <w:tc>
          <w:tcPr/>
          <w:p>
            <w:pPr>
              <w:pStyle w:val="Compact"/>
            </w:pPr>
            <w:r>
              <w:t xml:space="preserve">1</w:t>
            </w:r>
          </w:p>
        </w:tc>
        <w:tc>
          <w:tcPr/>
          <w:p>
            <w:pPr>
              <w:pStyle w:val="Compact"/>
            </w:pPr>
            <w:r>
              <w:t xml:space="preserve">7</w:t>
            </w:r>
          </w:p>
        </w:tc>
      </w:tr>
      <w:tr>
        <w:tc>
          <w:tcPr/>
          <w:p>
            <w:pPr>
              <w:pStyle w:val="Compact"/>
            </w:pPr>
            <w:r>
              <w:rPr>
                <w:b/>
                <w:bCs/>
              </w:rPr>
              <w:t xml:space="preserve">Total</w:t>
            </w:r>
          </w:p>
        </w:tc>
        <w:tc>
          <w:tcPr/>
          <w:p>
            <w:pPr>
              <w:pStyle w:val="Compact"/>
            </w:pPr>
            <w:r>
              <w:rPr>
                <w:b/>
                <w:bCs/>
              </w:rPr>
              <w:t xml:space="preserve">34</w:t>
            </w:r>
          </w:p>
        </w:tc>
        <w:tc>
          <w:tcPr/>
          <w:p>
            <w:pPr>
              <w:pStyle w:val="Compact"/>
            </w:pPr>
            <w:r>
              <w:rPr>
                <w:b/>
                <w:bCs/>
              </w:rPr>
              <w:t xml:space="preserve">7</w:t>
            </w:r>
          </w:p>
        </w:tc>
        <w:tc>
          <w:tcPr/>
          <w:p>
            <w:pPr>
              <w:pStyle w:val="Compact"/>
            </w:pPr>
            <w:r>
              <w:rPr>
                <w:b/>
                <w:bCs/>
              </w:rPr>
              <w:t xml:space="preserve">7</w:t>
            </w:r>
          </w:p>
        </w:tc>
        <w:tc>
          <w:tcPr/>
          <w:p>
            <w:pPr>
              <w:pStyle w:val="Compact"/>
            </w:pPr>
            <w:r>
              <w:rPr>
                <w:b/>
                <w:bCs/>
              </w:rPr>
              <w:t xml:space="preserve">48</w:t>
            </w:r>
          </w:p>
        </w:tc>
      </w:tr>
    </w:tbl>
    <w:p>
      <w:pPr>
        <w:pStyle w:val="BodyText"/>
      </w:pPr>
      <w:r>
        <w:t xml:space="preserve">The test set (7 sections) is sealed from the moment of partitioning. It is not examined until all modeling decisions — feature set, hyperparameter search space, benchmark specifications, and model architecture — are locked and finalized.</w:t>
      </w:r>
    </w:p>
    <w:p>
      <w:pPr>
        <w:pStyle w:val="BodyText"/>
      </w:pPr>
      <w:r>
        <w:rPr>
          <w:b/>
          <w:bCs/>
        </w:rPr>
        <w:t xml:space="preserve">Execution order.</w:t>
      </w:r>
      <w:r>
        <w:t xml:space="preserve"> </w:t>
      </w:r>
      <w:r>
        <w:t xml:space="preserve">The missingness threshold (Section 3.4) uses only feature-level missingness counts and requires no statistical parameters estimated from the data; it is therefore applied before splitting. All subsequent steps — imputation, scaling, collinearity reduction — are fitted exclusively on training sections and applied to validation and test sections.</w:t>
      </w:r>
    </w:p>
    <w:p>
      <w:r>
        <w:pict>
          <v:rect style="width:0;height:1.5pt" o:hralign="center" o:hrstd="t" o:hr="t"/>
        </w:pict>
      </w:r>
    </w:p>
    <w:bookmarkEnd w:id="13"/>
    <w:bookmarkStart w:id="14" w:name="group-median-imputation-and-scaling"/>
    <w:p>
      <w:pPr>
        <w:pStyle w:val="Heading2"/>
      </w:pPr>
      <w:r>
        <w:t xml:space="preserve">3.6 Group-Median Imputation and Scaling</w:t>
      </w:r>
    </w:p>
    <w:p>
      <w:pPr>
        <w:pStyle w:val="FirstParagraph"/>
      </w:pPr>
      <w:r>
        <w:rPr>
          <w:b/>
          <w:bCs/>
        </w:rPr>
        <w:t xml:space="preserve">Imputation.</w:t>
      </w:r>
      <w:r>
        <w:t xml:space="preserve"> </w:t>
      </w:r>
      <w:r>
        <w:t xml:space="preserve">Remaining missing values after the missingness threshold are filled using group-median imputation stratified by pavement family code (ACUB, ACATB, ACTB). For each family group within the</w:t>
      </w:r>
      <w:r>
        <w:t xml:space="preserve"> </w:t>
      </w:r>
      <w:r>
        <w:rPr>
          <w:b/>
          <w:bCs/>
        </w:rPr>
        <w:t xml:space="preserve">34 training sections</w:t>
      </w:r>
      <w:r>
        <w:t xml:space="preserve">, the column-wise median is computed and stored. This stored value fills all missing entries in that feature-family combination across training, validation, and test sections. No statistics from validation or test sections enter the imputation step. If a validation or test section’s family group has no training representative, the overall training column median is used as fallback.</w:t>
      </w:r>
    </w:p>
    <w:p>
      <w:pPr>
        <w:pStyle w:val="BodyText"/>
      </w:pPr>
      <w:r>
        <w:rPr>
          <w:b/>
          <w:bCs/>
        </w:rPr>
        <w:t xml:space="preserve">Scaling.</w:t>
      </w:r>
      <w:r>
        <w:t xml:space="preserve"> </w:t>
      </w:r>
      <w:r>
        <w:t xml:space="preserve">All continuous features are scaled using StandardScaler (zero mean, unit variance), fitted on training section observations only. MinMaxScaler is explicitly not used. Ontario’s freeze index values (mean 834.9, maximum 1,559) lie an order of magnitude above Arizona’s (mean 5.9, maximum 107). Under min-max normalization, all non-Ontario sections would compress to a narrow region near zero while Ontario sections approach 1.0, effectively encoding regional identity into the scale transformation — contradicting the purpose of testing climate transferability. StandardScaler preserves relative distances without this artifact.</w:t>
      </w:r>
    </w:p>
    <w:p>
      <w:pPr>
        <w:pStyle w:val="BodyText"/>
      </w:pPr>
      <w:r>
        <w:t xml:space="preserve">Fitted imputation medians and scaler parameters are saved alongside each serialized model file. Deploying any model without its matched preprocessing parameters produces incorrect predictions on new data.</w:t>
      </w:r>
    </w:p>
    <w:p>
      <w:r>
        <w:pict>
          <v:rect style="width:0;height:1.5pt" o:hralign="center" o:hrstd="t" o:hr="t"/>
        </w:pict>
      </w:r>
    </w:p>
    <w:bookmarkEnd w:id="14"/>
    <w:bookmarkStart w:id="15" w:name="X198bb95ba5a27700fd16db8f52b4fce1af56815"/>
    <w:p>
      <w:pPr>
        <w:pStyle w:val="Heading2"/>
      </w:pPr>
      <w:r>
        <w:t xml:space="preserve">3.7 Collinearity Reduction via Spearman Hierarchical Clustering</w:t>
      </w:r>
    </w:p>
    <w:p>
      <w:pPr>
        <w:pStyle w:val="FirstParagraph"/>
      </w:pPr>
      <w:r>
        <w:t xml:space="preserve">Spearman rank correlation is used for collinearity detection because it makes no linearity assumption — appropriate given the nonlinear, threshold-exhibiting relationships in pavement deterioration data. The full procedure is applied to the</w:t>
      </w:r>
      <w:r>
        <w:t xml:space="preserve"> </w:t>
      </w:r>
      <w:r>
        <w:rPr>
          <w:b/>
          <w:bCs/>
        </w:rPr>
        <w:t xml:space="preserve">training set only</w:t>
      </w:r>
      <w:r>
        <w:t xml:space="preserve"> </w:t>
      </w:r>
      <w:r>
        <w:t xml:space="preserve">and proceeds as follows:</w:t>
      </w:r>
    </w:p>
    <w:p>
      <w:pPr>
        <w:pStyle w:val="Compact"/>
        <w:numPr>
          <w:ilvl w:val="0"/>
          <w:numId w:val="1001"/>
        </w:numPr>
      </w:pPr>
      <w:r>
        <w:t xml:space="preserve">Compute the pairwise Spearman correlation matrix across all retained features</w:t>
      </w:r>
    </w:p>
    <w:p>
      <w:pPr>
        <w:pStyle w:val="Compact"/>
        <w:numPr>
          <w:ilvl w:val="0"/>
          <w:numId w:val="1001"/>
        </w:numPr>
      </w:pPr>
      <w:r>
        <w:t xml:space="preserve">Convert to a Spearman distance matrix:</w:t>
      </w:r>
      <w:r>
        <w:t xml:space="preserve"> </w:t>
      </w:r>
      <w:r>
        <w:rPr>
          <w:rStyle w:val="VerbatimChar"/>
        </w:rPr>
        <w:t xml:space="preserve">distance = 1 − |ρ|</w:t>
      </w:r>
    </w:p>
    <w:p>
      <w:pPr>
        <w:pStyle w:val="Compact"/>
        <w:numPr>
          <w:ilvl w:val="0"/>
          <w:numId w:val="1001"/>
        </w:numPr>
      </w:pPr>
      <w:r>
        <w:t xml:space="preserve">Apply hierarchical agglomerative clustering with average linkage</w:t>
      </w:r>
    </w:p>
    <w:p>
      <w:pPr>
        <w:pStyle w:val="Compact"/>
        <w:numPr>
          <w:ilvl w:val="0"/>
          <w:numId w:val="1001"/>
        </w:numPr>
      </w:pPr>
      <w:r>
        <w:t xml:space="preserve">Cut the dendrogram at distance threshold</w:t>
      </w:r>
      <w:r>
        <w:t xml:space="preserve"> </w:t>
      </w:r>
      <w:r>
        <w:rPr>
          <w:b/>
          <w:bCs/>
        </w:rPr>
        <w:t xml:space="preserve">0.15</w:t>
      </w:r>
      <w:r>
        <w:t xml:space="preserve">, corresponding to</w:t>
      </w:r>
      <w:r>
        <w:t xml:space="preserve"> </w:t>
      </w:r>
      <w:r>
        <w:rPr>
          <w:rStyle w:val="VerbatimChar"/>
        </w:rPr>
        <w:t xml:space="preserve">|ρ| = 0.85</w:t>
      </w:r>
    </w:p>
    <w:p>
      <w:pPr>
        <w:pStyle w:val="Compact"/>
        <w:numPr>
          <w:ilvl w:val="0"/>
          <w:numId w:val="1001"/>
        </w:numPr>
      </w:pPr>
      <w:r>
        <w:t xml:space="preserve">Within each cluster, retain one representative feature using the following priority order:</w:t>
      </w:r>
    </w:p>
    <w:p>
      <w:pPr>
        <w:pStyle w:val="Compact"/>
        <w:numPr>
          <w:ilvl w:val="1"/>
          <w:numId w:val="1002"/>
        </w:numPr>
      </w:pPr>
      <w:r>
        <w:rPr>
          <w:b/>
          <w:bCs/>
        </w:rPr>
        <w:t xml:space="preserve">(a)</w:t>
      </w:r>
      <w:r>
        <w:t xml:space="preserve"> </w:t>
      </w:r>
      <w:r>
        <w:t xml:space="preserve">Physics-based composite feature</w:t>
      </w:r>
    </w:p>
    <w:p>
      <w:pPr>
        <w:pStyle w:val="Compact"/>
        <w:numPr>
          <w:ilvl w:val="1"/>
          <w:numId w:val="1002"/>
        </w:numPr>
      </w:pPr>
      <w:r>
        <w:rPr>
          <w:b/>
          <w:bCs/>
        </w:rPr>
        <w:t xml:space="preserve">(b)</w:t>
      </w:r>
      <w:r>
        <w:t xml:space="preserve"> </w:t>
      </w:r>
      <w:r>
        <w:t xml:space="preserve">Directly measured structural or climate variable</w:t>
      </w:r>
    </w:p>
    <w:p>
      <w:pPr>
        <w:pStyle w:val="Compact"/>
        <w:numPr>
          <w:ilvl w:val="1"/>
          <w:numId w:val="1002"/>
        </w:numPr>
      </w:pPr>
      <w:r>
        <w:rPr>
          <w:b/>
          <w:bCs/>
        </w:rPr>
        <w:t xml:space="preserve">(c)</w:t>
      </w:r>
      <w:r>
        <w:t xml:space="preserve"> </w:t>
      </w:r>
      <w:r>
        <w:t xml:space="preserve">Derived aggregate (e.g., total thickness from layer summation)</w:t>
      </w:r>
    </w:p>
    <w:p>
      <w:pPr>
        <w:pStyle w:val="Compact"/>
        <w:numPr>
          <w:ilvl w:val="1"/>
          <w:numId w:val="1002"/>
        </w:numPr>
      </w:pPr>
      <w:r>
        <w:rPr>
          <w:b/>
          <w:bCs/>
        </w:rPr>
        <w:t xml:space="preserve">(d)</w:t>
      </w:r>
      <w:r>
        <w:t xml:space="preserve"> </w:t>
      </w:r>
      <w:r>
        <w:t xml:space="preserve">Raw measurement with the fewest missing values</w:t>
      </w:r>
    </w:p>
    <w:p>
      <w:pPr>
        <w:pStyle w:val="Compact"/>
        <w:numPr>
          <w:ilvl w:val="1"/>
          <w:numId w:val="1002"/>
        </w:numPr>
      </w:pPr>
      <w:r>
        <w:rPr>
          <w:b/>
          <w:bCs/>
        </w:rPr>
        <w:t xml:space="preserve">(e) Tiebreaker:</w:t>
      </w:r>
      <w:r>
        <w:t xml:space="preserve"> </w:t>
      </w:r>
      <w:r>
        <w:t xml:space="preserve">when two features share the same priority tier and identical missingness, retain the feature with the highest absolute Spearman rank correlation with the target variable on the training set</w:t>
      </w:r>
    </w:p>
    <w:p>
      <w:pPr>
        <w:pStyle w:val="Compact"/>
        <w:numPr>
          <w:ilvl w:val="0"/>
          <w:numId w:val="1001"/>
        </w:numPr>
      </w:pPr>
      <w:r>
        <w:t xml:space="preserve">Apply the resulting feature selection to validation and test sets — no statistics are re-estimated</w:t>
      </w:r>
    </w:p>
    <w:p>
      <w:pPr>
        <w:pStyle w:val="FirstParagraph"/>
      </w:pPr>
      <w:r>
        <w:t xml:space="preserve">The tiebreaker at step (e) resolves ambiguity in the two largest expected clusters: the 38</w:t>
      </w:r>
      <w:r>
        <w:t xml:space="preserve"> </w:t>
      </w:r>
      <w:r>
        <w:rPr>
          <w:rStyle w:val="VerbatimChar"/>
        </w:rPr>
        <w:t xml:space="preserve">TRF_ALDF_MEPDG_LG</w:t>
      </w:r>
      <w:r>
        <w:t xml:space="preserve"> </w:t>
      </w:r>
      <w:r>
        <w:t xml:space="preserve">columns (contiguous axle load bins, all 100% complete, highly intercorrelated) and the eight freeze-related climate seasonal decompositions (</w:t>
      </w:r>
      <w:r>
        <w:rPr>
          <w:rStyle w:val="VerbatimChar"/>
        </w:rPr>
        <w:t xml:space="preserve">CLIM_FREEZE_INDEX</w:t>
      </w:r>
      <w:r>
        <w:t xml:space="preserve">,</w:t>
      </w:r>
      <w:r>
        <w:t xml:space="preserve"> </w:t>
      </w:r>
      <w:r>
        <w:rPr>
          <w:rStyle w:val="VerbatimChar"/>
        </w:rPr>
        <w:t xml:space="preserve">CLIM_FREEZE_INDEX_FALL/SPRING/WINTER</w:t>
      </w:r>
      <w:r>
        <w:t xml:space="preserve">,</w:t>
      </w:r>
      <w:r>
        <w:t xml:space="preserve"> </w:t>
      </w:r>
      <w:r>
        <w:rPr>
          <w:rStyle w:val="VerbatimChar"/>
        </w:rPr>
        <w:t xml:space="preserve">CLIM_FREEZE_THAW</w:t>
      </w:r>
      <w:r>
        <w:t xml:space="preserve">,</w:t>
      </w:r>
      <w:r>
        <w:t xml:space="preserve"> </w:t>
      </w:r>
      <w:r>
        <w:rPr>
          <w:rStyle w:val="VerbatimChar"/>
        </w:rPr>
        <w:t xml:space="preserve">CLIM_FREEZE_THAW_FALL/SPRING/WINTER</w:t>
      </w:r>
      <w:r>
        <w:t xml:space="preserve">). The tiebreaker is target-aware and reproducible. For freeze columns, the tiebreaker is expected to retain</w:t>
      </w:r>
      <w:r>
        <w:t xml:space="preserve"> </w:t>
      </w:r>
      <w:r>
        <w:rPr>
          <w:rStyle w:val="VerbatimChar"/>
        </w:rPr>
        <w:t xml:space="preserve">CLIM_FREEZE_INDEX_WINTER</w:t>
      </w:r>
      <w:r>
        <w:t xml:space="preserve"> </w:t>
      </w:r>
      <w:r>
        <w:t xml:space="preserve">as the primary predictor for IRI and rutting, reflecting the dominant role of winter frost penetration depth in structural damage accumulation.</w:t>
      </w:r>
    </w:p>
    <w:p>
      <w:pPr>
        <w:pStyle w:val="BodyText"/>
      </w:pPr>
      <w:r>
        <w:t xml:space="preserve">This procedure reduces the feature set to approximately</w:t>
      </w:r>
      <w:r>
        <w:t xml:space="preserve"> </w:t>
      </w:r>
      <w:r>
        <w:rPr>
          <w:b/>
          <w:bCs/>
        </w:rPr>
        <w:t xml:space="preserve">114–118 retained features per target</w:t>
      </w:r>
      <w:r>
        <w:t xml:space="preserve">. The retained and excluded feature lists with cluster assignments are saved per target for supplementary reporting.</w:t>
      </w:r>
    </w:p>
    <w:p>
      <w:r>
        <w:pict>
          <v:rect style="width:0;height:1.5pt" o:hralign="center" o:hrstd="t" o:hr="t"/>
        </w:pict>
      </w:r>
    </w:p>
    <w:bookmarkEnd w:id="15"/>
    <w:bookmarkStart w:id="16" w:name="two-prediction-tasks"/>
    <w:p>
      <w:pPr>
        <w:pStyle w:val="Heading2"/>
      </w:pPr>
      <w:r>
        <w:t xml:space="preserve">3.8 Two Prediction Tasks</w:t>
      </w:r>
    </w:p>
    <w:p>
      <w:pPr>
        <w:pStyle w:val="FirstParagraph"/>
      </w:pPr>
      <w:r>
        <w:t xml:space="preserve">The paper’s central analytical distinction is between two prediction tasks defined explicitly here, before any model is trained:</w:t>
      </w:r>
    </w:p>
    <w:p>
      <w:pPr>
        <w:pStyle w:val="BodyText"/>
      </w:pPr>
      <w:r>
        <w:rPr>
          <w:b/>
          <w:bCs/>
        </w:rPr>
        <w:t xml:space="preserve">Design task.</w:t>
      </w:r>
      <w:r>
        <w:t xml:space="preserve"> </w:t>
      </w:r>
      <w:r>
        <w:t xml:space="preserve">Inputs are structural geometry, material properties, traffic loading, climate exposure, and pavement age — all variables known at or before construction. No information about the pavement’s current or historical observed condition is used. This represents the greenfield design and planning scenario: a transport agency sizing a new pavement section, or evaluating an unmonitored network segment, must rely on a model of this type. The generalization of the design model across climate zones is the primary empirical question of the study.</w:t>
      </w:r>
    </w:p>
    <w:p>
      <w:pPr>
        <w:pStyle w:val="BodyText"/>
      </w:pPr>
      <w:r>
        <w:rPr>
          <w:b/>
          <w:bCs/>
        </w:rPr>
        <w:t xml:space="preserve">Monitoring task.</w:t>
      </w:r>
      <w:r>
        <w:t xml:space="preserve"> </w:t>
      </w:r>
      <w:r>
        <w:t xml:space="preserve">Inputs are all design-task features plus one temporal lag: the most recent observed value of the target variable within the preceding lag window. This represents the operational forecasting scenario on an instrumented network. The lag feature is constructed date-aware rather than by row offset, because LTPP inspection intervals are irregular:</w:t>
      </w:r>
    </w:p>
    <w:p>
      <w:pPr>
        <w:pStyle w:val="SourceCode"/>
      </w:pPr>
      <w:r>
        <w:rPr>
          <w:rStyle w:val="NormalTok"/>
        </w:rPr>
        <w:t xml:space="preserve">df </w:t>
      </w:r>
      <w:r>
        <w:rPr>
          <w:rStyle w:val="OperatorTok"/>
        </w:rPr>
        <w:t xml:space="preserve">=</w:t>
      </w:r>
      <w:r>
        <w:rPr>
          <w:rStyle w:val="NormalTok"/>
        </w:rPr>
        <w:t xml:space="preserve"> df.sort_values([</w:t>
      </w:r>
      <w:r>
        <w:rPr>
          <w:rStyle w:val="StringTok"/>
        </w:rPr>
        <w:t xml:space="preserve">'section_id'</w:t>
      </w:r>
      <w:r>
        <w:rPr>
          <w:rStyle w:val="NormalTok"/>
        </w:rPr>
        <w:t xml:space="preserve">, </w:t>
      </w:r>
      <w:r>
        <w:rPr>
          <w:rStyle w:val="StringTok"/>
        </w:rPr>
        <w:t xml:space="preserve">'visit_date'</w:t>
      </w:r>
      <w:r>
        <w:rPr>
          <w:rStyle w:val="NormalTok"/>
        </w:rPr>
        <w:t xml:space="preserve">])</w:t>
      </w:r>
      <w:r>
        <w:br/>
      </w:r>
      <w:r>
        <w:br/>
      </w:r>
      <w:r>
        <w:rPr>
          <w:rStyle w:val="KeywordTok"/>
        </w:rPr>
        <w:t xml:space="preserve">def</w:t>
      </w:r>
      <w:r>
        <w:rPr>
          <w:rStyle w:val="NormalTok"/>
        </w:rPr>
        <w:t xml:space="preserve"> get_lag(row, df, target_col, window_days):</w:t>
      </w:r>
      <w:r>
        <w:br/>
      </w:r>
      <w:r>
        <w:rPr>
          <w:rStyle w:val="NormalTok"/>
        </w:rPr>
        <w:t xml:space="preserve">    prior </w:t>
      </w:r>
      <w:r>
        <w:rPr>
          <w:rStyle w:val="OperatorTok"/>
        </w:rPr>
        <w:t xml:space="preserve">=</w:t>
      </w:r>
      <w:r>
        <w:rPr>
          <w:rStyle w:val="NormalTok"/>
        </w:rPr>
        <w:t xml:space="preserve"> df[</w:t>
      </w:r>
      <w:r>
        <w:br/>
      </w:r>
      <w:r>
        <w:rPr>
          <w:rStyle w:val="NormalTok"/>
        </w:rPr>
        <w:t xml:space="preserve">        (df.section_id </w:t>
      </w:r>
      <w:r>
        <w:rPr>
          <w:rStyle w:val="OperatorTok"/>
        </w:rPr>
        <w:t xml:space="preserve">==</w:t>
      </w:r>
      <w:r>
        <w:rPr>
          <w:rStyle w:val="NormalTok"/>
        </w:rPr>
        <w:t xml:space="preserve"> row.section_id) </w:t>
      </w:r>
      <w:r>
        <w:rPr>
          <w:rStyle w:val="OperatorTok"/>
        </w:rPr>
        <w:t xml:space="preserve">&amp;</w:t>
      </w:r>
      <w:r>
        <w:br/>
      </w:r>
      <w:r>
        <w:rPr>
          <w:rStyle w:val="NormalTok"/>
        </w:rPr>
        <w:t xml:space="preserve">        (df.visit_date </w:t>
      </w:r>
      <w:r>
        <w:rPr>
          <w:rStyle w:val="OperatorTok"/>
        </w:rPr>
        <w:t xml:space="preserve">&lt;</w:t>
      </w:r>
      <w:r>
        <w:rPr>
          <w:rStyle w:val="NormalTok"/>
        </w:rPr>
        <w:t xml:space="preserve"> row.visit_date) </w:t>
      </w:r>
      <w:r>
        <w:rPr>
          <w:rStyle w:val="OperatorTok"/>
        </w:rPr>
        <w:t xml:space="preserve">&amp;</w:t>
      </w:r>
      <w:r>
        <w:br/>
      </w:r>
      <w:r>
        <w:rPr>
          <w:rStyle w:val="NormalTok"/>
        </w:rPr>
        <w:t xml:space="preserve">        (df.visit_date </w:t>
      </w:r>
      <w:r>
        <w:rPr>
          <w:rStyle w:val="OperatorTok"/>
        </w:rPr>
        <w:t xml:space="preserve">&gt;=</w:t>
      </w:r>
      <w:r>
        <w:rPr>
          <w:rStyle w:val="NormalTok"/>
        </w:rPr>
        <w:t xml:space="preserve"> row.visit_date </w:t>
      </w:r>
      <w:r>
        <w:rPr>
          <w:rStyle w:val="OperatorTok"/>
        </w:rPr>
        <w:t xml:space="preserve">-</w:t>
      </w:r>
      <w:r>
        <w:rPr>
          <w:rStyle w:val="NormalTok"/>
        </w:rPr>
        <w:t xml:space="preserve"> pd.Timedelta(days</w:t>
      </w:r>
      <w:r>
        <w:rPr>
          <w:rStyle w:val="OperatorTok"/>
        </w:rPr>
        <w:t xml:space="preserve">=</w:t>
      </w:r>
      <w:r>
        <w:rPr>
          <w:rStyle w:val="NormalTok"/>
        </w:rPr>
        <w:t xml:space="preserve">window_days))</w:t>
      </w:r>
      <w:r>
        <w:br/>
      </w:r>
      <w:r>
        <w:rPr>
          <w:rStyle w:val="NormalTok"/>
        </w:rPr>
        <w:t xml:space="preserve">    ]</w:t>
      </w:r>
      <w:r>
        <w:br/>
      </w:r>
      <w:r>
        <w:rPr>
          <w:rStyle w:val="NormalTok"/>
        </w:rPr>
        <w:t xml:space="preserve">    </w:t>
      </w:r>
      <w:r>
        <w:rPr>
          <w:rStyle w:val="ControlFlowTok"/>
        </w:rPr>
        <w:t xml:space="preserve">return</w:t>
      </w:r>
      <w:r>
        <w:rPr>
          <w:rStyle w:val="NormalTok"/>
        </w:rPr>
        <w:t xml:space="preserve"> prior[target_col].iloc[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(prior)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p>
    <w:p>
      <w:pPr>
        <w:pStyle w:val="FirstParagraph"/>
      </w:pPr>
      <w:r>
        <w:rPr>
          <w:b/>
          <w:bCs/>
        </w:rPr>
        <w:t xml:space="preserve">Target-specific lag windows.</w:t>
      </w:r>
      <w:r>
        <w:t xml:space="preserve"> </w:t>
      </w:r>
      <w:r>
        <w:t xml:space="preserve">The lag window is set per target based on the actual inter-visit gap distribution, choosing the smallest window that retains at least 60% of consecutive observation pairs:</w:t>
      </w:r>
    </w:p>
    <w:tbl>
      <w:tblPr>
        <w:tblStyle w:val="Table"/>
        <w:tblW w:type="pct" w:w="5000"/>
        <w:tblLayout w:type="fixed"/>
        <w:tblLook w:firstRow="1" w:lastRow="0" w:firstColumn="0" w:lastColumn="0" w:noHBand="0" w:noVBand="0" w:val="0020"/>
      </w:tblPr>
      <w:tblGrid>
        <w:gridCol w:w="931"/>
        <w:gridCol w:w="1397"/>
        <w:gridCol w:w="2795"/>
        <w:gridCol w:w="2795"/>
      </w:tblGrid>
      <w:tr>
        <w:trPr>
          <w:tblHeader w:val="on"/>
        </w:trPr>
        <w:tc>
          <w:tcPr/>
          <w:p>
            <w:pPr>
              <w:pStyle w:val="Compact"/>
            </w:pPr>
            <w:r>
              <w:t xml:space="preserve">Target</w:t>
            </w:r>
          </w:p>
        </w:tc>
        <w:tc>
          <w:tcPr/>
          <w:p>
            <w:pPr>
              <w:pStyle w:val="Compact"/>
            </w:pPr>
            <w:r>
              <w:t xml:space="preserve">Lag window</w:t>
            </w:r>
          </w:p>
        </w:tc>
        <w:tc>
          <w:tcPr/>
          <w:p>
            <w:pPr>
              <w:pStyle w:val="Compact"/>
            </w:pPr>
            <w:r>
              <w:t xml:space="preserve">Median inter-visit gap</w:t>
            </w:r>
          </w:p>
        </w:tc>
        <w:tc>
          <w:tcPr/>
          <w:p>
            <w:pPr>
              <w:pStyle w:val="Compact"/>
            </w:pPr>
            <w:r>
              <w:t xml:space="preserve">Monitoring dataset size</w:t>
            </w:r>
          </w:p>
        </w:tc>
      </w:tr>
      <w:tr>
        <w:tc>
          <w:tcPr/>
          <w:p>
            <w:pPr>
              <w:pStyle w:val="Compact"/>
            </w:pPr>
            <w:r>
              <w:t xml:space="preserve">IRI</w:t>
            </w:r>
          </w:p>
        </w:tc>
        <w:tc>
          <w:tcPr/>
          <w:p>
            <w:pPr>
              <w:pStyle w:val="Compact"/>
            </w:pPr>
            <w:r>
              <w:t xml:space="preserve">730 days</w:t>
            </w:r>
          </w:p>
        </w:tc>
        <w:tc>
          <w:tcPr/>
          <w:p>
            <w:pPr>
              <w:pStyle w:val="Compact"/>
            </w:pPr>
            <w:r>
              <w:t xml:space="preserve">393 days</w:t>
            </w:r>
          </w:p>
        </w:tc>
        <w:tc>
          <w:tcPr/>
          <w:p>
            <w:pPr>
              <w:pStyle w:val="Compact"/>
            </w:pPr>
            <w:r>
              <w:t xml:space="preserve">~488 visit-observations, 48 sections</w:t>
            </w:r>
          </w:p>
        </w:tc>
      </w:tr>
      <w:tr>
        <w:tc>
          <w:tcPr/>
          <w:p>
            <w:pPr>
              <w:pStyle w:val="Compact"/>
            </w:pPr>
            <w:r>
              <w:t xml:space="preserve">Rutting</w:t>
            </w:r>
          </w:p>
        </w:tc>
        <w:tc>
          <w:tcPr/>
          <w:p>
            <w:pPr>
              <w:pStyle w:val="Compact"/>
            </w:pPr>
            <w:r>
              <w:t xml:space="preserve">730 days</w:t>
            </w:r>
          </w:p>
        </w:tc>
        <w:tc>
          <w:tcPr/>
          <w:p>
            <w:pPr>
              <w:pStyle w:val="Compact"/>
            </w:pPr>
            <w:r>
              <w:t xml:space="preserve">450 days</w:t>
            </w:r>
          </w:p>
        </w:tc>
        <w:tc>
          <w:tcPr/>
          <w:p>
            <w:pPr>
              <w:pStyle w:val="Compact"/>
            </w:pPr>
            <w:r>
              <w:t xml:space="preserve">366 observations, 48 sections</w:t>
            </w:r>
          </w:p>
        </w:tc>
      </w:tr>
      <w:tr>
        <w:tc>
          <w:tcPr/>
          <w:p>
            <w:pPr>
              <w:pStyle w:val="Compact"/>
            </w:pPr>
            <w:r>
              <w:t xml:space="preserve">Distress</w:t>
            </w:r>
          </w:p>
        </w:tc>
        <w:tc>
          <w:tcPr/>
          <w:p>
            <w:pPr>
              <w:pStyle w:val="Compact"/>
            </w:pPr>
            <w:r>
              <w:t xml:space="preserve">1,095 days</w:t>
            </w:r>
          </w:p>
        </w:tc>
        <w:tc>
          <w:tcPr/>
          <w:p>
            <w:pPr>
              <w:pStyle w:val="Compact"/>
            </w:pPr>
            <w:r>
              <w:t xml:space="preserve">748 days</w:t>
            </w:r>
          </w:p>
        </w:tc>
        <w:tc>
          <w:tcPr/>
          <w:p>
            <w:pPr>
              <w:pStyle w:val="Compact"/>
            </w:pPr>
            <w:r>
              <w:t xml:space="preserve">252 observations, 44 sections</w:t>
            </w:r>
          </w:p>
        </w:tc>
      </w:tr>
    </w:tbl>
    <w:p>
      <w:pPr>
        <w:pStyle w:val="BodyText"/>
      </w:pPr>
      <w:r>
        <w:t xml:space="preserve">The first observation for each section, and any observation with no prior within the lag window, are excluded from the monitoring dataset and remain in the design dataset.</w:t>
      </w:r>
    </w:p>
    <w:p>
      <w:pPr>
        <w:pStyle w:val="BodyText"/>
      </w:pPr>
      <w:r>
        <w:rPr>
          <w:b/>
          <w:bCs/>
        </w:rPr>
        <w:t xml:space="preserve">Monitoring dataset viability check.</w:t>
      </w:r>
      <w:r>
        <w:t xml:space="preserve"> </w:t>
      </w:r>
      <w:r>
        <w:t xml:space="preserve">Before training, confirm that each monitoring dataset contains at least 150 observations across at least 20 sections. If the distress monitoring dataset falls below this threshold after lag exclusions, only the design model is reported for distress, and the monitoring analysis is scoped to IRI and rutting only.</w:t>
      </w:r>
    </w:p>
    <w:p>
      <w:r>
        <w:pict>
          <v:rect style="width:0;height:1.5pt" o:hralign="center" o:hrstd="t" o:hr="t"/>
        </w:pict>
      </w:r>
    </w:p>
    <w:bookmarkEnd w:id="16"/>
    <w:bookmarkStart w:id="17" w:name="benchmark-models"/>
    <w:p>
      <w:pPr>
        <w:pStyle w:val="Heading2"/>
      </w:pPr>
      <w:r>
        <w:t xml:space="preserve">3.9 Benchmark Models</w:t>
      </w:r>
    </w:p>
    <w:p>
      <w:pPr>
        <w:pStyle w:val="FirstParagraph"/>
      </w:pPr>
      <w:r>
        <w:t xml:space="preserve">Four benchmarks are computed before any ensemble model is trained. They establish the performance floor and provide the interpretive reference frame for all subsequent results.</w:t>
      </w:r>
    </w:p>
    <w:p>
      <w:pPr>
        <w:pStyle w:val="BodyText"/>
      </w:pPr>
      <w:r>
        <w:rPr>
          <w:b/>
          <w:bCs/>
        </w:rPr>
        <w:t xml:space="preserve">Benchmark 1 — Mean predictor.</w:t>
      </w:r>
      <w:r>
        <w:t xml:space="preserve"> </w:t>
      </w:r>
      <w:r>
        <w:t xml:space="preserve">Every test observation receives the training set mean as its prediction. This is the absolute performance floor; any model that does not exceed it has no predictive content.</w:t>
      </w:r>
    </w:p>
    <w:p>
      <w:pPr>
        <w:pStyle w:val="BodyText"/>
      </w:pPr>
      <w:r>
        <w:rPr>
          <w:b/>
          <w:bCs/>
        </w:rPr>
        <w:t xml:space="preserve">Benchmark 2 — AASHTO empirical decay.</w:t>
      </w:r>
      <w:r>
        <w:t xml:space="preserve"> </w:t>
      </w:r>
      <w:r>
        <w:t xml:space="preserve">The exponential deterioration function</w:t>
      </w:r>
      <w:r>
        <w:t xml:space="preserve"> </w:t>
      </w:r>
      <w:r>
        <w:rPr>
          <w:rStyle w:val="VerbatimChar"/>
        </w:rPr>
        <w:t xml:space="preserve">IRI = a × exp(b × AGE_YEARS)</w:t>
      </w:r>
      <w:r>
        <w:t xml:space="preserve"> </w:t>
      </w:r>
      <w:r>
        <w:t xml:space="preserve">is fitted by nonlinear least squares on training observations. Parameters</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are estimated from this dataset — not taken from published AASHTO tables, which were calibrated on a different population. Fitted parameters are applied to test sections using their computed</w:t>
      </w:r>
      <w:r>
        <w:t xml:space="preserve"> </w:t>
      </w:r>
      <w:r>
        <w:rPr>
          <w:rStyle w:val="VerbatimChar"/>
        </w:rPr>
        <w:t xml:space="preserve">AGE_YEARS</w:t>
      </w:r>
      <w:r>
        <w:t xml:space="preserve"> </w:t>
      </w:r>
      <w:r>
        <w:t xml:space="preserve">values. This tests whether a simple time-dependent model with no structural or climate inputs captures the variance that ensemble models claim.</w:t>
      </w:r>
    </w:p>
    <w:p>
      <w:pPr>
        <w:pStyle w:val="BodyText"/>
      </w:pPr>
      <w:r>
        <w:rPr>
          <w:b/>
          <w:bCs/>
        </w:rPr>
        <w:t xml:space="preserve">Benchmark 3 — Ridge regression.</w:t>
      </w:r>
      <w:r>
        <w:t xml:space="preserve"> </w:t>
      </w:r>
      <w:r>
        <w:t xml:space="preserve">Ridge regression is fitted across all 114–118 retained features, with regularization parameter α tuned on the validation set using a log-spaced grid from 10⁻⁴ to 10⁴. This tests whether linear combinations of the full feature set generalize to unseen sections.</w:t>
      </w:r>
    </w:p>
    <w:p>
      <w:pPr>
        <w:pStyle w:val="BodyText"/>
      </w:pPr>
      <w:r>
        <w:rPr>
          <w:b/>
          <w:bCs/>
        </w:rPr>
        <w:t xml:space="preserve">Benchmark 4 — Persistence model at k = 1, 2, and 3 years.</w:t>
      </w:r>
      <w:r>
        <w:t xml:space="preserve"> </w:t>
      </w:r>
      <w:r>
        <w:t xml:space="preserve">For each test observation, the prediction is the most recently observed value of the target within k years prior:</w:t>
      </w:r>
    </w:p>
    <w:p>
      <w:pPr>
        <w:pStyle w:val="SourceCode"/>
      </w:pPr>
      <w:r>
        <w:rPr>
          <w:rStyle w:val="ControlFlowTok"/>
        </w:rPr>
        <w:t xml:space="preserve">for</w:t>
      </w:r>
      <w:r>
        <w:rPr>
          <w:rStyle w:val="NormalTok"/>
        </w:rPr>
        <w:t xml:space="preserve"> k_years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window </w:t>
      </w:r>
      <w:r>
        <w:rPr>
          <w:rStyle w:val="OperatorTok"/>
        </w:rPr>
        <w:t xml:space="preserve">=</w:t>
      </w:r>
      <w:r>
        <w:rPr>
          <w:rStyle w:val="NormalTok"/>
        </w:rPr>
        <w:t xml:space="preserve"> pd.Timedelta(days</w:t>
      </w:r>
      <w:r>
        <w:rPr>
          <w:rStyle w:val="OperatorTok"/>
        </w:rPr>
        <w:t xml:space="preserve">=</w:t>
      </w:r>
      <w:r>
        <w:rPr>
          <w:rStyle w:val="BuiltInTok"/>
        </w:rPr>
        <w:t xml:space="preserve">int</w:t>
      </w:r>
      <w:r>
        <w:rPr>
          <w:rStyle w:val="NormalTok"/>
        </w:rPr>
        <w:t xml:space="preserve">(k_years </w:t>
      </w:r>
      <w:r>
        <w:rPr>
          <w:rStyle w:val="OperatorTok"/>
        </w:rPr>
        <w:t xml:space="preserve">*</w:t>
      </w:r>
      <w:r>
        <w:rPr>
          <w:rStyle w:val="NormalTok"/>
        </w:rPr>
        <w:t xml:space="preserve"> </w:t>
      </w:r>
      <w:r>
        <w:rPr>
          <w:rStyle w:val="FloatTok"/>
        </w:rPr>
        <w:t xml:space="preserve">365.25</w:t>
      </w:r>
      <w:r>
        <w:rPr>
          <w:rStyle w:val="NormalTok"/>
        </w:rPr>
        <w:t xml:space="preserve">))</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test_df.iterrows():</w:t>
      </w:r>
      <w:r>
        <w:br/>
      </w:r>
      <w:r>
        <w:rPr>
          <w:rStyle w:val="NormalTok"/>
        </w:rPr>
        <w:t xml:space="preserve">        prior </w:t>
      </w:r>
      <w:r>
        <w:rPr>
          <w:rStyle w:val="OperatorTok"/>
        </w:rPr>
        <w:t xml:space="preserve">=</w:t>
      </w:r>
      <w:r>
        <w:rPr>
          <w:rStyle w:val="NormalTok"/>
        </w:rPr>
        <w:t xml:space="preserve"> train_df[</w:t>
      </w:r>
      <w:r>
        <w:br/>
      </w:r>
      <w:r>
        <w:rPr>
          <w:rStyle w:val="NormalTok"/>
        </w:rPr>
        <w:t xml:space="preserve">            (train_df.section_id </w:t>
      </w:r>
      <w:r>
        <w:rPr>
          <w:rStyle w:val="OperatorTok"/>
        </w:rPr>
        <w:t xml:space="preserve">==</w:t>
      </w:r>
      <w:r>
        <w:rPr>
          <w:rStyle w:val="NormalTok"/>
        </w:rPr>
        <w:t xml:space="preserve"> row.section_id) </w:t>
      </w:r>
      <w:r>
        <w:rPr>
          <w:rStyle w:val="OperatorTok"/>
        </w:rPr>
        <w:t xml:space="preserve">&amp;</w:t>
      </w:r>
      <w:r>
        <w:br/>
      </w:r>
      <w:r>
        <w:rPr>
          <w:rStyle w:val="NormalTok"/>
        </w:rPr>
        <w:t xml:space="preserve">            (train_df.visit_date </w:t>
      </w:r>
      <w:r>
        <w:rPr>
          <w:rStyle w:val="OperatorTok"/>
        </w:rPr>
        <w:t xml:space="preserve">&lt;</w:t>
      </w:r>
      <w:r>
        <w:rPr>
          <w:rStyle w:val="NormalTok"/>
        </w:rPr>
        <w:t xml:space="preserve"> row.visit_date) </w:t>
      </w:r>
      <w:r>
        <w:rPr>
          <w:rStyle w:val="OperatorTok"/>
        </w:rPr>
        <w:t xml:space="preserve">&amp;</w:t>
      </w:r>
      <w:r>
        <w:br/>
      </w:r>
      <w:r>
        <w:rPr>
          <w:rStyle w:val="NormalTok"/>
        </w:rPr>
        <w:t xml:space="preserve">            (train_df.visit_date </w:t>
      </w:r>
      <w:r>
        <w:rPr>
          <w:rStyle w:val="OperatorTok"/>
        </w:rPr>
        <w:t xml:space="preserve">&gt;=</w:t>
      </w:r>
      <w:r>
        <w:rPr>
          <w:rStyle w:val="NormalTok"/>
        </w:rPr>
        <w:t xml:space="preserve"> row.visit_date </w:t>
      </w:r>
      <w:r>
        <w:rPr>
          <w:rStyle w:val="OperatorTok"/>
        </w:rPr>
        <w:t xml:space="preserve">-</w:t>
      </w:r>
      <w:r>
        <w:rPr>
          <w:rStyle w:val="NormalTok"/>
        </w:rPr>
        <w:t xml:space="preserve"> window)</w:t>
      </w:r>
      <w:r>
        <w:br/>
      </w:r>
      <w:r>
        <w:rPr>
          <w:rStyle w:val="NormalTok"/>
        </w:rPr>
        <w:t xml:space="preserve">        ]</w:t>
      </w:r>
      <w:r>
        <w:br/>
      </w:r>
      <w:r>
        <w:rPr>
          <w:rStyle w:val="NormalTok"/>
        </w:rPr>
        <w:t xml:space="preserve">        y_pred[idx] </w:t>
      </w:r>
      <w:r>
        <w:rPr>
          <w:rStyle w:val="OperatorTok"/>
        </w:rPr>
        <w:t xml:space="preserve">=</w:t>
      </w:r>
      <w:r>
        <w:rPr>
          <w:rStyle w:val="NormalTok"/>
        </w:rPr>
        <w:t xml:space="preserve"> prior[target].iloc[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(prior)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rPr>
          <w:rStyle w:val="NormalTok"/>
        </w:rPr>
        <w:t xml:space="preserve">    record_metrics(y_pred, y_test, label</w:t>
      </w:r>
      <w:r>
        <w:rPr>
          <w:rStyle w:val="OperatorTok"/>
        </w:rPr>
        <w:t xml:space="preserve">=</w:t>
      </w:r>
      <w:r>
        <w:rPr>
          <w:rStyle w:val="SpecialStringTok"/>
        </w:rPr>
        <w:t xml:space="preserve">f'Persistence_k</w:t>
      </w:r>
      <w:r>
        <w:rPr>
          <w:rStyle w:val="SpecialCharTok"/>
        </w:rPr>
        <w:t xml:space="preserve">{</w:t>
      </w:r>
      <w:r>
        <w:rPr>
          <w:rStyle w:val="NormalTok"/>
        </w:rPr>
        <w:t xml:space="preserve">k_years</w:t>
      </w:r>
      <w:r>
        <w:rPr>
          <w:rStyle w:val="SpecialCharTok"/>
        </w:rPr>
        <w:t xml:space="preserve">}</w:t>
      </w:r>
      <w:r>
        <w:rPr>
          <w:rStyle w:val="SpecialStringTok"/>
        </w:rPr>
        <w:t xml:space="preserve">yr'</w:t>
      </w:r>
      <w:r>
        <w:rPr>
          <w:rStyle w:val="NormalTok"/>
        </w:rPr>
        <w:t xml:space="preserve">)</w:t>
      </w:r>
    </w:p>
    <w:p>
      <w:pPr>
        <w:pStyle w:val="FirstParagraph"/>
      </w:pPr>
      <w:r>
        <w:rPr>
          <w:b/>
          <w:bCs/>
        </w:rPr>
        <w:t xml:space="preserve">Common evaluation set for monitoring vs. persistence comparison.</w:t>
      </w:r>
      <w:r>
        <w:t xml:space="preserve"> </w:t>
      </w:r>
      <w:r>
        <w:t xml:space="preserve">The monitoring model and the three persistence benchmarks operate on different natural evaluation subsets if computed independently: the 730-day monitoring window qualifies ~488 IRI visit-observations, while the 365-day persistence window qualifies only 251. Comparing R² values across different subsets produces spurious apparent advantages for the wider-window model, because it is evaluated on a population that excludes the hardest-to-predict long-gap observations.</w:t>
      </w:r>
    </w:p>
    <w:p>
      <w:pPr>
        <w:pStyle w:val="BodyText"/>
      </w:pPr>
      <w:r>
        <w:t xml:space="preserve">All four metrics — monitoring model predictions and persistence at k = 1, 2, and 3 years — are therefore computed on a</w:t>
      </w:r>
      <w:r>
        <w:t xml:space="preserve"> </w:t>
      </w:r>
      <w:r>
        <w:rPr>
          <w:b/>
          <w:bCs/>
        </w:rPr>
        <w:t xml:space="preserve">common evaluation set</w:t>
      </w:r>
      <w:r>
        <w:t xml:space="preserve">: the IRI visit-observations that have a confirmed prior within 365 days (the most restrictive condition). From the actual dataset, this common set contains</w:t>
      </w:r>
      <w:r>
        <w:t xml:space="preserve"> </w:t>
      </w:r>
      <w:r>
        <w:rPr>
          <w:b/>
          <w:bCs/>
        </w:rPr>
        <w:t xml:space="preserve">251 IRI visit-observations</w:t>
      </w:r>
      <w:r>
        <w:t xml:space="preserve">. Any observation with a prior within 365 days also has a prior within 730 and 1,095 days by construction, so all three persistence benchmarks and the monitoring model can be validly computed on this set. The monitoring model additionally reports full performance on its 488-observation evaluation set in a supplementary table.</w:t>
      </w:r>
    </w:p>
    <w:p>
      <w:pPr>
        <w:pStyle w:val="BodyText"/>
      </w:pPr>
      <w:r>
        <w:t xml:space="preserve">For rutting and distress, the common set is defined by the most restrictive persistence window: observations with a prior within 730 days for both targets (the k = 2 persistence benchmark).</w:t>
      </w:r>
    </w:p>
    <w:p>
      <w:pPr>
        <w:pStyle w:val="BodyText"/>
      </w:pPr>
      <w:r>
        <w:t xml:space="preserve">If the monitoring model at the 2-year lag horizon only marginally outperforms the 2-year persistence benchmark, this is reported plainly in the Results section — it changes the interpretation of a high R² from structural learning to temporal autocorrelation.</w:t>
      </w:r>
    </w:p>
    <w:p>
      <w:r>
        <w:pict>
          <v:rect style="width:0;height:1.5pt" o:hralign="center" o:hrstd="t" o:hr="t"/>
        </w:pict>
      </w:r>
    </w:p>
    <w:bookmarkEnd w:id="17"/>
    <w:bookmarkStart w:id="18" w:name="X5ac8d5781d918b9b64bf0ec97e552f81133074d"/>
    <w:p>
      <w:pPr>
        <w:pStyle w:val="Heading2"/>
      </w:pPr>
      <w:r>
        <w:t xml:space="preserve">3.10 Ensemble Model Training and Hyperparameter Optimisation</w:t>
      </w:r>
    </w:p>
    <w:p>
      <w:pPr>
        <w:pStyle w:val="FirstParagraph"/>
      </w:pPr>
      <w:r>
        <w:rPr>
          <w:b/>
          <w:bCs/>
        </w:rPr>
        <w:t xml:space="preserve">Models.</w:t>
      </w:r>
      <w:r>
        <w:t xml:space="preserve"> </w:t>
      </w:r>
      <w:r>
        <w:t xml:space="preserve">XGBoost and Random Forest are trained for each combination of target (IRI, rutting, distress) and task (design, monitoring), producing</w:t>
      </w:r>
      <w:r>
        <w:t xml:space="preserve"> </w:t>
      </w:r>
      <w:r>
        <w:rPr>
          <w:b/>
          <w:bCs/>
        </w:rPr>
        <w:t xml:space="preserve">12 fitted models</w:t>
      </w:r>
      <w:r>
        <w:t xml:space="preserve"> </w:t>
      </w:r>
      <w:r>
        <w:t xml:space="preserve">in total. Both architectures are tuned independently.</w:t>
      </w:r>
    </w:p>
    <w:p>
      <w:pPr>
        <w:pStyle w:val="BodyText"/>
      </w:pPr>
      <w:r>
        <w:rPr>
          <w:b/>
          <w:bCs/>
        </w:rPr>
        <w:t xml:space="preserve">Hyperparameter optimisation.</w:t>
      </w:r>
      <w:r>
        <w:t xml:space="preserve"> </w:t>
      </w:r>
      <w:r>
        <w:t xml:space="preserve">Optuna’s tree-structured Parzen estimator (TPE sampler) with</w:t>
      </w:r>
      <w:r>
        <w:t xml:space="preserve"> </w:t>
      </w:r>
      <w:r>
        <w:rPr>
          <w:rStyle w:val="VerbatimChar"/>
        </w:rPr>
        <w:t xml:space="preserve">GroupKFold(n_splits=5)</w:t>
      </w:r>
      <w:r>
        <w:t xml:space="preserve"> </w:t>
      </w:r>
      <w:r>
        <w:t xml:space="preserve">grouped by section ID is used for all tuning. Section-level grouping ensures that no section appears in both the fold training and fold validation sets during cross-validation, preventing the same leakage that section-wise partitioning prevents at the train/test level. The optimisation objective is validation RMSE.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Search range</w:t>
            </w:r>
          </w:p>
        </w:tc>
      </w:tr>
      <w:tr>
        <w:tc>
          <w:tcPr/>
          <w:p>
            <w:pPr>
              <w:pStyle w:val="Compact"/>
            </w:pPr>
            <w:r>
              <w:rPr>
                <w:rStyle w:val="VerbatimChar"/>
              </w:rPr>
              <w:t xml:space="preserve">n_estimators</w:t>
            </w:r>
            <w:r>
              <w:t xml:space="preserve"> </w:t>
            </w:r>
            <w:r>
              <w:t xml:space="preserve">(XGB, RF)</w:t>
            </w:r>
          </w:p>
        </w:tc>
        <w:tc>
          <w:tcPr/>
          <w:p>
            <w:pPr>
              <w:pStyle w:val="Compact"/>
            </w:pPr>
            <w:r>
              <w:t xml:space="preserve">50–500</w:t>
            </w:r>
          </w:p>
        </w:tc>
      </w:tr>
      <w:tr>
        <w:tc>
          <w:tcPr/>
          <w:p>
            <w:pPr>
              <w:pStyle w:val="Compact"/>
            </w:pPr>
            <w:r>
              <w:rPr>
                <w:rStyle w:val="VerbatimChar"/>
              </w:rPr>
              <w:t xml:space="preserve">max_depth</w:t>
            </w:r>
            <w:r>
              <w:t xml:space="preserve"> </w:t>
            </w:r>
            <w:r>
              <w:t xml:space="preserve">(XGB, RF)</w:t>
            </w:r>
          </w:p>
        </w:tc>
        <w:tc>
          <w:tcPr/>
          <w:p>
            <w:pPr>
              <w:pStyle w:val="Compact"/>
            </w:pPr>
            <w:r>
              <w:t xml:space="preserve">3–12</w:t>
            </w:r>
          </w:p>
        </w:tc>
      </w:tr>
      <w:tr>
        <w:tc>
          <w:tcPr/>
          <w:p>
            <w:pPr>
              <w:pStyle w:val="Compact"/>
            </w:pPr>
            <w:r>
              <w:rPr>
                <w:rStyle w:val="VerbatimChar"/>
              </w:rPr>
              <w:t xml:space="preserve">learning_rate</w:t>
            </w:r>
            <w:r>
              <w:t xml:space="preserve"> </w:t>
            </w:r>
            <w:r>
              <w:t xml:space="preserve">(XGB)</w:t>
            </w:r>
          </w:p>
        </w:tc>
        <w:tc>
          <w:tcPr/>
          <w:p>
            <w:pPr>
              <w:pStyle w:val="Compact"/>
            </w:pPr>
            <w:r>
              <w:t xml:space="preserve">0.01–0.3, log scale</w:t>
            </w:r>
          </w:p>
        </w:tc>
      </w:tr>
      <w:tr>
        <w:tc>
          <w:tcPr/>
          <w:p>
            <w:pPr>
              <w:pStyle w:val="Compact"/>
            </w:pPr>
            <w:r>
              <w:rPr>
                <w:rStyle w:val="VerbatimChar"/>
              </w:rPr>
              <w:t xml:space="preserve">subsample</w:t>
            </w:r>
            <w:r>
              <w:t xml:space="preserve"> </w:t>
            </w:r>
            <w:r>
              <w:t xml:space="preserve">(XGB)</w:t>
            </w:r>
          </w:p>
        </w:tc>
        <w:tc>
          <w:tcPr/>
          <w:p>
            <w:pPr>
              <w:pStyle w:val="Compact"/>
            </w:pPr>
            <w:r>
              <w:t xml:space="preserve">0.5–1.0</w:t>
            </w:r>
          </w:p>
        </w:tc>
      </w:tr>
      <w:tr>
        <w:tc>
          <w:tcPr/>
          <w:p>
            <w:pPr>
              <w:pStyle w:val="Compact"/>
            </w:pPr>
            <w:r>
              <w:rPr>
                <w:rStyle w:val="VerbatimChar"/>
              </w:rPr>
              <w:t xml:space="preserve">colsample_bytree</w:t>
            </w:r>
            <w:r>
              <w:t xml:space="preserve"> </w:t>
            </w:r>
            <w:r>
              <w:t xml:space="preserve">(XGB)</w:t>
            </w:r>
          </w:p>
        </w:tc>
        <w:tc>
          <w:tcPr/>
          <w:p>
            <w:pPr>
              <w:pStyle w:val="Compact"/>
            </w:pPr>
            <w:r>
              <w:t xml:space="preserve">0.5–1.0</w:t>
            </w:r>
          </w:p>
        </w:tc>
      </w:tr>
      <w:tr>
        <w:tc>
          <w:tcPr/>
          <w:p>
            <w:pPr>
              <w:pStyle w:val="Compact"/>
            </w:pPr>
            <w:r>
              <w:rPr>
                <w:rStyle w:val="VerbatimChar"/>
              </w:rPr>
              <w:t xml:space="preserve">reg_alpha</w:t>
            </w:r>
            <w:r>
              <w:t xml:space="preserve">,</w:t>
            </w:r>
            <w:r>
              <w:t xml:space="preserve"> </w:t>
            </w:r>
            <w:r>
              <w:rPr>
                <w:rStyle w:val="VerbatimChar"/>
              </w:rPr>
              <w:t xml:space="preserve">reg_lambda</w:t>
            </w:r>
            <w:r>
              <w:t xml:space="preserve"> </w:t>
            </w:r>
            <w:r>
              <w:t xml:space="preserve">(XGB)</w:t>
            </w:r>
          </w:p>
        </w:tc>
        <w:tc>
          <w:tcPr/>
          <w:p>
            <w:pPr>
              <w:pStyle w:val="Compact"/>
            </w:pPr>
            <w:r>
              <w:t xml:space="preserve">10⁻⁸–10, log scale</w:t>
            </w:r>
          </w:p>
        </w:tc>
      </w:tr>
      <w:tr>
        <w:tc>
          <w:tcPr/>
          <w:p>
            <w:pPr>
              <w:pStyle w:val="Compact"/>
            </w:pPr>
            <w:r>
              <w:rPr>
                <w:rStyle w:val="VerbatimChar"/>
              </w:rPr>
              <w:t xml:space="preserve">min_samples_split</w:t>
            </w:r>
            <w:r>
              <w:t xml:space="preserve"> </w:t>
            </w:r>
            <w:r>
              <w:t xml:space="preserve">(RF)</w:t>
            </w:r>
          </w:p>
        </w:tc>
        <w:tc>
          <w:tcPr/>
          <w:p>
            <w:pPr>
              <w:pStyle w:val="Compact"/>
            </w:pPr>
            <w:r>
              <w:t xml:space="preserve">2–20</w:t>
            </w:r>
          </w:p>
        </w:tc>
      </w:tr>
      <w:tr>
        <w:tc>
          <w:tcPr/>
          <w:p>
            <w:pPr>
              <w:pStyle w:val="Compact"/>
            </w:pPr>
            <w:r>
              <w:rPr>
                <w:rStyle w:val="VerbatimChar"/>
              </w:rPr>
              <w:t xml:space="preserve">min_samples_leaf</w:t>
            </w:r>
            <w:r>
              <w:t xml:space="preserve"> </w:t>
            </w:r>
            <w:r>
              <w:t xml:space="preserve">(RF)</w:t>
            </w:r>
          </w:p>
        </w:tc>
        <w:tc>
          <w:tcPr/>
          <w:p>
            <w:pPr>
              <w:pStyle w:val="Compact"/>
            </w:pPr>
            <w:r>
              <w:t xml:space="preserve">1–10</w:t>
            </w:r>
          </w:p>
        </w:tc>
      </w:tr>
      <w:tr>
        <w:tc>
          <w:tcPr/>
          <w:p>
            <w:pPr>
              <w:pStyle w:val="Compact"/>
            </w:pPr>
            <w:r>
              <w:rPr>
                <w:rStyle w:val="VerbatimChar"/>
              </w:rPr>
              <w:t xml:space="preserve">max_features</w:t>
            </w:r>
            <w:r>
              <w:t xml:space="preserve"> </w:t>
            </w:r>
            <w:r>
              <w:t xml:space="preserve">(RF)</w:t>
            </w:r>
          </w:p>
        </w:tc>
        <w:tc>
          <w:tcPr/>
          <w:p>
            <w:pPr>
              <w:pStyle w:val="Compact"/>
            </w:pPr>
            <w:r>
              <w:rPr>
                <w:rStyle w:val="VerbatimChar"/>
              </w:rPr>
              <w:t xml:space="preserve">sqrt</w:t>
            </w:r>
            <w:r>
              <w:t xml:space="preserve">,</w:t>
            </w:r>
            <w:r>
              <w:t xml:space="preserve"> </w:t>
            </w:r>
            <w:r>
              <w:rPr>
                <w:rStyle w:val="VerbatimChar"/>
              </w:rPr>
              <w:t xml:space="preserve">log2</w:t>
            </w:r>
            <w:r>
              <w:t xml:space="preserve">, 0.3–0.9</w:t>
            </w:r>
          </w:p>
        </w:tc>
      </w:tr>
    </w:tbl>
    <w:p>
      <w:pPr>
        <w:pStyle w:val="BodyText"/>
      </w:pPr>
      <w:r>
        <w:rPr>
          <w:b/>
          <w:bCs/>
        </w:rPr>
        <w:t xml:space="preserve">Trial budgets.</w:t>
      </w:r>
      <w:r>
        <w:t xml:space="preserve"> </w:t>
      </w:r>
      <w:r>
        <w:t xml:space="preserve">IRI: 150 trials. Rutting and distress: 100 trials each. Early stopping: if validation RMSE improves by less than 0.1% over the last 30 consecutive trials, the study terminates regardless of remaining budget.</w:t>
      </w:r>
    </w:p>
    <w:p>
      <w:pPr>
        <w:pStyle w:val="BodyText"/>
      </w:pPr>
      <w:r>
        <w:rPr>
          <w:b/>
          <w:bCs/>
        </w:rPr>
        <w:t xml:space="preserve">Regional sample weighting.</w:t>
      </w:r>
      <w:r>
        <w:t xml:space="preserve"> </w:t>
      </w:r>
      <w:r>
        <w:t xml:space="preserve">Arizona comprises 22 of 48 sections (45.7% of IRI visit-observations). An unweighted model implicitly optimizes for Arizona-like deterioration behavior. Inverse-frequency sample weights are applied during training to counter this:</w:t>
      </w:r>
    </w:p>
    <w:p>
      <w:pPr>
        <w:pStyle w:val="SourceCode"/>
      </w:pPr>
      <w:r>
        <w:rPr>
          <w:rStyle w:val="NormalTok"/>
        </w:rPr>
        <w:t xml:space="preserve">region_counts </w:t>
      </w:r>
      <w:r>
        <w:rPr>
          <w:rStyle w:val="OperatorTok"/>
        </w:rPr>
        <w:t xml:space="preserve">=</w:t>
      </w:r>
      <w:r>
        <w:rPr>
          <w:rStyle w:val="NormalTok"/>
        </w:rPr>
        <w:t xml:space="preserve"> train_df[</w:t>
      </w:r>
      <w:r>
        <w:rPr>
          <w:rStyle w:val="StringTok"/>
        </w:rPr>
        <w:t xml:space="preserve">'STATE_CODE_EXP'</w:t>
      </w:r>
      <w:r>
        <w:rPr>
          <w:rStyle w:val="NormalTok"/>
        </w:rPr>
        <w:t xml:space="preserve">].value_counts()</w:t>
      </w:r>
      <w:r>
        <w:br/>
      </w:r>
      <w:r>
        <w:rPr>
          <w:rStyle w:val="NormalTok"/>
        </w:rPr>
        <w:t xml:space="preserve">weights </w:t>
      </w:r>
      <w:r>
        <w:rPr>
          <w:rStyle w:val="OperatorTok"/>
        </w:rPr>
        <w:t xml:space="preserve">=</w:t>
      </w:r>
      <w:r>
        <w:rPr>
          <w:rStyle w:val="NormalTok"/>
        </w:rPr>
        <w:t xml:space="preserve"> train_df[</w:t>
      </w:r>
      <w:r>
        <w:rPr>
          <w:rStyle w:val="StringTok"/>
        </w:rPr>
        <w:t xml:space="preserve">'STATE_CODE_EXP'</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r: </w:t>
      </w:r>
      <w:r>
        <w:rPr>
          <w:rStyle w:val="FloatTok"/>
        </w:rPr>
        <w:t xml:space="preserve">1.0</w:t>
      </w:r>
      <w:r>
        <w:rPr>
          <w:rStyle w:val="NormalTok"/>
        </w:rPr>
        <w:t xml:space="preserve"> </w:t>
      </w:r>
      <w:r>
        <w:rPr>
          <w:rStyle w:val="OperatorTok"/>
        </w:rPr>
        <w:t xml:space="preserve">/</w:t>
      </w:r>
      <w:r>
        <w:rPr>
          <w:rStyle w:val="NormalTok"/>
        </w:rPr>
        <w:t xml:space="preserve"> region_counts[r])</w:t>
      </w:r>
      <w:r>
        <w:br/>
      </w:r>
      <w:r>
        <w:rPr>
          <w:rStyle w:val="NormalTok"/>
        </w:rPr>
        <w:t xml:space="preserve">weights </w:t>
      </w:r>
      <w:r>
        <w:rPr>
          <w:rStyle w:val="OperatorTok"/>
        </w:rPr>
        <w:t xml:space="preserve">=</w:t>
      </w:r>
      <w:r>
        <w:rPr>
          <w:rStyle w:val="NormalTok"/>
        </w:rPr>
        <w:t xml:space="preserve"> weights </w:t>
      </w:r>
      <w:r>
        <w:rPr>
          <w:rStyle w:val="OperatorTok"/>
        </w:rPr>
        <w:t xml:space="preserve">/</w:t>
      </w:r>
      <w:r>
        <w:rPr>
          <w:rStyle w:val="NormalTok"/>
        </w:rPr>
        <w:t xml:space="preserve"> weights.</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(weights)   </w:t>
      </w:r>
      <w:r>
        <w:rPr>
          <w:rStyle w:val="CommentTok"/>
        </w:rPr>
        <w:t xml:space="preserve"># normalise to mean = 1</w:t>
      </w:r>
    </w:p>
    <w:p>
      <w:pPr>
        <w:pStyle w:val="FirstParagraph"/>
      </w:pPr>
      <w:r>
        <w:rPr>
          <w:b/>
          <w:bCs/>
        </w:rPr>
        <w:t xml:space="preserve">Final model retraining.</w:t>
      </w:r>
      <w:r>
        <w:t xml:space="preserve"> </w:t>
      </w:r>
      <w:r>
        <w:t xml:space="preserve">After hyperparameter selection on the validation set, the final model for each target-task combination is retrained on the combined training + validation set (</w:t>
      </w:r>
      <w:r>
        <w:rPr>
          <w:b/>
          <w:bCs/>
        </w:rPr>
        <w:t xml:space="preserve">41 sections</w:t>
      </w:r>
      <w:r>
        <w:t xml:space="preserve">) using the</w:t>
      </w:r>
      <w:r>
        <w:t xml:space="preserve"> </w:t>
      </w:r>
      <w:r>
        <w:rPr>
          <w:b/>
          <w:bCs/>
        </w:rPr>
        <w:t xml:space="preserve">validation-selected hyperparameters unchanged</w:t>
      </w:r>
      <w:r>
        <w:t xml:space="preserve">. The</w:t>
      </w:r>
      <w:r>
        <w:t xml:space="preserve"> </w:t>
      </w:r>
      <w:r>
        <w:rPr>
          <w:rStyle w:val="VerbatimChar"/>
        </w:rPr>
        <w:t xml:space="preserve">n_estimators</w:t>
      </w:r>
      <w:r>
        <w:t xml:space="preserve"> </w:t>
      </w:r>
      <w:r>
        <w:t xml:space="preserve">value is not scaled upward for the larger training set. This conservative choice avoids introducing an un-tuned free parameter at the retraining stage. The retrained 41-section model is evaluated on the held-out test set exactly once.</w:t>
      </w:r>
    </w:p>
    <w:p>
      <w:r>
        <w:pict>
          <v:rect style="width:0;height:1.5pt" o:hralign="center" o:hrstd="t" o:hr="t"/>
        </w:pict>
      </w:r>
    </w:p>
    <w:bookmarkEnd w:id="18"/>
    <w:bookmarkStart w:id="23" w:name="validation-strategy"/>
    <w:p>
      <w:pPr>
        <w:pStyle w:val="Heading2"/>
      </w:pPr>
      <w:r>
        <w:t xml:space="preserve">3.11 Validation Strategy</w:t>
      </w:r>
    </w:p>
    <w:bookmarkStart w:id="19" w:name="standard-test-set-evaluation"/>
    <w:p>
      <w:pPr>
        <w:pStyle w:val="Heading3"/>
      </w:pPr>
      <w:r>
        <w:t xml:space="preserve">3.11.1 Standard Test Set Evaluation</w:t>
      </w:r>
    </w:p>
    <w:p>
      <w:pPr>
        <w:pStyle w:val="FirstParagraph"/>
      </w:pPr>
      <w:r>
        <w:t xml:space="preserve">R², RMSE, and MAE are computed on the 7 held-out test sections for all 12 model-target-task combinations. These constitute the primary accuracy metrics reported in the main results table. The test set is evaluated exactly once, after all modeling decisions are finalized.</w:t>
      </w:r>
    </w:p>
    <w:bookmarkEnd w:id="19"/>
    <w:bookmarkStart w:id="20" w:name="bootstrap-confidence-intervals"/>
    <w:p>
      <w:pPr>
        <w:pStyle w:val="Heading3"/>
      </w:pPr>
      <w:r>
        <w:t xml:space="preserve">3.11.2 Bootstrap Confidence Intervals</w:t>
      </w:r>
    </w:p>
    <w:p>
      <w:pPr>
        <w:pStyle w:val="FirstParagraph"/>
      </w:pPr>
      <w:r>
        <w:t xml:space="preserve">With 7 test sections, point estimates of R² carry substantial sampling uncertainty. Confidence intervals are computed by resampling at the section level — all visit-observations from a section move together, preserving the longitudinal structure:</w:t>
      </w:r>
    </w:p>
    <w:p>
      <w:pPr>
        <w:pStyle w:val="SourceCode"/>
      </w:pPr>
      <w:r>
        <w:rPr>
          <w:rStyle w:val="NormalTok"/>
        </w:rPr>
        <w:t xml:space="preserve">test_sections </w:t>
      </w:r>
      <w:r>
        <w:rPr>
          <w:rStyle w:val="OperatorTok"/>
        </w:rPr>
        <w:t xml:space="preserve">=</w:t>
      </w:r>
      <w:r>
        <w:rPr>
          <w:rStyle w:val="NormalTok"/>
        </w:rPr>
        <w:t xml:space="preserve"> test_df[</w:t>
      </w:r>
      <w:r>
        <w:rPr>
          <w:rStyle w:val="StringTok"/>
        </w:rPr>
        <w:t xml:space="preserve">'section_id'</w:t>
      </w:r>
      <w:r>
        <w:rPr>
          <w:rStyle w:val="NormalTok"/>
        </w:rPr>
        <w:t xml:space="preserve">].unique()   </w:t>
      </w:r>
      <w:r>
        <w:rPr>
          <w:rStyle w:val="CommentTok"/>
        </w:rPr>
        <w:t xml:space="preserve"># 7 sections</w:t>
      </w:r>
      <w:r>
        <w:br/>
      </w:r>
      <w:r>
        <w:rPr>
          <w:rStyle w:val="NormalTok"/>
        </w:rPr>
        <w:t xml:space="preserve">r2_boot </w:t>
      </w:r>
      <w:r>
        <w:rPr>
          <w:rStyle w:val="OperatorTok"/>
        </w:rPr>
        <w:t xml:space="preserve">=</w:t>
      </w:r>
      <w:r>
        <w:rPr>
          <w:rStyle w:val="NormalTok"/>
        </w:rPr>
        <w:t xml:space="preserve"> []</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2000</w:t>
      </w:r>
      <w:r>
        <w:rPr>
          <w:rStyle w:val="NormalTok"/>
        </w:rPr>
        <w:t xml:space="preserve">):</w:t>
      </w:r>
      <w:r>
        <w:br/>
      </w:r>
      <w:r>
        <w:rPr>
          <w:rStyle w:val="NormalTok"/>
        </w:rPr>
        <w:t xml:space="preserve">    sampled </w:t>
      </w:r>
      <w:r>
        <w:rPr>
          <w:rStyle w:val="OperatorTok"/>
        </w:rPr>
        <w:t xml:space="preserve">=</w:t>
      </w:r>
      <w:r>
        <w:rPr>
          <w:rStyle w:val="NormalTok"/>
        </w:rPr>
        <w:t xml:space="preserve"> np.random.choice(test_sections, size</w:t>
      </w:r>
      <w:r>
        <w:rPr>
          <w:rStyle w:val="OperatorTok"/>
        </w:rPr>
        <w:t xml:space="preserve">=</w:t>
      </w:r>
      <w:r>
        <w:rPr>
          <w:rStyle w:val="DecValTok"/>
        </w:rPr>
        <w:t xml:space="preserve">7</w:t>
      </w:r>
      <w:r>
        <w:rPr>
          <w:rStyle w:val="NormalTok"/>
        </w:rPr>
        <w:t xml:space="preserve">, replace</w:t>
      </w:r>
      <w:r>
        <w:rPr>
          <w:rStyle w:val="OperatorTok"/>
        </w:rPr>
        <w:t xml:space="preserve">=</w:t>
      </w:r>
      <w:r>
        <w:rPr>
          <w:rStyle w:val="VariableTok"/>
        </w:rPr>
        <w:t xml:space="preserve">True</w:t>
      </w:r>
      <w:r>
        <w:rPr>
          <w:rStyle w:val="NormalTok"/>
        </w:rPr>
        <w:t xml:space="preserve">)</w:t>
      </w:r>
      <w:r>
        <w:br/>
      </w:r>
      <w:r>
        <w:rPr>
          <w:rStyle w:val="NormalTok"/>
        </w:rPr>
        <w:t xml:space="preserve">    boot_df </w:t>
      </w:r>
      <w:r>
        <w:rPr>
          <w:rStyle w:val="OperatorTok"/>
        </w:rPr>
        <w:t xml:space="preserve">=</w:t>
      </w:r>
      <w:r>
        <w:rPr>
          <w:rStyle w:val="NormalTok"/>
        </w:rPr>
        <w:t xml:space="preserve"> pd.concat([test_df[test_df.section_id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sampled])</w:t>
      </w:r>
      <w:r>
        <w:br/>
      </w:r>
      <w:r>
        <w:rPr>
          <w:rStyle w:val="NormalTok"/>
        </w:rPr>
        <w:t xml:space="preserve">    r2_boot.append(r2_score(boot_df[target], boot_df[</w:t>
      </w:r>
      <w:r>
        <w:rPr>
          <w:rStyle w:val="StringTok"/>
        </w:rPr>
        <w:t xml:space="preserve">'predicted'</w:t>
      </w:r>
      <w:r>
        <w:rPr>
          <w:rStyle w:val="NormalTok"/>
        </w:rPr>
        <w:t xml:space="preserve">]))</w:t>
      </w:r>
      <w:r>
        <w:br/>
      </w:r>
      <w:r>
        <w:rPr>
          <w:rStyle w:val="NormalTok"/>
        </w:rPr>
        <w:t xml:space="preserve">ci_lower, ci_upper </w:t>
      </w:r>
      <w:r>
        <w:rPr>
          <w:rStyle w:val="OperatorTok"/>
        </w:rPr>
        <w:t xml:space="preserve">=</w:t>
      </w:r>
      <w:r>
        <w:rPr>
          <w:rStyle w:val="NormalTok"/>
        </w:rPr>
        <w:t xml:space="preserve"> np.percentile(r2_boot, [</w:t>
      </w:r>
      <w:r>
        <w:rPr>
          <w:rStyle w:val="FloatTok"/>
        </w:rPr>
        <w:t xml:space="preserve">2.5</w:t>
      </w:r>
      <w:r>
        <w:rPr>
          <w:rStyle w:val="NormalTok"/>
        </w:rPr>
        <w:t xml:space="preserve">, </w:t>
      </w:r>
      <w:r>
        <w:rPr>
          <w:rStyle w:val="FloatTok"/>
        </w:rPr>
        <w:t xml:space="preserve">97.5</w:t>
      </w:r>
      <w:r>
        <w:rPr>
          <w:rStyle w:val="NormalTok"/>
        </w:rPr>
        <w:t xml:space="preserve">])</w:t>
      </w:r>
    </w:p>
    <w:p>
      <w:pPr>
        <w:pStyle w:val="FirstParagraph"/>
      </w:pPr>
      <w:r>
        <w:t xml:space="preserve">All R² values are reported in the main results tables as</w:t>
      </w:r>
      <w:r>
        <w:t xml:space="preserve"> </w:t>
      </w:r>
      <w:r>
        <w:rPr>
          <w:b/>
          <w:bCs/>
        </w:rPr>
        <w:t xml:space="preserve">point estimate [lower CI, upper CI]</w:t>
      </w:r>
      <w:r>
        <w:t xml:space="preserve"> </w:t>
      </w:r>
      <w:r>
        <w:t xml:space="preserve">— for example,</w:t>
      </w:r>
      <w:r>
        <w:t xml:space="preserve"> </w:t>
      </w:r>
      <w:r>
        <w:rPr>
          <w:rStyle w:val="VerbatimChar"/>
        </w:rPr>
        <w:t xml:space="preserve">0.996 [0.991, 0.999]</w:t>
      </w:r>
      <w:r>
        <w:t xml:space="preserve">. Confidence intervals are not relegated to supplementary material. Wide intervals are reported without apology: they accurately characterize what 7 test sections can and cannot establish, and that characterization is part of the paper’s argument about small-sample inference in infrastructure ML.</w:t>
      </w:r>
    </w:p>
    <w:bookmarkEnd w:id="20"/>
    <w:bookmarkStart w:id="21" w:name="leave-one-region-out-validation"/>
    <w:p>
      <w:pPr>
        <w:pStyle w:val="Heading3"/>
      </w:pPr>
      <w:r>
        <w:t xml:space="preserve">3.11.3 Leave-One-Region-Out Validation</w:t>
      </w:r>
    </w:p>
    <w:p>
      <w:pPr>
        <w:pStyle w:val="FirstParagraph"/>
      </w:pPr>
      <w:r>
        <w:t xml:space="preserve">LOO validation is applied to the</w:t>
      </w:r>
      <w:r>
        <w:t xml:space="preserve"> </w:t>
      </w:r>
      <w:r>
        <w:rPr>
          <w:b/>
          <w:bCs/>
        </w:rPr>
        <w:t xml:space="preserve">design model only</w:t>
      </w:r>
      <w:r>
        <w:t xml:space="preserve"> </w:t>
      </w:r>
      <w:r>
        <w:t xml:space="preserve">and constitutes the primary generalization test of the study. Four iterations are performed, each withholding all sections from one region as the evaluation set and retraining on the remaining three regions’ sections.</w:t>
      </w:r>
    </w:p>
    <w:p>
      <w:pPr>
        <w:pStyle w:val="BodyText"/>
      </w:pPr>
      <w:r>
        <w:rPr>
          <w:b/>
          <w:bCs/>
        </w:rPr>
        <w:t xml:space="preserve">Hyperparameters in LOO.</w:t>
      </w:r>
      <w:r>
        <w:t xml:space="preserve"> </w:t>
      </w:r>
      <w:r>
        <w:t xml:space="preserve">The hyperparameters selected in Section 3.10 on the full training set are used unchanged in all four LOO iterations. No re-tuning is performed. This isolates transferability from tuning ability: a lower LOO R² means the learned structure does not transfer to the withheld climate zone, not that better hyperparameters would resolve the gap. To test whether this choice materially affects the Ontario result — the most important LOO case — a sensitivity run is performed: the Ontario-withheld iteration is re-run with a 50-trial Optuna re-tune on the three-region training set. If the re-tuned and fixed-hyperparameter LOO R² differ by less than 0.05, the fixed-hyperparameter approach is confirmed as the primary reported result. If the gap exceeds 0.05, both values are reported with explanation.</w:t>
      </w:r>
    </w:p>
    <w:p>
      <w:pPr>
        <w:pStyle w:val="BodyText"/>
      </w:pPr>
      <w:r>
        <w:rPr>
          <w:b/>
          <w:bCs/>
        </w:rPr>
        <w:t xml:space="preserve">Leakage prevention in LOO.</w:t>
      </w:r>
      <w:r>
        <w:t xml:space="preserve"> </w:t>
      </w:r>
      <w:r>
        <w:t xml:space="preserve">Each LOO iteration independently refits group-median imputation medians and the StandardScaler on the three-region training set for that iteration. The statistics from the withheld region are not used at any point — not for imputation, not for scaling, not for collinearity reduction. Using globally-fitted preprocessing parameters in LOO constitutes information leakage from the withheld region into the training pipeline and invalidates the transferability test.</w:t>
      </w:r>
    </w:p>
    <w:p>
      <w:pPr>
        <w:pStyle w:val="BodyText"/>
      </w:pPr>
      <w:r>
        <w:rPr>
          <w:b/>
          <w:bCs/>
        </w:rPr>
        <w:t xml:space="preserve">Expected LOO results:</w:t>
      </w:r>
    </w:p>
    <w:tbl>
      <w:tblPr>
        <w:tblStyle w:val="Table"/>
        <w:tblW w:type="pct" w:w="5000"/>
        <w:tblLayout w:type="fixed"/>
        <w:tblLook w:firstRow="1" w:lastRow="0" w:firstColumn="0" w:lastColumn="0" w:noHBand="0" w:noVBand="0" w:val="0020"/>
      </w:tblPr>
      <w:tblGrid>
        <w:gridCol w:w="1951"/>
        <w:gridCol w:w="1033"/>
        <w:gridCol w:w="3099"/>
        <w:gridCol w:w="1836"/>
      </w:tblGrid>
      <w:tr>
        <w:trPr>
          <w:tblHeader w:val="on"/>
        </w:trPr>
        <w:tc>
          <w:tcPr/>
          <w:p>
            <w:pPr>
              <w:pStyle w:val="Compact"/>
            </w:pPr>
            <w:r>
              <w:t xml:space="preserve">Withheld region</w:t>
            </w:r>
          </w:p>
        </w:tc>
        <w:tc>
          <w:tcPr/>
          <w:p>
            <w:pPr>
              <w:pStyle w:val="Compact"/>
            </w:pPr>
            <w:r>
              <w:t xml:space="preserve">Mean FI</w:t>
            </w:r>
          </w:p>
        </w:tc>
        <w:tc>
          <w:tcPr/>
          <w:p>
            <w:pPr>
              <w:pStyle w:val="Compact"/>
            </w:pPr>
            <w:r>
              <w:t xml:space="preserve">Expected IRI design LOO R²</w:t>
            </w:r>
          </w:p>
        </w:tc>
        <w:tc>
          <w:tcPr/>
          <w:p>
            <w:pPr>
              <w:pStyle w:val="Compact"/>
            </w:pPr>
            <w:r>
              <w:t xml:space="preserve">Interpretation</w:t>
            </w:r>
          </w:p>
        </w:tc>
      </w:tr>
      <w:tr>
        <w:tc>
          <w:tcPr/>
          <w:p>
            <w:pPr>
              <w:pStyle w:val="Compact"/>
            </w:pPr>
            <w:r>
              <w:t xml:space="preserve">Arizona</w:t>
            </w:r>
          </w:p>
        </w:tc>
        <w:tc>
          <w:tcPr/>
          <w:p>
            <w:pPr>
              <w:pStyle w:val="Compact"/>
            </w:pPr>
            <w:r>
              <w:t xml:space="preserve">5.9</w:t>
            </w:r>
          </w:p>
        </w:tc>
        <w:tc>
          <w:tcPr/>
          <w:p>
            <w:pPr>
              <w:pStyle w:val="Compact"/>
            </w:pPr>
            <w:r>
              <w:t xml:space="preserve">≈ −0.41</w:t>
            </w:r>
          </w:p>
        </w:tc>
        <w:tc>
          <w:tcPr/>
          <w:p>
            <w:pPr>
              <w:pStyle w:val="Compact"/>
            </w:pPr>
            <w:r>
              <w:t xml:space="preserve">Trained on high-freeze data; over-predicts warm-climate sections</w:t>
            </w:r>
          </w:p>
        </w:tc>
      </w:tr>
      <w:tr>
        <w:tc>
          <w:tcPr/>
          <w:p>
            <w:pPr>
              <w:pStyle w:val="Compact"/>
            </w:pPr>
            <w:r>
              <w:t xml:space="preserve">Georgia</w:t>
            </w:r>
          </w:p>
        </w:tc>
        <w:tc>
          <w:tcPr/>
          <w:p>
            <w:pPr>
              <w:pStyle w:val="Compact"/>
            </w:pPr>
            <w:r>
              <w:t xml:space="preserve">10.9</w:t>
            </w:r>
          </w:p>
        </w:tc>
        <w:tc>
          <w:tcPr/>
          <w:p>
            <w:pPr>
              <w:pStyle w:val="Compact"/>
            </w:pPr>
            <w:r>
              <w:t xml:space="preserve">≈ −0.33</w:t>
            </w:r>
          </w:p>
        </w:tc>
        <w:tc>
          <w:tcPr/>
          <w:p>
            <w:pPr>
              <w:pStyle w:val="Compact"/>
            </w:pPr>
            <w:r>
              <w:t xml:space="preserve">Wet subtropical conditions not represented in training distribution</w:t>
            </w:r>
          </w:p>
        </w:tc>
      </w:tr>
      <w:tr>
        <w:tc>
          <w:tcPr/>
          <w:p>
            <w:pPr>
              <w:pStyle w:val="Compact"/>
            </w:pPr>
            <w:r>
              <w:t xml:space="preserve">Ohio</w:t>
            </w:r>
          </w:p>
        </w:tc>
        <w:tc>
          <w:tcPr/>
          <w:p>
            <w:pPr>
              <w:pStyle w:val="Compact"/>
            </w:pPr>
            <w:r>
              <w:t xml:space="preserve">316.6</w:t>
            </w:r>
          </w:p>
        </w:tc>
        <w:tc>
          <w:tcPr/>
          <w:p>
            <w:pPr>
              <w:pStyle w:val="Compact"/>
            </w:pPr>
            <w:r>
              <w:t xml:space="preserve">≈ +0.09</w:t>
            </w:r>
          </w:p>
        </w:tc>
        <w:tc>
          <w:tcPr/>
          <w:p>
            <w:pPr>
              <w:pStyle w:val="Compact"/>
            </w:pPr>
            <w:r>
              <w:t xml:space="preserve">Partial success — FI within training envelope from Ontario sections</w:t>
            </w:r>
          </w:p>
        </w:tc>
      </w:tr>
      <w:tr>
        <w:tc>
          <w:tcPr/>
          <w:p>
            <w:pPr>
              <w:pStyle w:val="Compact"/>
            </w:pPr>
            <w:r>
              <w:t xml:space="preserve">Ontario</w:t>
            </w:r>
          </w:p>
        </w:tc>
        <w:tc>
          <w:tcPr/>
          <w:p>
            <w:pPr>
              <w:pStyle w:val="Compact"/>
            </w:pPr>
            <w:r>
              <w:t xml:space="preserve">834.9</w:t>
            </w:r>
          </w:p>
        </w:tc>
        <w:tc>
          <w:tcPr/>
          <w:p>
            <w:pPr>
              <w:pStyle w:val="Compact"/>
            </w:pPr>
            <w:r>
              <w:t xml:space="preserve">≈ −0.67</w:t>
            </w:r>
          </w:p>
        </w:tc>
        <w:tc>
          <w:tcPr/>
          <w:p>
            <w:pPr>
              <w:pStyle w:val="Compact"/>
            </w:pPr>
            <w:r>
              <w:t xml:space="preserve">Extreme freeze-thaw subgrade deformation not seen during training</w:t>
            </w:r>
          </w:p>
        </w:tc>
      </w:tr>
    </w:tbl>
    <w:p>
      <w:pPr>
        <w:pStyle w:val="BodyText"/>
      </w:pPr>
      <w:r>
        <w:t xml:space="preserve">Ohio’s partial success is mechanistically specific: its FI (316.6) sits between Georgia (10.9) and Ontario (834.9), so the model interpolates rather than extrapolates. This is a dataset property — Ohio succeeds because its climate regime was represented in training — not a model property.</w:t>
      </w:r>
    </w:p>
    <w:p>
      <w:pPr>
        <w:pStyle w:val="BodyText"/>
      </w:pPr>
      <w:r>
        <w:rPr>
          <w:b/>
          <w:bCs/>
        </w:rPr>
        <w:t xml:space="preserve">Ontario section-level sensitivity analysis.</w:t>
      </w:r>
      <w:r>
        <w:t xml:space="preserve"> </w:t>
      </w:r>
      <w:r>
        <w:t xml:space="preserve">To determine whether the aggregate Ontario LOO R² is driven by the extreme-freeze sections or is consistent across all seven sections,</w:t>
      </w:r>
      <w:r>
        <w:t xml:space="preserve"> </w:t>
      </w:r>
      <w:r>
        <w:rPr>
          <w:b/>
          <w:bCs/>
        </w:rPr>
        <w:t xml:space="preserve">seven sub-iterations</w:t>
      </w:r>
      <w:r>
        <w:t xml:space="preserve"> </w:t>
      </w:r>
      <w:r>
        <w:t xml:space="preserve">are run — one per Ontario section. In each sub-iteration, the single specified Ontario section is the sole test unit; the remaining 47 sections (all other Ontario sections included) form the training set.</w:t>
      </w:r>
    </w:p>
    <w:p>
      <w:pPr>
        <w:pStyle w:val="BodyText"/>
      </w:pPr>
      <w:r>
        <w:t xml:space="preserve">Ontario section visit-date counts range from 9 (sections 960 and 961) to 29 (section 1622). Individual R² estimates on 9–10 visit-observations are highly unstable. Sub-iteration results are therefore treated as</w:t>
      </w:r>
      <w:r>
        <w:t xml:space="preserve"> </w:t>
      </w:r>
      <w:r>
        <w:rPr>
          <w:b/>
          <w:bCs/>
        </w:rPr>
        <w:t xml:space="preserve">exploratory point estimates without bootstrap confidence intervals</w:t>
      </w:r>
      <w:r>
        <w:t xml:space="preserve"> </w:t>
      </w:r>
      <w:r>
        <w:t xml:space="preserve">and are not reported in the main results table. They are presented in a single scatter plot with mean freeze index on the x-axis and per-section LOO R² on the y-axis. The purpose of this plot is directional: it tests whether the LOO failure tracks the freeze index gradient monotonically, or whether it shows a threshold effect between the moderate-high and extreme sub-groups. Interpretation is qualitative — the plot supports or contradicts the continuous-function hypothesis but cannot establish it statistically at these sample sizes.</w:t>
      </w:r>
    </w:p>
    <w:bookmarkEnd w:id="21"/>
    <w:bookmarkStart w:id="22" w:name="residual-diagnostics"/>
    <w:p>
      <w:pPr>
        <w:pStyle w:val="Heading3"/>
      </w:pPr>
      <w:r>
        <w:t xml:space="preserve">3.11.4 Residual Diagnostics</w:t>
      </w:r>
    </w:p>
    <w:p>
      <w:pPr>
        <w:pStyle w:val="FirstParagraph"/>
      </w:pPr>
      <w:r>
        <w:t xml:space="preserve">For both the standard test evaluation and each LOO iteration, four diagnostic plots are produced:</w:t>
      </w:r>
    </w:p>
    <w:p>
      <w:pPr>
        <w:pStyle w:val="Compact"/>
        <w:numPr>
          <w:ilvl w:val="0"/>
          <w:numId w:val="1003"/>
        </w:numPr>
      </w:pPr>
      <w:r>
        <w:rPr>
          <w:b/>
          <w:bCs/>
        </w:rPr>
        <w:t xml:space="preserve">Residuals vs. predicted value</w:t>
      </w:r>
      <w:r>
        <w:t xml:space="preserve"> </w:t>
      </w:r>
      <w:r>
        <w:t xml:space="preserve">— tests for heteroscedasticity and systematic bias direction</w:t>
      </w:r>
    </w:p>
    <w:p>
      <w:pPr>
        <w:pStyle w:val="Compact"/>
        <w:numPr>
          <w:ilvl w:val="0"/>
          <w:numId w:val="1003"/>
        </w:numPr>
      </w:pPr>
      <w:r>
        <w:rPr>
          <w:b/>
          <w:bCs/>
        </w:rPr>
        <w:t xml:space="preserve">Residuals vs. observation year</w:t>
      </w:r>
      <w:r>
        <w:t xml:space="preserve"> </w:t>
      </w:r>
      <w:r>
        <w:t xml:space="preserve">— tests for temporal drift; a correctly partitioned study should show no systematic trend across 1989–2021</w:t>
      </w:r>
    </w:p>
    <w:p>
      <w:pPr>
        <w:pStyle w:val="Compact"/>
        <w:numPr>
          <w:ilvl w:val="0"/>
          <w:numId w:val="1003"/>
        </w:numPr>
      </w:pPr>
      <w:r>
        <w:rPr>
          <w:b/>
          <w:bCs/>
        </w:rPr>
        <w:t xml:space="preserve">Residuals by region</w:t>
      </w:r>
      <w:r>
        <w:t xml:space="preserve"> </w:t>
      </w:r>
      <w:r>
        <w:t xml:space="preserve">— box plots showing median and IQR per region; freeze-prone regions are expected to show positive median bias in the design model (systematic IRI under-prediction)</w:t>
      </w:r>
    </w:p>
    <w:p>
      <w:pPr>
        <w:pStyle w:val="Compact"/>
        <w:numPr>
          <w:ilvl w:val="0"/>
          <w:numId w:val="1003"/>
        </w:numPr>
      </w:pPr>
      <w:r>
        <w:rPr>
          <w:b/>
          <w:bCs/>
        </w:rPr>
        <w:t xml:space="preserve">Residuals vs. freeze index</w:t>
      </w:r>
      <w:r>
        <w:t xml:space="preserve"> </w:t>
      </w:r>
      <w:r>
        <w:t xml:space="preserve">— scatter plot to characterize the climate-performance relationship in model errors</w:t>
      </w:r>
    </w:p>
    <w:p>
      <w:r>
        <w:pict>
          <v:rect style="width:0;height:1.5pt" o:hralign="center" o:hrstd="t" o:hr="t"/>
        </w:pict>
      </w:r>
    </w:p>
    <w:bookmarkEnd w:id="22"/>
    <w:bookmarkEnd w:id="23"/>
    <w:bookmarkStart w:id="27" w:name="interpretability-framework"/>
    <w:p>
      <w:pPr>
        <w:pStyle w:val="Heading2"/>
      </w:pPr>
      <w:r>
        <w:t xml:space="preserve">3.12 Interpretability Framework</w:t>
      </w:r>
    </w:p>
    <w:bookmarkStart w:id="24" w:name="shap-treeexplainer"/>
    <w:p>
      <w:pPr>
        <w:pStyle w:val="Heading3"/>
      </w:pPr>
      <w:r>
        <w:t xml:space="preserve">3.12.1 SHAP TreeExplainer</w:t>
      </w:r>
    </w:p>
    <w:p>
      <w:pPr>
        <w:pStyle w:val="FirstParagraph"/>
      </w:pPr>
      <w:r>
        <w:t xml:space="preserve">SHAP TreeExplainer is applied to the XGBoost design models only. TreeExplainer computes exact Shapley values by exploiting the internal tree structure of XGBoost directly; it is not an approximation and is the appropriate explainer for this architecture. KernelExplainer is not used — it is approximation-based, substantially slower, and unnecessary for tree models.</w:t>
      </w:r>
    </w:p>
    <w:p>
      <w:pPr>
        <w:pStyle w:val="BodyText"/>
      </w:pPr>
      <w:r>
        <w:rPr>
          <w:b/>
          <w:bCs/>
        </w:rPr>
        <w:t xml:space="preserve">Non-causality statement.</w:t>
      </w:r>
      <w:r>
        <w:t xml:space="preserve"> </w:t>
      </w:r>
      <w:r>
        <w:t xml:space="preserve">SHAP values describe associations within model behavior on this training dataset. They do not establish causal relationships between features and deterioration outcomes. Language throughout the manuscript is restricted to constructions such as</w:t>
      </w:r>
      <w:r>
        <w:t xml:space="preserve"> </w:t>
      </w:r>
      <w:r>
        <w:t xml:space="preserve">“associated with higher predicted IRI”</w:t>
      </w:r>
      <w:r>
        <w:t xml:space="preserve"> </w:t>
      </w:r>
      <w:r>
        <w:t xml:space="preserve">and</w:t>
      </w:r>
      <w:r>
        <w:t xml:space="preserve"> </w:t>
      </w:r>
      <w:r>
        <w:t xml:space="preserve">“the model attributes a larger contribution to feature X.”</w:t>
      </w:r>
      <w:r>
        <w:t xml:space="preserve"> </w:t>
      </w:r>
      <w:r>
        <w:t xml:space="preserve">The terms</w:t>
      </w:r>
      <w:r>
        <w:t xml:space="preserve"> </w:t>
      </w:r>
      <w:r>
        <w:t xml:space="preserve">“causes”</w:t>
      </w:r>
      <w:r>
        <w:t xml:space="preserve"> </w:t>
      </w:r>
      <w:r>
        <w:t xml:space="preserve">and</w:t>
      </w:r>
      <w:r>
        <w:t xml:space="preserve"> </w:t>
      </w:r>
      <w:r>
        <w:t xml:space="preserve">“drives”</w:t>
      </w:r>
      <w:r>
        <w:t xml:space="preserve"> </w:t>
      </w:r>
      <w:r>
        <w:t xml:space="preserve">are not used in a causal sense anywhere in relation to SHAP outputs.</w:t>
      </w:r>
    </w:p>
    <w:p>
      <w:pPr>
        <w:pStyle w:val="BodyText"/>
      </w:pPr>
      <w:r>
        <w:t xml:space="preserve">The following SHAP outputs are computed:</w:t>
      </w:r>
    </w:p>
    <w:p>
      <w:pPr>
        <w:pStyle w:val="Compact"/>
        <w:numPr>
          <w:ilvl w:val="0"/>
          <w:numId w:val="1004"/>
        </w:numPr>
      </w:pPr>
      <w:r>
        <w:rPr>
          <w:b/>
          <w:bCs/>
        </w:rPr>
        <w:t xml:space="preserve">Global importance:</w:t>
      </w:r>
      <w:r>
        <w:t xml:space="preserve"> </w:t>
      </w:r>
      <w:r>
        <w:t xml:space="preserve">mean(|SHAP|) per feature across all test visit-observations, producing the feature importance bar chart</w:t>
      </w:r>
    </w:p>
    <w:p>
      <w:pPr>
        <w:pStyle w:val="Compact"/>
        <w:numPr>
          <w:ilvl w:val="0"/>
          <w:numId w:val="1004"/>
        </w:numPr>
      </w:pPr>
      <w:r>
        <w:rPr>
          <w:b/>
          <w:bCs/>
        </w:rPr>
        <w:t xml:space="preserve">Beeswarm plot:</w:t>
      </w:r>
      <w:r>
        <w:t xml:space="preserve"> </w:t>
      </w:r>
      <w:r>
        <w:t xml:space="preserve">SHAP value distribution across all test observations, coloured by feature quantile</w:t>
      </w:r>
    </w:p>
    <w:p>
      <w:pPr>
        <w:pStyle w:val="Compact"/>
        <w:numPr>
          <w:ilvl w:val="0"/>
          <w:numId w:val="1004"/>
        </w:numPr>
      </w:pPr>
      <w:r>
        <w:rPr>
          <w:b/>
          <w:bCs/>
        </w:rPr>
        <w:t xml:space="preserve">Waterfall plots:</w:t>
      </w:r>
      <w:r>
        <w:t xml:space="preserve"> </w:t>
      </w:r>
      <w:r>
        <w:t xml:space="preserve">one representative section per region, decomposing each prediction into additive feature contributions from the dataset baseline E[f(X)]</w:t>
      </w:r>
    </w:p>
    <w:p>
      <w:pPr>
        <w:pStyle w:val="Compact"/>
        <w:numPr>
          <w:ilvl w:val="0"/>
          <w:numId w:val="1004"/>
        </w:numPr>
      </w:pPr>
      <w:r>
        <w:rPr>
          <w:b/>
          <w:bCs/>
        </w:rPr>
        <w:t xml:space="preserve">Regional stratification:</w:t>
      </w:r>
      <w:r>
        <w:t xml:space="preserve"> </w:t>
      </w:r>
      <w:r>
        <w:t xml:space="preserve">global importance recalculated separately for each of the four regional subsets of test data, to characterize which features rise and fall in importance across the climate gradient</w:t>
      </w:r>
    </w:p>
    <w:bookmarkEnd w:id="24"/>
    <w:bookmarkStart w:id="25" w:name="cross-model-shap-consistency-check"/>
    <w:p>
      <w:pPr>
        <w:pStyle w:val="Heading3"/>
      </w:pPr>
      <w:r>
        <w:t xml:space="preserve">3.12.2 Cross-Model SHAP Consistency Check</w:t>
      </w:r>
    </w:p>
    <w:p>
      <w:pPr>
        <w:pStyle w:val="FirstParagraph"/>
      </w:pPr>
      <w:r>
        <w:t xml:space="preserve">Spearman rank correlation between the XGBoost and Random Forest global SHAP importance rankings is computed as a pre-specified stability test. The threshold is</w:t>
      </w:r>
      <w:r>
        <w:t xml:space="preserve"> </w:t>
      </w:r>
      <w:r>
        <w:rPr>
          <w:b/>
          <w:bCs/>
        </w:rPr>
        <w:t xml:space="preserve">ρ &gt; 0.75</w:t>
      </w:r>
      <w:r>
        <w:t xml:space="preserve">, defined before any SHAP results are examined.</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spearmanr</w:t>
      </w:r>
      <w:r>
        <w:br/>
      </w:r>
      <w:r>
        <w:br/>
      </w:r>
      <w:r>
        <w:rPr>
          <w:rStyle w:val="NormalTok"/>
        </w:rPr>
        <w:t xml:space="preserve">xgb_imp </w:t>
      </w:r>
      <w:r>
        <w:rPr>
          <w:rStyle w:val="OperatorTok"/>
        </w:rPr>
        <w:t xml:space="preserve">=</w:t>
      </w:r>
      <w:r>
        <w:rPr>
          <w:rStyle w:val="NormalTok"/>
        </w:rPr>
        <w:t xml:space="preserve"> np.</w:t>
      </w:r>
      <w:r>
        <w:rPr>
          <w:rStyle w:val="BuiltInTok"/>
        </w:rPr>
        <w:t xml:space="preserve">abs</w:t>
      </w:r>
      <w:r>
        <w:rPr>
          <w:rStyle w:val="NormalTok"/>
        </w:rPr>
        <w:t xml:space="preserve">(shap_values_xgb).mean(axis</w:t>
      </w:r>
      <w:r>
        <w:rPr>
          <w:rStyle w:val="OperatorTok"/>
        </w:rPr>
        <w:t xml:space="preserve">=</w:t>
      </w:r>
      <w:r>
        <w:rPr>
          <w:rStyle w:val="DecValTok"/>
        </w:rPr>
        <w:t xml:space="preserve">0</w:t>
      </w:r>
      <w:r>
        <w:rPr>
          <w:rStyle w:val="NormalTok"/>
        </w:rPr>
        <w:t xml:space="preserve">)   </w:t>
      </w:r>
      <w:r>
        <w:rPr>
          <w:rStyle w:val="CommentTok"/>
        </w:rPr>
        <w:t xml:space="preserve"># mean |SHAP| per feature, XGBoost</w:t>
      </w:r>
      <w:r>
        <w:br/>
      </w:r>
      <w:r>
        <w:rPr>
          <w:rStyle w:val="NormalTok"/>
        </w:rPr>
        <w:t xml:space="preserve">rf_imp  </w:t>
      </w:r>
      <w:r>
        <w:rPr>
          <w:rStyle w:val="OperatorTok"/>
        </w:rPr>
        <w:t xml:space="preserve">=</w:t>
      </w:r>
      <w:r>
        <w:rPr>
          <w:rStyle w:val="NormalTok"/>
        </w:rPr>
        <w:t xml:space="preserve"> np.</w:t>
      </w:r>
      <w:r>
        <w:rPr>
          <w:rStyle w:val="BuiltInTok"/>
        </w:rPr>
        <w:t xml:space="preserve">abs</w:t>
      </w:r>
      <w:r>
        <w:rPr>
          <w:rStyle w:val="NormalTok"/>
        </w:rPr>
        <w:t xml:space="preserve">(shap_values_rf).mean(axis</w:t>
      </w:r>
      <w:r>
        <w:rPr>
          <w:rStyle w:val="OperatorTok"/>
        </w:rPr>
        <w:t xml:space="preserve">=</w:t>
      </w:r>
      <w:r>
        <w:rPr>
          <w:rStyle w:val="DecValTok"/>
        </w:rPr>
        <w:t xml:space="preserve">0</w:t>
      </w:r>
      <w:r>
        <w:rPr>
          <w:rStyle w:val="NormalTok"/>
        </w:rPr>
        <w:t xml:space="preserve">)    </w:t>
      </w:r>
      <w:r>
        <w:rPr>
          <w:rStyle w:val="CommentTok"/>
        </w:rPr>
        <w:t xml:space="preserve"># mean |SHAP| per feature, RF</w:t>
      </w:r>
      <w:r>
        <w:br/>
      </w:r>
      <w:r>
        <w:br/>
      </w:r>
      <w:r>
        <w:rPr>
          <w:rStyle w:val="CommentTok"/>
        </w:rPr>
        <w:t xml:space="preserve"># spearmanr ranks inputs internally in ascending order (least important = rank 1).</w:t>
      </w:r>
      <w:r>
        <w:br/>
      </w:r>
      <w:r>
        <w:rPr>
          <w:rStyle w:val="CommentTok"/>
        </w:rPr>
        <w:t xml:space="preserve"># Applying it to raw importance vectors is equivalent to and cleaner than</w:t>
      </w:r>
      <w:r>
        <w:br/>
      </w:r>
      <w:r>
        <w:rPr>
          <w:rStyle w:val="CommentTok"/>
        </w:rPr>
        <w:t xml:space="preserve"># pre-converting via argsort().argsort().</w:t>
      </w:r>
      <w:r>
        <w:br/>
      </w:r>
      <w:r>
        <w:rPr>
          <w:rStyle w:val="NormalTok"/>
        </w:rPr>
        <w:t xml:space="preserve">rho, pval </w:t>
      </w:r>
      <w:r>
        <w:rPr>
          <w:rStyle w:val="OperatorTok"/>
        </w:rPr>
        <w:t xml:space="preserve">=</w:t>
      </w:r>
      <w:r>
        <w:rPr>
          <w:rStyle w:val="NormalTok"/>
        </w:rPr>
        <w:t xml:space="preserve"> spearmanr(xgb_imp, rf_imp)</w:t>
      </w:r>
    </w:p>
    <w:p>
      <w:pPr>
        <w:pStyle w:val="FirstParagraph"/>
      </w:pPr>
      <w:r>
        <w:t xml:space="preserve">Based on prior analysis, ρ ≈ 0.594 is expected — below the pre-specified threshold of 0.75. The consequence is explicit and stated in the Results section: robust cross-model SHAP claims are restricted to the top-ranking features where both models agree. Features below the convergence zone are reported with the explicit caveat that their importance rankings are unstable in this small-sample setting. This is a substantive methodological finding applicable beyond pavement engineering.</w:t>
      </w:r>
    </w:p>
    <w:p>
      <w:pPr>
        <w:pStyle w:val="BodyText"/>
      </w:pPr>
      <w:r>
        <w:t xml:space="preserve">The ρ estimate itself is based on 7 test sections and carries sampling uncertainty. It is treated as an approximate rather than a precise boundary, and this is acknowledged in the Results section.</w:t>
      </w:r>
    </w:p>
    <w:bookmarkEnd w:id="25"/>
    <w:bookmarkStart w:id="26" w:name="partial-dependence-plots"/>
    <w:p>
      <w:pPr>
        <w:pStyle w:val="Heading3"/>
      </w:pPr>
      <w:r>
        <w:t xml:space="preserve">3.12.3 Partial Dependence Plots</w:t>
      </w:r>
    </w:p>
    <w:p>
      <w:pPr>
        <w:pStyle w:val="FirstParagraph"/>
      </w:pPr>
      <w:r>
        <w:rPr>
          <w:b/>
          <w:bCs/>
        </w:rPr>
        <w:t xml:space="preserve">One-way PDPs</w:t>
      </w:r>
      <w:r>
        <w:t xml:space="preserve"> </w:t>
      </w:r>
      <w:r>
        <w:t xml:space="preserve">are computed for five features:</w:t>
      </w:r>
      <w:r>
        <w:t xml:space="preserve"> </w:t>
      </w:r>
      <w:r>
        <w:rPr>
          <w:rStyle w:val="VerbatimChar"/>
        </w:rPr>
        <w:t xml:space="preserve">AGE_YEARS</w:t>
      </w:r>
      <w:r>
        <w:t xml:space="preserve">,</w:t>
      </w:r>
      <w:r>
        <w:t xml:space="preserve"> </w:t>
      </w:r>
      <w:r>
        <w:rPr>
          <w:rStyle w:val="VerbatimChar"/>
        </w:rPr>
        <w:t xml:space="preserve">LAYER_THICKNESS_AC_MM</w:t>
      </w:r>
      <w:r>
        <w:t xml:space="preserve">,</w:t>
      </w:r>
      <w:r>
        <w:t xml:space="preserve"> </w:t>
      </w:r>
      <w:r>
        <w:rPr>
          <w:rStyle w:val="VerbatimChar"/>
        </w:rPr>
        <w:t xml:space="preserve">CLIM_FREEZE_INDEX</w:t>
      </w:r>
      <w:r>
        <w:t xml:space="preserve">,</w:t>
      </w:r>
      <w:r>
        <w:t xml:space="preserve"> </w:t>
      </w:r>
      <w:r>
        <w:rPr>
          <w:rStyle w:val="VerbatimChar"/>
        </w:rPr>
        <w:t xml:space="preserve">UB_RESILIENT_MODULUS</w:t>
      </w:r>
      <w:r>
        <w:t xml:space="preserve">, and</w:t>
      </w:r>
      <w:r>
        <w:t xml:space="preserve"> </w:t>
      </w:r>
      <w:r>
        <w:rPr>
          <w:rStyle w:val="VerbatimChar"/>
        </w:rPr>
        <w:t xml:space="preserve">CLIM_TEMP_MEAN_AVG</w:t>
      </w:r>
      <w:r>
        <w:t xml:space="preserve">. Grid specification:</w:t>
      </w:r>
      <w:r>
        <w:t xml:space="preserve"> </w:t>
      </w:r>
      <w:r>
        <w:rPr>
          <w:b/>
          <w:bCs/>
        </w:rPr>
        <w:t xml:space="preserve">50 quantile-spaced points</w:t>
      </w:r>
      <w:r>
        <w:t xml:space="preserve"> </w:t>
      </w:r>
      <w:r>
        <w:t xml:space="preserve">across the training set range per feature. Quantile spacing is used because</w:t>
      </w:r>
      <w:r>
        <w:t xml:space="preserve"> </w:t>
      </w:r>
      <w:r>
        <w:rPr>
          <w:rStyle w:val="VerbatimChar"/>
        </w:rPr>
        <w:t xml:space="preserve">CLIM_FREEZE_INDEX</w:t>
      </w:r>
      <w:r>
        <w:t xml:space="preserve"> </w:t>
      </w:r>
      <w:r>
        <w:t xml:space="preserve">has a strongly bimodal distribution — 32.3% of training observations at FI = 0 and a separate cluster of Ohio and Ontario observations above FI = 128 — with a structurally empty gap between FI = 107 and FI = 128 where no section exists. Even spacing would waste resolution by placing points in this gap. Quantile spacing concentrates grid points where the training distribution actually lies.</w:t>
      </w:r>
    </w:p>
    <w:p>
      <w:pPr>
        <w:pStyle w:val="BodyText"/>
      </w:pPr>
      <w:r>
        <w:rPr>
          <w:b/>
          <w:bCs/>
        </w:rPr>
        <w:t xml:space="preserve">Two-way PDPs</w:t>
      </w:r>
      <w:r>
        <w:t xml:space="preserve"> </w:t>
      </w:r>
      <w:r>
        <w:t xml:space="preserve">are computed for two feature pairs: (1)</w:t>
      </w:r>
      <w:r>
        <w:t xml:space="preserve"> </w:t>
      </w:r>
      <w:r>
        <w:rPr>
          <w:rStyle w:val="VerbatimChar"/>
        </w:rPr>
        <w:t xml:space="preserve">CLIM_FREEZE_INDEX × LAYER_THICKNESS_AC_MM</w:t>
      </w:r>
      <w:r>
        <w:t xml:space="preserve"> </w:t>
      </w:r>
      <w:r>
        <w:t xml:space="preserve">and (2)</w:t>
      </w:r>
      <w:r>
        <w:t xml:space="preserve"> </w:t>
      </w:r>
      <w:r>
        <w:rPr>
          <w:rStyle w:val="VerbatimChar"/>
        </w:rPr>
        <w:t xml:space="preserve">AGE_YEARS × CLIM_FREEZE_INDEX</w:t>
      </w:r>
      <w:r>
        <w:t xml:space="preserve">. Grid:</w:t>
      </w:r>
      <w:r>
        <w:t xml:space="preserve"> </w:t>
      </w:r>
      <w:r>
        <w:rPr>
          <w:b/>
          <w:bCs/>
        </w:rPr>
        <w:t xml:space="preserve">30 × 30 quantile-spaced points</w:t>
      </w:r>
      <w:r>
        <w:t xml:space="preserve"> </w:t>
      </w:r>
      <w:r>
        <w:t xml:space="preserve">on each axis. Both PDPs are computed by averaging model predictions over the marginal distribution of all other features, using the training set for this averaging.</w:t>
      </w:r>
    </w:p>
    <w:p>
      <w:pPr>
        <w:pStyle w:val="BodyText"/>
      </w:pPr>
      <w:r>
        <w:t xml:space="preserve">All PDPs are computed on the training set. The test set (7 sections, 9–29 visit-observations per section) does not provide sufficient coverage of the marginal feature distributions.</w:t>
      </w:r>
    </w:p>
    <w:p>
      <w:r>
        <w:pict>
          <v:rect style="width:0;height:1.5pt" o:hralign="center" o:hrstd="t" o:hr="t"/>
        </w:pict>
      </w:r>
    </w:p>
    <w:bookmarkEnd w:id="26"/>
    <w:bookmarkEnd w:id="27"/>
    <w:bookmarkStart w:id="28" w:name="Xbe2ab8abcd4ecc2513e365180e9798fb80b6e5d"/>
    <w:p>
      <w:pPr>
        <w:pStyle w:val="Heading2"/>
      </w:pPr>
      <w:r>
        <w:t xml:space="preserve">3.13 Output Requirements and Consistency Checks</w:t>
      </w:r>
    </w:p>
    <w:p>
      <w:pPr>
        <w:pStyle w:val="FirstParagraph"/>
      </w:pPr>
      <w:r>
        <w:t xml:space="preserve">All of the following outputs must exist and pass the internal consistency checks before the Results section is drafted:</w:t>
      </w:r>
    </w:p>
    <w:tbl>
      <w:tblPr>
        <w:tblStyle w:val="Table"/>
        <w:tblW w:type="pct" w:w="5000"/>
        <w:tblLayout w:type="fixed"/>
        <w:tblLook w:firstRow="1" w:lastRow="0" w:firstColumn="0" w:lastColumn="0" w:noHBand="0" w:noVBand="0" w:val="0020"/>
      </w:tblPr>
      <w:tblGrid>
        <w:gridCol w:w="3217"/>
        <w:gridCol w:w="2475"/>
        <w:gridCol w:w="2227"/>
      </w:tblGrid>
      <w:tr>
        <w:trPr>
          <w:tblHeader w:val="on"/>
        </w:trPr>
        <w:tc>
          <w:tcPr/>
          <w:p>
            <w:pPr>
              <w:pStyle w:val="Compact"/>
            </w:pPr>
            <w:r>
              <w:t xml:space="preserve">Output file</w:t>
            </w:r>
          </w:p>
        </w:tc>
        <w:tc>
          <w:tcPr/>
          <w:p>
            <w:pPr>
              <w:pStyle w:val="Compact"/>
            </w:pPr>
            <w:r>
              <w:t xml:space="preserve">Contents</w:t>
            </w:r>
          </w:p>
        </w:tc>
        <w:tc>
          <w:tcPr/>
          <w:p>
            <w:pPr>
              <w:pStyle w:val="Compact"/>
            </w:pPr>
            <w:r>
              <w:t xml:space="preserve">Used in</w:t>
            </w:r>
          </w:p>
        </w:tc>
      </w:tr>
      <w:tr>
        <w:tc>
          <w:tcPr/>
          <w:p>
            <w:pPr>
              <w:pStyle w:val="Compact"/>
            </w:pPr>
            <w:r>
              <w:rPr>
                <w:rStyle w:val="VerbatimChar"/>
              </w:rPr>
              <w:t xml:space="preserve">results/benchmark_metrics.csv</w:t>
            </w:r>
          </w:p>
        </w:tc>
        <w:tc>
          <w:tcPr/>
          <w:p>
            <w:pPr>
              <w:pStyle w:val="Compact"/>
            </w:pPr>
            <w:r>
              <w:t xml:space="preserve">R², RMSE, MAE for all 4 benchmarks with bootstrap CIs</w:t>
            </w:r>
          </w:p>
        </w:tc>
        <w:tc>
          <w:tcPr/>
          <w:p>
            <w:pPr>
              <w:pStyle w:val="Compact"/>
            </w:pPr>
            <w:r>
              <w:t xml:space="preserve">Table 3</w:t>
            </w:r>
          </w:p>
        </w:tc>
      </w:tr>
      <w:tr>
        <w:tc>
          <w:tcPr/>
          <w:p>
            <w:pPr>
              <w:pStyle w:val="Compact"/>
            </w:pPr>
            <w:r>
              <w:rPr>
                <w:rStyle w:val="VerbatimChar"/>
              </w:rPr>
              <w:t xml:space="preserve">results/common_set_comparison.csv</w:t>
            </w:r>
          </w:p>
        </w:tc>
        <w:tc>
          <w:tcPr/>
          <w:p>
            <w:pPr>
              <w:pStyle w:val="Compact"/>
            </w:pPr>
            <w:r>
              <w:t xml:space="preserve">Monitoring model and persistence k=1,2,3 on 251-obs common set</w:t>
            </w:r>
          </w:p>
        </w:tc>
        <w:tc>
          <w:tcPr/>
          <w:p>
            <w:pPr>
              <w:pStyle w:val="Compact"/>
            </w:pPr>
            <w:r>
              <w:t xml:space="preserve">Table 3</w:t>
            </w:r>
          </w:p>
        </w:tc>
      </w:tr>
      <w:tr>
        <w:tc>
          <w:tcPr/>
          <w:p>
            <w:pPr>
              <w:pStyle w:val="Compact"/>
            </w:pPr>
            <w:r>
              <w:rPr>
                <w:rStyle w:val="VerbatimChar"/>
              </w:rPr>
              <w:t xml:space="preserve">results/design_model_metrics.csv</w:t>
            </w:r>
          </w:p>
        </w:tc>
        <w:tc>
          <w:tcPr/>
          <w:p>
            <w:pPr>
              <w:pStyle w:val="Compact"/>
            </w:pPr>
            <w:r>
              <w:t xml:space="preserve">Test R², RMSE, MAE [CI] for all design models</w:t>
            </w:r>
          </w:p>
        </w:tc>
        <w:tc>
          <w:tcPr/>
          <w:p>
            <w:pPr>
              <w:pStyle w:val="Compact"/>
            </w:pPr>
            <w:r>
              <w:t xml:space="preserve">Table 4</w:t>
            </w:r>
          </w:p>
        </w:tc>
      </w:tr>
      <w:tr>
        <w:tc>
          <w:tcPr/>
          <w:p>
            <w:pPr>
              <w:pStyle w:val="Compact"/>
            </w:pPr>
            <w:r>
              <w:rPr>
                <w:rStyle w:val="VerbatimChar"/>
              </w:rPr>
              <w:t xml:space="preserve">results/monitoring_model_metrics.csv</w:t>
            </w:r>
          </w:p>
        </w:tc>
        <w:tc>
          <w:tcPr/>
          <w:p>
            <w:pPr>
              <w:pStyle w:val="Compact"/>
            </w:pPr>
            <w:r>
              <w:t xml:space="preserve">Test R², RMSE, MAE [CI] for all monitoring models</w:t>
            </w:r>
          </w:p>
        </w:tc>
        <w:tc>
          <w:tcPr/>
          <w:p>
            <w:pPr>
              <w:pStyle w:val="Compact"/>
            </w:pPr>
            <w:r>
              <w:t xml:space="preserve">Table 4</w:t>
            </w:r>
          </w:p>
        </w:tc>
      </w:tr>
      <w:tr>
        <w:tc>
          <w:tcPr/>
          <w:p>
            <w:pPr>
              <w:pStyle w:val="Compact"/>
            </w:pPr>
            <w:r>
              <w:rPr>
                <w:rStyle w:val="VerbatimChar"/>
              </w:rPr>
              <w:t xml:space="preserve">results/loo_arizona.csv</w:t>
            </w:r>
          </w:p>
        </w:tc>
        <w:tc>
          <w:tcPr/>
          <w:p>
            <w:pPr>
              <w:pStyle w:val="Compact"/>
            </w:pPr>
            <w:r>
              <w:t xml:space="preserve">Predictions, actuals, residuals — Arizona withheld</w:t>
            </w:r>
          </w:p>
        </w:tc>
        <w:tc>
          <w:tcPr/>
          <w:p>
            <w:pPr>
              <w:pStyle w:val="Compact"/>
            </w:pPr>
            <w:r>
              <w:t xml:space="preserve">Table 5</w:t>
            </w:r>
          </w:p>
        </w:tc>
      </w:tr>
      <w:tr>
        <w:tc>
          <w:tcPr/>
          <w:p>
            <w:pPr>
              <w:pStyle w:val="Compact"/>
            </w:pPr>
            <w:r>
              <w:rPr>
                <w:rStyle w:val="VerbatimChar"/>
              </w:rPr>
              <w:t xml:space="preserve">results/loo_georgia.csv</w:t>
            </w:r>
          </w:p>
        </w:tc>
        <w:tc>
          <w:tcPr/>
          <w:p>
            <w:pPr>
              <w:pStyle w:val="Compact"/>
            </w:pPr>
            <w:r>
              <w:t xml:space="preserve">Predictions, actuals, residuals — Georgia withheld</w:t>
            </w:r>
          </w:p>
        </w:tc>
        <w:tc>
          <w:tcPr/>
          <w:p>
            <w:pPr>
              <w:pStyle w:val="Compact"/>
            </w:pPr>
            <w:r>
              <w:t xml:space="preserve">Table 5</w:t>
            </w:r>
          </w:p>
        </w:tc>
      </w:tr>
      <w:tr>
        <w:tc>
          <w:tcPr/>
          <w:p>
            <w:pPr>
              <w:pStyle w:val="Compact"/>
            </w:pPr>
            <w:r>
              <w:rPr>
                <w:rStyle w:val="VerbatimChar"/>
              </w:rPr>
              <w:t xml:space="preserve">results/loo_ohio.csv</w:t>
            </w:r>
          </w:p>
        </w:tc>
        <w:tc>
          <w:tcPr/>
          <w:p>
            <w:pPr>
              <w:pStyle w:val="Compact"/>
            </w:pPr>
            <w:r>
              <w:t xml:space="preserve">Predictions, actuals, residuals — Ohio withheld</w:t>
            </w:r>
          </w:p>
        </w:tc>
        <w:tc>
          <w:tcPr/>
          <w:p>
            <w:pPr>
              <w:pStyle w:val="Compact"/>
            </w:pPr>
            <w:r>
              <w:t xml:space="preserve">Table 5</w:t>
            </w:r>
          </w:p>
        </w:tc>
      </w:tr>
      <w:tr>
        <w:tc>
          <w:tcPr/>
          <w:p>
            <w:pPr>
              <w:pStyle w:val="Compact"/>
            </w:pPr>
            <w:r>
              <w:rPr>
                <w:rStyle w:val="VerbatimChar"/>
              </w:rPr>
              <w:t xml:space="preserve">results/loo_ontario.csv</w:t>
            </w:r>
          </w:p>
        </w:tc>
        <w:tc>
          <w:tcPr/>
          <w:p>
            <w:pPr>
              <w:pStyle w:val="Compact"/>
            </w:pPr>
            <w:r>
              <w:t xml:space="preserve">Predictions, actuals, residuals — Ontario withheld</w:t>
            </w:r>
          </w:p>
        </w:tc>
        <w:tc>
          <w:tcPr/>
          <w:p>
            <w:pPr>
              <w:pStyle w:val="Compact"/>
            </w:pPr>
            <w:r>
              <w:t xml:space="preserve">Table 5</w:t>
            </w:r>
          </w:p>
        </w:tc>
      </w:tr>
      <w:tr>
        <w:tc>
          <w:tcPr/>
          <w:p>
            <w:pPr>
              <w:pStyle w:val="Compact"/>
            </w:pPr>
            <w:r>
              <w:rPr>
                <w:rStyle w:val="VerbatimChar"/>
              </w:rPr>
              <w:t xml:space="preserve">results/ontario_section_loo.csv</w:t>
            </w:r>
          </w:p>
        </w:tc>
        <w:tc>
          <w:tcPr/>
          <w:p>
            <w:pPr>
              <w:pStyle w:val="Compact"/>
            </w:pPr>
            <w:r>
              <w:t xml:space="preserve">Per-section LOO R² (7 sub-iterations) vs. mean FI</w:t>
            </w:r>
          </w:p>
        </w:tc>
        <w:tc>
          <w:tcPr/>
          <w:p>
            <w:pPr>
              <w:pStyle w:val="Compact"/>
            </w:pPr>
            <w:r>
              <w:t xml:space="preserve">Figure (exploratory)</w:t>
            </w:r>
          </w:p>
        </w:tc>
      </w:tr>
      <w:tr>
        <w:tc>
          <w:tcPr/>
          <w:p>
            <w:pPr>
              <w:pStyle w:val="Compact"/>
            </w:pPr>
            <w:r>
              <w:rPr>
                <w:rStyle w:val="VerbatimChar"/>
              </w:rPr>
              <w:t xml:space="preserve">results/shap_global.csv</w:t>
            </w:r>
          </w:p>
        </w:tc>
        <w:tc>
          <w:tcPr/>
          <w:p>
            <w:pPr>
              <w:pStyle w:val="Compact"/>
            </w:pPr>
            <w:r>
              <w:t xml:space="preserve">mean(|SHAP|) per feature, XGBoost and RF</w:t>
            </w:r>
          </w:p>
        </w:tc>
        <w:tc>
          <w:tcPr/>
          <w:p>
            <w:pPr>
              <w:pStyle w:val="Compact"/>
            </w:pPr>
            <w:r>
              <w:t xml:space="preserve">Figure — bar chart</w:t>
            </w:r>
          </w:p>
        </w:tc>
      </w:tr>
      <w:tr>
        <w:tc>
          <w:tcPr/>
          <w:p>
            <w:pPr>
              <w:pStyle w:val="Compact"/>
            </w:pPr>
            <w:r>
              <w:rPr>
                <w:rStyle w:val="VerbatimChar"/>
              </w:rPr>
              <w:t xml:space="preserve">results/shap_regional.csv</w:t>
            </w:r>
          </w:p>
        </w:tc>
        <w:tc>
          <w:tcPr/>
          <w:p>
            <w:pPr>
              <w:pStyle w:val="Compact"/>
            </w:pPr>
            <w:r>
              <w:t xml:space="preserve">mean(|SHAP|) per feature per region</w:t>
            </w:r>
          </w:p>
        </w:tc>
        <w:tc>
          <w:tcPr/>
          <w:p>
            <w:pPr>
              <w:pStyle w:val="Compact"/>
            </w:pPr>
            <w:r>
              <w:t xml:space="preserve">Figure — regional SHAP</w:t>
            </w:r>
          </w:p>
        </w:tc>
      </w:tr>
      <w:tr>
        <w:tc>
          <w:tcPr/>
          <w:p>
            <w:pPr>
              <w:pStyle w:val="Compact"/>
            </w:pPr>
            <w:r>
              <w:rPr>
                <w:rStyle w:val="VerbatimChar"/>
              </w:rPr>
              <w:t xml:space="preserve">results/shap_consistency.csv</w:t>
            </w:r>
          </w:p>
        </w:tc>
        <w:tc>
          <w:tcPr/>
          <w:p>
            <w:pPr>
              <w:pStyle w:val="Compact"/>
            </w:pPr>
            <w:r>
              <w:t xml:space="preserve">Raw importance vectors, ρ = 0.594</w:t>
            </w:r>
          </w:p>
        </w:tc>
        <w:tc>
          <w:tcPr/>
          <w:p>
            <w:pPr>
              <w:pStyle w:val="Compact"/>
            </w:pPr>
            <w:r>
              <w:t xml:space="preserve">Section 4.1</w:t>
            </w:r>
          </w:p>
        </w:tc>
      </w:tr>
      <w:tr>
        <w:tc>
          <w:tcPr/>
          <w:p>
            <w:pPr>
              <w:pStyle w:val="Compact"/>
            </w:pPr>
            <w:r>
              <w:rPr>
                <w:rStyle w:val="VerbatimChar"/>
              </w:rPr>
              <w:t xml:space="preserve">figures/beeswarm_iri_design.png</w:t>
            </w:r>
          </w:p>
        </w:tc>
        <w:tc>
          <w:tcPr/>
          <w:p>
            <w:pPr>
              <w:pStyle w:val="Compact"/>
            </w:pPr>
            <w:r>
              <w:t xml:space="preserve">Beeswarm SHAP — IRI design model</w:t>
            </w:r>
          </w:p>
        </w:tc>
        <w:tc>
          <w:tcPr/>
          <w:p>
            <w:pPr>
              <w:pStyle w:val="Compact"/>
            </w:pPr>
            <w:r>
              <w:t xml:space="preserve">Figure 2</w:t>
            </w:r>
          </w:p>
        </w:tc>
      </w:tr>
      <w:tr>
        <w:tc>
          <w:tcPr/>
          <w:p>
            <w:pPr>
              <w:pStyle w:val="Compact"/>
            </w:pPr>
            <w:r>
              <w:rPr>
                <w:rStyle w:val="VerbatimChar"/>
              </w:rPr>
              <w:t xml:space="preserve">figures/shap_bar_iri_design.png</w:t>
            </w:r>
          </w:p>
        </w:tc>
        <w:tc>
          <w:tcPr/>
          <w:p>
            <w:pPr>
              <w:pStyle w:val="Compact"/>
            </w:pPr>
            <w:r>
              <w:t xml:space="preserve">Global SHAP importance bar — IRI design model</w:t>
            </w:r>
          </w:p>
        </w:tc>
        <w:tc>
          <w:tcPr/>
          <w:p>
            <w:pPr>
              <w:pStyle w:val="Compact"/>
            </w:pPr>
            <w:r>
              <w:t xml:space="preserve">Figure 3</w:t>
            </w:r>
          </w:p>
        </w:tc>
      </w:tr>
      <w:tr>
        <w:tc>
          <w:tcPr/>
          <w:p>
            <w:pPr>
              <w:pStyle w:val="Compact"/>
            </w:pPr>
            <w:r>
              <w:rPr>
                <w:rStyle w:val="VerbatimChar"/>
              </w:rPr>
              <w:t xml:space="preserve">figures/loo_scatter_4panel.png</w:t>
            </w:r>
          </w:p>
        </w:tc>
        <w:tc>
          <w:tcPr/>
          <w:p>
            <w:pPr>
              <w:pStyle w:val="Compact"/>
            </w:pPr>
            <w:r>
              <w:t xml:space="preserve">Predicted vs. actual, 4-panel by withheld region</w:t>
            </w:r>
          </w:p>
        </w:tc>
        <w:tc>
          <w:tcPr/>
          <w:p>
            <w:pPr>
              <w:pStyle w:val="Compact"/>
            </w:pPr>
            <w:r>
              <w:t xml:space="preserve">Figure 5</w:t>
            </w:r>
          </w:p>
        </w:tc>
      </w:tr>
      <w:tr>
        <w:tc>
          <w:tcPr/>
          <w:p>
            <w:pPr>
              <w:pStyle w:val="Compact"/>
            </w:pPr>
            <w:r>
              <w:rPr>
                <w:rStyle w:val="VerbatimChar"/>
              </w:rPr>
              <w:t xml:space="preserve">figures/residual_diagnostics.png</w:t>
            </w:r>
          </w:p>
        </w:tc>
        <w:tc>
          <w:tcPr/>
          <w:p>
            <w:pPr>
              <w:pStyle w:val="Compact"/>
            </w:pPr>
            <w:r>
              <w:t xml:space="preserve">4 residual diagnostic plots</w:t>
            </w:r>
          </w:p>
        </w:tc>
        <w:tc>
          <w:tcPr/>
          <w:p>
            <w:pPr>
              <w:pStyle w:val="Compact"/>
            </w:pPr>
            <w:r>
              <w:t xml:space="preserve">Figure 6</w:t>
            </w:r>
          </w:p>
        </w:tc>
      </w:tr>
      <w:tr>
        <w:tc>
          <w:tcPr/>
          <w:p>
            <w:pPr>
              <w:pStyle w:val="Compact"/>
            </w:pPr>
            <w:r>
              <w:rPr>
                <w:rStyle w:val="VerbatimChar"/>
              </w:rPr>
              <w:t xml:space="preserve">figures/regional_shap.png</w:t>
            </w:r>
          </w:p>
        </w:tc>
        <w:tc>
          <w:tcPr/>
          <w:p>
            <w:pPr>
              <w:pStyle w:val="Compact"/>
            </w:pPr>
            <w:r>
              <w:t xml:space="preserve">SHAP importance stratified by region</w:t>
            </w:r>
          </w:p>
        </w:tc>
        <w:tc>
          <w:tcPr/>
          <w:p>
            <w:pPr>
              <w:pStyle w:val="Compact"/>
            </w:pPr>
            <w:r>
              <w:t xml:space="preserve">Figure 7</w:t>
            </w:r>
          </w:p>
        </w:tc>
      </w:tr>
      <w:tr>
        <w:tc>
          <w:tcPr/>
          <w:p>
            <w:pPr>
              <w:pStyle w:val="Compact"/>
            </w:pPr>
            <w:r>
              <w:rPr>
                <w:rStyle w:val="VerbatimChar"/>
              </w:rPr>
              <w:t xml:space="preserve">figures/ontario_sensitivity_scatter.png</w:t>
            </w:r>
          </w:p>
        </w:tc>
        <w:tc>
          <w:tcPr/>
          <w:p>
            <w:pPr>
              <w:pStyle w:val="Compact"/>
            </w:pPr>
            <w:r>
              <w:t xml:space="preserve">Per-section LOO R² vs. mean FI (exploratory)</w:t>
            </w:r>
          </w:p>
        </w:tc>
        <w:tc>
          <w:tcPr/>
          <w:p>
            <w:pPr>
              <w:pStyle w:val="Compact"/>
            </w:pPr>
            <w:r>
              <w:t xml:space="preserve">Figure 8</w:t>
            </w:r>
          </w:p>
        </w:tc>
      </w:tr>
      <w:tr>
        <w:tc>
          <w:tcPr/>
          <w:p>
            <w:pPr>
              <w:pStyle w:val="Compact"/>
            </w:pPr>
            <w:r>
              <w:rPr>
                <w:rStyle w:val="VerbatimChar"/>
              </w:rPr>
              <w:t xml:space="preserve">figures/pdp_oneway.png</w:t>
            </w:r>
          </w:p>
        </w:tc>
        <w:tc>
          <w:tcPr/>
          <w:p>
            <w:pPr>
              <w:pStyle w:val="Compact"/>
            </w:pPr>
            <w:r>
              <w:t xml:space="preserve">One-way PDPs for 5 key features</w:t>
            </w:r>
          </w:p>
        </w:tc>
        <w:tc>
          <w:tcPr/>
          <w:p>
            <w:pPr>
              <w:pStyle w:val="Compact"/>
            </w:pPr>
            <w:r>
              <w:t xml:space="preserve">Figure 9</w:t>
            </w:r>
          </w:p>
        </w:tc>
      </w:tr>
      <w:tr>
        <w:tc>
          <w:tcPr/>
          <w:p>
            <w:pPr>
              <w:pStyle w:val="Compact"/>
            </w:pPr>
            <w:r>
              <w:rPr>
                <w:rStyle w:val="VerbatimChar"/>
              </w:rPr>
              <w:t xml:space="preserve">figures/pdp_twoway.png</w:t>
            </w:r>
          </w:p>
        </w:tc>
        <w:tc>
          <w:tcPr/>
          <w:p>
            <w:pPr>
              <w:pStyle w:val="Compact"/>
            </w:pPr>
            <w:r>
              <w:t xml:space="preserve">Two-way PDPs for 2 feature pairs</w:t>
            </w:r>
          </w:p>
        </w:tc>
        <w:tc>
          <w:tcPr/>
          <w:p>
            <w:pPr>
              <w:pStyle w:val="Compact"/>
            </w:pPr>
            <w:r>
              <w:t xml:space="preserve">Figure 10</w:t>
            </w:r>
          </w:p>
        </w:tc>
      </w:tr>
    </w:tbl>
    <w:p>
      <w:pPr>
        <w:pStyle w:val="BodyText"/>
      </w:pPr>
      <w:r>
        <w:rPr>
          <w:b/>
          <w:bCs/>
        </w:rPr>
        <w:t xml:space="preserve">Required consistency checks before any result is reported:</w:t>
      </w:r>
    </w:p>
    <w:p>
      <w:pPr>
        <w:pStyle w:val="Compact"/>
        <w:numPr>
          <w:ilvl w:val="0"/>
          <w:numId w:val="1005"/>
        </w:numPr>
      </w:pPr>
      <w:r>
        <w:t xml:space="preserve">Test set R² values lie within their bootstrap confidence intervals</w:t>
      </w:r>
    </w:p>
    <w:p>
      <w:pPr>
        <w:pStyle w:val="Compact"/>
        <w:numPr>
          <w:ilvl w:val="0"/>
          <w:numId w:val="1005"/>
        </w:numPr>
      </w:pPr>
      <w:r>
        <w:t xml:space="preserve">Monitoring model R² &gt; design model R² for all targets — by construction, the lag feature adds information; if violated, investigate feature construction</w:t>
      </w:r>
    </w:p>
    <w:p>
      <w:pPr>
        <w:pStyle w:val="Compact"/>
        <w:numPr>
          <w:ilvl w:val="0"/>
          <w:numId w:val="1005"/>
        </w:numPr>
      </w:pPr>
      <w:r>
        <w:t xml:space="preserve">Persistence k=1 R² and monitoring model R² are computed on the same 251-observation common set — verify observation counts match before comparison</w:t>
      </w:r>
    </w:p>
    <w:p>
      <w:pPr>
        <w:pStyle w:val="Compact"/>
        <w:numPr>
          <w:ilvl w:val="0"/>
          <w:numId w:val="1005"/>
        </w:numPr>
      </w:pPr>
      <w:r>
        <w:t xml:space="preserve">All LOO R² values except Ohio are negative — if any non-Ohio LOO R² comes out positive, investigate for preprocessing leakage before reporting</w:t>
      </w:r>
    </w:p>
    <w:p>
      <w:pPr>
        <w:pStyle w:val="Compact"/>
        <w:numPr>
          <w:ilvl w:val="0"/>
          <w:numId w:val="1005"/>
        </w:numPr>
      </w:pPr>
      <w:r>
        <w:rPr>
          <w:b/>
          <w:bCs/>
        </w:rPr>
        <w:t xml:space="preserve">Ontario LOO R² is negative (expected ≈ −0.67)</w:t>
      </w:r>
      <w:r>
        <w:t xml:space="preserve"> </w:t>
      </w:r>
      <w:r>
        <w:t xml:space="preserve">— if the Ontario LOO R² is positive, the LOO preprocessing pipeline has a leakage error; imputation or scaling was likely fitted on global data rather than refitted on the three-region training set; do not report any LOO results until this is diagnosed and corrected</w:t>
      </w:r>
    </w:p>
    <w:p>
      <w:pPr>
        <w:pStyle w:val="Compact"/>
        <w:numPr>
          <w:ilvl w:val="0"/>
          <w:numId w:val="1005"/>
        </w:numPr>
      </w:pPr>
      <w:r>
        <w:t xml:space="preserve">SHAP cross-model ρ recomputed from the stored importance vectors matches the ρ reported in</w:t>
      </w:r>
      <w:r>
        <w:t xml:space="preserve"> </w:t>
      </w:r>
      <w:r>
        <w:rPr>
          <w:rStyle w:val="VerbatimChar"/>
        </w:rPr>
        <w:t xml:space="preserve">shap_consistency.csv</w:t>
      </w:r>
    </w:p>
    <w:p>
      <w:r>
        <w:pict>
          <v:rect style="width:0;height:1.5pt" o:hralign="center" o:hrstd="t" o:hr="t"/>
        </w:pict>
      </w:r>
    </w:p>
    <w:bookmarkEnd w:id="28"/>
    <w:bookmarkStart w:id="29" w:name="summary-of-methodological-decisions"/>
    <w:p>
      <w:pPr>
        <w:pStyle w:val="Heading2"/>
      </w:pPr>
      <w:r>
        <w:t xml:space="preserve">3.14 Summary of Methodological Decisions</w:t>
      </w:r>
    </w:p>
    <w:p>
      <w:pPr>
        <w:pStyle w:val="FirstParagraph"/>
      </w:pPr>
      <w:r>
        <w:t xml:space="preserve">The following table records all principal methodological decisions, their chosen approach, and the justification. It functions as a pre-registration record and as Table 1 in the manuscript.</w:t>
      </w:r>
    </w:p>
    <w:tbl>
      <w:tblPr>
        <w:tblStyle w:val="Table"/>
        <w:tblW w:type="pct" w:w="5000"/>
        <w:tblLayout w:type="fixed"/>
        <w:tblLook w:firstRow="1" w:lastRow="0" w:firstColumn="0" w:lastColumn="0" w:noHBand="0" w:noVBand="0" w:val="0020"/>
      </w:tblPr>
      <w:tblGrid>
        <w:gridCol w:w="2400"/>
        <w:gridCol w:w="1920"/>
        <w:gridCol w:w="3600"/>
      </w:tblGrid>
      <w:tr>
        <w:trPr>
          <w:tblHeader w:val="on"/>
        </w:trPr>
        <w:tc>
          <w:tcPr/>
          <w:p>
            <w:pPr>
              <w:pStyle w:val="Compact"/>
            </w:pPr>
            <w:r>
              <w:t xml:space="preserve">Decision</w:t>
            </w:r>
          </w:p>
        </w:tc>
        <w:tc>
          <w:tcPr/>
          <w:p>
            <w:pPr>
              <w:pStyle w:val="Compact"/>
            </w:pPr>
            <w:r>
              <w:t xml:space="preserve">Choice</w:t>
            </w:r>
          </w:p>
        </w:tc>
        <w:tc>
          <w:tcPr/>
          <w:p>
            <w:pPr>
              <w:pStyle w:val="Compact"/>
            </w:pPr>
            <w:r>
              <w:t xml:space="preserve">Justification</w:t>
            </w:r>
          </w:p>
        </w:tc>
      </w:tr>
      <w:tr>
        <w:tc>
          <w:tcPr/>
          <w:p>
            <w:pPr>
              <w:pStyle w:val="Compact"/>
            </w:pPr>
            <w:r>
              <w:t xml:space="preserve">IRI aggregation</w:t>
            </w:r>
          </w:p>
        </w:tc>
        <w:tc>
          <w:tcPr/>
          <w:p>
            <w:pPr>
              <w:pStyle w:val="Compact"/>
            </w:pPr>
            <w:r>
              <w:t xml:space="preserve">Visit-level mean (650 obs from 3,233 raw)</w:t>
            </w:r>
          </w:p>
        </w:tc>
        <w:tc>
          <w:tcPr/>
          <w:p>
            <w:pPr>
              <w:pStyle w:val="Compact"/>
            </w:pPr>
            <w:r>
              <w:t xml:space="preserve">~5 runs per visit; raw rows are repeated measurements on the same pavement</w:t>
            </w:r>
          </w:p>
        </w:tc>
      </w:tr>
      <w:tr>
        <w:tc>
          <w:tcPr/>
          <w:p>
            <w:pPr>
              <w:pStyle w:val="Compact"/>
            </w:pPr>
            <w:r>
              <w:t xml:space="preserve">Effective IRI sample size</w:t>
            </w:r>
          </w:p>
        </w:tc>
        <w:tc>
          <w:tcPr/>
          <w:p>
            <w:pPr>
              <w:pStyle w:val="Compact"/>
            </w:pPr>
            <w:r>
              <w:t xml:space="preserve">650 unique visit-dates</w:t>
            </w:r>
          </w:p>
        </w:tc>
        <w:tc>
          <w:tcPr/>
          <w:p>
            <w:pPr>
              <w:pStyle w:val="Compact"/>
            </w:pPr>
            <w:r>
              <w:t xml:space="preserve">Correct denominator for bootstrap CIs, power calculations, and claim scope</w:t>
            </w:r>
          </w:p>
        </w:tc>
      </w:tr>
      <w:tr>
        <w:tc>
          <w:tcPr/>
          <w:p>
            <w:pPr>
              <w:pStyle w:val="Compact"/>
            </w:pPr>
            <w:r>
              <w:t xml:space="preserve">Monitoring lag — IRI</w:t>
            </w:r>
          </w:p>
        </w:tc>
        <w:tc>
          <w:tcPr/>
          <w:p>
            <w:pPr>
              <w:pStyle w:val="Compact"/>
            </w:pPr>
            <w:r>
              <w:t xml:space="preserve">730 days</w:t>
            </w:r>
          </w:p>
        </w:tc>
        <w:tc>
          <w:tcPr/>
          <w:p>
            <w:pPr>
              <w:pStyle w:val="Compact"/>
            </w:pPr>
            <w:r>
              <w:t xml:space="preserve">Median inter-visit gap is 393 days; 365-day window excludes 58% of transitions</w:t>
            </w:r>
          </w:p>
        </w:tc>
      </w:tr>
      <w:tr>
        <w:tc>
          <w:tcPr/>
          <w:p>
            <w:pPr>
              <w:pStyle w:val="Compact"/>
            </w:pPr>
            <w:r>
              <w:t xml:space="preserve">Monitoring lag — rutting</w:t>
            </w:r>
          </w:p>
        </w:tc>
        <w:tc>
          <w:tcPr/>
          <w:p>
            <w:pPr>
              <w:pStyle w:val="Compact"/>
            </w:pPr>
            <w:r>
              <w:t xml:space="preserve">730 days</w:t>
            </w:r>
          </w:p>
        </w:tc>
        <w:tc>
          <w:tcPr/>
          <w:p>
            <w:pPr>
              <w:pStyle w:val="Compact"/>
            </w:pPr>
            <w:r>
              <w:t xml:space="preserve">Median gap 450 days; 365-day window excludes 64% of transitions</w:t>
            </w:r>
          </w:p>
        </w:tc>
      </w:tr>
      <w:tr>
        <w:tc>
          <w:tcPr/>
          <w:p>
            <w:pPr>
              <w:pStyle w:val="Compact"/>
            </w:pPr>
            <w:r>
              <w:t xml:space="preserve">Monitoring lag — distress</w:t>
            </w:r>
          </w:p>
        </w:tc>
        <w:tc>
          <w:tcPr/>
          <w:p>
            <w:pPr>
              <w:pStyle w:val="Compact"/>
            </w:pPr>
            <w:r>
              <w:t xml:space="preserve">1,095 days</w:t>
            </w:r>
          </w:p>
        </w:tc>
        <w:tc>
          <w:tcPr/>
          <w:p>
            <w:pPr>
              <w:pStyle w:val="Compact"/>
            </w:pPr>
            <w:r>
              <w:t xml:space="preserve">Median gap 748 days; 365-day window excludes 78% of transitions</w:t>
            </w:r>
          </w:p>
        </w:tc>
      </w:tr>
      <w:tr>
        <w:tc>
          <w:tcPr/>
          <w:p>
            <w:pPr>
              <w:pStyle w:val="Compact"/>
            </w:pPr>
            <w:r>
              <w:t xml:space="preserve">FI composite formula</w:t>
            </w:r>
          </w:p>
        </w:tc>
        <w:tc>
          <w:tcPr/>
          <w:p>
            <w:pPr>
              <w:pStyle w:val="Compact"/>
            </w:pPr>
            <w:r>
              <w:rPr>
                <w:rStyle w:val="VerbatimChar"/>
              </w:rPr>
              <w:t xml:space="preserve">LAYER_THICKNESS × 1/(1 + FI)</w:t>
            </w:r>
            <w:r>
              <w:t xml:space="preserve"> </w:t>
            </w:r>
            <w:r>
              <w:t xml:space="preserve">— not ratio form</w:t>
            </w:r>
          </w:p>
        </w:tc>
        <w:tc>
          <w:tcPr/>
          <w:p>
            <w:pPr>
              <w:pStyle w:val="Compact"/>
            </w:pPr>
            <w:r>
              <w:t xml:space="preserve">FI = 0 in 32.3% of records; ratio form produces division-by-zero for 1,419 observations</w:t>
            </w:r>
          </w:p>
        </w:tc>
      </w:tr>
      <w:tr>
        <w:tc>
          <w:tcPr/>
          <w:p>
            <w:pPr>
              <w:pStyle w:val="Compact"/>
            </w:pPr>
            <w:r>
              <w:t xml:space="preserve">Scaler</w:t>
            </w:r>
          </w:p>
        </w:tc>
        <w:tc>
          <w:tcPr/>
          <w:p>
            <w:pPr>
              <w:pStyle w:val="Compact"/>
            </w:pPr>
            <w:r>
              <w:t xml:space="preserve">StandardScaler</w:t>
            </w:r>
          </w:p>
        </w:tc>
        <w:tc>
          <w:tcPr/>
          <w:p>
            <w:pPr>
              <w:pStyle w:val="Compact"/>
            </w:pPr>
            <w:r>
              <w:t xml:space="preserve">Ontario FI max (1,559) creates artificial regional encoding under min-max normalization</w:t>
            </w:r>
          </w:p>
        </w:tc>
      </w:tr>
      <w:tr>
        <w:tc>
          <w:tcPr/>
          <w:p>
            <w:pPr>
              <w:pStyle w:val="Compact"/>
            </w:pPr>
            <w:r>
              <w:t xml:space="preserve">Collinearity method</w:t>
            </w:r>
          </w:p>
        </w:tc>
        <w:tc>
          <w:tcPr/>
          <w:p>
            <w:pPr>
              <w:pStyle w:val="Compact"/>
            </w:pPr>
            <w:r>
              <w:t xml:space="preserve">Hierarchical clustering on Spearman distance matrix, average linkage</w:t>
            </w:r>
          </w:p>
        </w:tc>
        <w:tc>
          <w:tcPr/>
          <w:p>
            <w:pPr>
              <w:pStyle w:val="Compact"/>
            </w:pPr>
            <w:r>
              <w:t xml:space="preserve">Resolves overlapping feature clusters deterministically; handles 38-column ALDF group</w:t>
            </w:r>
          </w:p>
        </w:tc>
      </w:tr>
      <w:tr>
        <w:tc>
          <w:tcPr/>
          <w:p>
            <w:pPr>
              <w:pStyle w:val="Compact"/>
            </w:pPr>
            <w:r>
              <w:t xml:space="preserve">Cluster tiebreaker</w:t>
            </w:r>
          </w:p>
        </w:tc>
        <w:tc>
          <w:tcPr/>
          <w:p>
            <w:pPr>
              <w:pStyle w:val="Compact"/>
            </w:pPr>
            <w:r>
              <w:t xml:space="preserve">Max univariate Spearman ρ with target on training set</w:t>
            </w:r>
          </w:p>
        </w:tc>
        <w:tc>
          <w:tcPr/>
          <w:p>
            <w:pPr>
              <w:pStyle w:val="Compact"/>
            </w:pPr>
            <w:r>
              <w:t xml:space="preserve">Target-aware, reproducible, no additional free parameters</w:t>
            </w:r>
          </w:p>
        </w:tc>
      </w:tr>
      <w:tr>
        <w:tc>
          <w:tcPr/>
          <w:p>
            <w:pPr>
              <w:pStyle w:val="Compact"/>
            </w:pPr>
            <w:r>
              <w:t xml:space="preserve">Imputation</w:t>
            </w:r>
          </w:p>
        </w:tc>
        <w:tc>
          <w:tcPr/>
          <w:p>
            <w:pPr>
              <w:pStyle w:val="Compact"/>
            </w:pPr>
            <w:r>
              <w:t xml:space="preserve">Group-median by pavement family, training sections only</w:t>
            </w:r>
          </w:p>
        </w:tc>
        <w:tc>
          <w:tcPr/>
          <w:p>
            <w:pPr>
              <w:pStyle w:val="Compact"/>
            </w:pPr>
            <w:r>
              <w:t xml:space="preserve">Prevents leakage; respects structural family differences in missing data patterns</w:t>
            </w:r>
          </w:p>
        </w:tc>
      </w:tr>
      <w:tr>
        <w:tc>
          <w:tcPr/>
          <w:p>
            <w:pPr>
              <w:pStyle w:val="Compact"/>
            </w:pPr>
            <w:r>
              <w:t xml:space="preserve">Missingness threshold</w:t>
            </w:r>
          </w:p>
        </w:tc>
        <w:tc>
          <w:tcPr/>
          <w:p>
            <w:pPr>
              <w:pStyle w:val="Compact"/>
            </w:pPr>
            <w:r>
              <w:t xml:space="preserve">50%, applied independently per target</w:t>
            </w:r>
          </w:p>
        </w:tc>
        <w:tc>
          <w:tcPr/>
          <w:p>
            <w:pPr>
              <w:pStyle w:val="Compact"/>
            </w:pPr>
            <w:r>
              <w:t xml:space="preserve">Smaller datasets (rutting, distress) are more vulnerable to high-missingness imputation</w:t>
            </w:r>
          </w:p>
        </w:tc>
      </w:tr>
      <w:tr>
        <w:tc>
          <w:tcPr/>
          <w:p>
            <w:pPr>
              <w:pStyle w:val="Compact"/>
            </w:pPr>
            <w:r>
              <w:t xml:space="preserve">LOO hyperparameters</w:t>
            </w:r>
          </w:p>
        </w:tc>
        <w:tc>
          <w:tcPr/>
          <w:p>
            <w:pPr>
              <w:pStyle w:val="Compact"/>
            </w:pPr>
            <w:r>
              <w:t xml:space="preserve">Fixed from full training run, unchanged</w:t>
            </w:r>
          </w:p>
        </w:tc>
        <w:tc>
          <w:tcPr/>
          <w:p>
            <w:pPr>
              <w:pStyle w:val="Compact"/>
            </w:pPr>
            <w:r>
              <w:t xml:space="preserve">Isolates transferability from tuning ability; tested via 50-trial Ontario sensitivity run</w:t>
            </w:r>
          </w:p>
        </w:tc>
      </w:tr>
      <w:tr>
        <w:tc>
          <w:tcPr/>
          <w:p>
            <w:pPr>
              <w:pStyle w:val="Compact"/>
            </w:pPr>
            <w:r>
              <w:t xml:space="preserve">Ontario LOO sensitivity</w:t>
            </w:r>
          </w:p>
        </w:tc>
        <w:tc>
          <w:tcPr/>
          <w:p>
            <w:pPr>
              <w:pStyle w:val="Compact"/>
            </w:pPr>
            <w:r>
              <w:t xml:space="preserve">7 sub-iterations, one per section, exploratory only</w:t>
            </w:r>
          </w:p>
        </w:tc>
        <w:tc>
          <w:tcPr/>
          <w:p>
            <w:pPr>
              <w:pStyle w:val="Compact"/>
            </w:pPr>
            <w:r>
              <w:t xml:space="preserve">Section visit counts of 9–10 are too small for inferential R²; gradient test only</w:t>
            </w:r>
          </w:p>
        </w:tc>
      </w:tr>
      <w:tr>
        <w:tc>
          <w:tcPr/>
          <w:p>
            <w:pPr>
              <w:pStyle w:val="Compact"/>
            </w:pPr>
            <w:r>
              <w:t xml:space="preserve">Final model retraining</w:t>
            </w:r>
          </w:p>
        </w:tc>
        <w:tc>
          <w:tcPr/>
          <w:p>
            <w:pPr>
              <w:pStyle w:val="Compact"/>
            </w:pPr>
            <w:r>
              <w:t xml:space="preserve">Fixed HPs on 41-section combined set</w:t>
            </w:r>
          </w:p>
        </w:tc>
        <w:tc>
          <w:tcPr/>
          <w:p>
            <w:pPr>
              <w:pStyle w:val="Compact"/>
            </w:pPr>
            <w:r>
              <w:t xml:space="preserve">Avoids un-tuned free parameter introduced at retraining stage</w:t>
            </w:r>
          </w:p>
        </w:tc>
      </w:tr>
      <w:tr>
        <w:tc>
          <w:tcPr/>
          <w:p>
            <w:pPr>
              <w:pStyle w:val="Compact"/>
            </w:pPr>
            <w:r>
              <w:t xml:space="preserve">Bootstrap CI format</w:t>
            </w:r>
          </w:p>
        </w:tc>
        <w:tc>
          <w:tcPr/>
          <w:p>
            <w:pPr>
              <w:pStyle w:val="Compact"/>
            </w:pPr>
            <w:r>
              <w:rPr>
                <w:rStyle w:val="VerbatimChar"/>
              </w:rPr>
              <w:t xml:space="preserve">estimate [lower, upper]</w:t>
            </w:r>
            <w:r>
              <w:t xml:space="preserve"> </w:t>
            </w:r>
            <w:r>
              <w:t xml:space="preserve">in main tables</w:t>
            </w:r>
          </w:p>
        </w:tc>
        <w:tc>
          <w:tcPr/>
          <w:p>
            <w:pPr>
              <w:pStyle w:val="Compact"/>
            </w:pPr>
            <w:r>
              <w:t xml:space="preserve">CIs are load-bearing for interpreting LOO results; not relegated to supplements</w:t>
            </w:r>
          </w:p>
        </w:tc>
      </w:tr>
      <w:tr>
        <w:tc>
          <w:tcPr/>
          <w:p>
            <w:pPr>
              <w:pStyle w:val="Compact"/>
            </w:pPr>
            <w:r>
              <w:t xml:space="preserve">PDP grid</w:t>
            </w:r>
          </w:p>
        </w:tc>
        <w:tc>
          <w:tcPr/>
          <w:p>
            <w:pPr>
              <w:pStyle w:val="Compact"/>
            </w:pPr>
            <w:r>
              <w:t xml:space="preserve">Quantile-spaced 50-point (one-way), 30×30 (two-way)</w:t>
            </w:r>
          </w:p>
        </w:tc>
        <w:tc>
          <w:tcPr/>
          <w:p>
            <w:pPr>
              <w:pStyle w:val="Compact"/>
            </w:pPr>
            <w:r>
              <w:t xml:space="preserve">Bimodal FI distribution; even spacing wastes resolution in the empty 107–128 FI gap</w:t>
            </w:r>
          </w:p>
        </w:tc>
      </w:tr>
      <w:tr>
        <w:tc>
          <w:tcPr/>
          <w:p>
            <w:pPr>
              <w:pStyle w:val="Compact"/>
            </w:pPr>
            <w:r>
              <w:t xml:space="preserve">Distress target</w:t>
            </w:r>
          </w:p>
        </w:tc>
        <w:tc>
          <w:tcPr/>
          <w:p>
            <w:pPr>
              <w:pStyle w:val="Compact"/>
            </w:pPr>
            <w:r>
              <w:rPr>
                <w:rStyle w:val="VerbatimChar"/>
              </w:rPr>
              <w:t xml:space="preserve">DIS_HPMS16_CRACKING_PERCENT_AC</w:t>
            </w:r>
          </w:p>
        </w:tc>
        <w:tc>
          <w:tcPr/>
          <w:p>
            <w:pPr>
              <w:pStyle w:val="Compact"/>
            </w:pPr>
            <w:r>
              <w:t xml:space="preserve">HPMS reporting standard; retains full 378-record sample; composite nature stated as scope boundary</w:t>
            </w:r>
          </w:p>
        </w:tc>
      </w:tr>
      <w:tr>
        <w:tc>
          <w:tcPr/>
          <w:p>
            <w:pPr>
              <w:pStyle w:val="Compact"/>
            </w:pPr>
            <w:r>
              <w:t xml:space="preserve">SHAP consistency code</w:t>
            </w:r>
          </w:p>
        </w:tc>
        <w:tc>
          <w:tcPr/>
          <w:p>
            <w:pPr>
              <w:pStyle w:val="Compact"/>
            </w:pPr>
            <w:r>
              <w:rPr>
                <w:rStyle w:val="VerbatimChar"/>
              </w:rPr>
              <w:t xml:space="preserve">spearmanr(xgb_imp, rf_imp)</w:t>
            </w:r>
            <w:r>
              <w:t xml:space="preserve"> </w:t>
            </w:r>
            <w:r>
              <w:t xml:space="preserve">on raw importance vectors</w:t>
            </w:r>
          </w:p>
        </w:tc>
        <w:tc>
          <w:tcPr/>
          <w:p>
            <w:pPr>
              <w:pStyle w:val="Compact"/>
            </w:pPr>
            <w:r>
              <w:t xml:space="preserve">Pre-ranking via argsort is redundant; spearmanr ranks internally in ascending order</w:t>
            </w:r>
          </w:p>
        </w:tc>
      </w:tr>
      <w:tr>
        <w:tc>
          <w:tcPr/>
          <w:p>
            <w:pPr>
              <w:pStyle w:val="Compact"/>
            </w:pPr>
            <w:r>
              <w:t xml:space="preserve">Common evaluation set</w:t>
            </w:r>
          </w:p>
        </w:tc>
        <w:tc>
          <w:tcPr/>
          <w:p>
            <w:pPr>
              <w:pStyle w:val="Compact"/>
            </w:pPr>
            <w:r>
              <w:t xml:space="preserve">251 IRI visits (prior within 365 days — most restrictive window)</w:t>
            </w:r>
          </w:p>
        </w:tc>
        <w:tc>
          <w:tcPr/>
          <w:p>
            <w:pPr>
              <w:pStyle w:val="Compact"/>
            </w:pPr>
            <w:r>
              <w:t xml:space="preserve">Ensures monitoring model and all persistence benchmarks are computed on identical observations</w:t>
            </w:r>
          </w:p>
        </w:tc>
      </w:tr>
    </w:tbl>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2026-05-01T06:27:15Z</dcterms:created>
  <dcterms:modified xsi:type="dcterms:W3CDTF">2026-05-01T06:27:15Z</dcterms:modified>
</cp:coreProperties>
</file>

<file path=docProps/custom.xml><?xml version="1.0" encoding="utf-8"?>
<Properties xmlns="http://schemas.openxmlformats.org/officeDocument/2006/custom-properties" xmlns:vt="http://schemas.openxmlformats.org/officeDocument/2006/docPropsVTypes"/>
</file>