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Results and Discussion</w:t>
      </w:r>
    </w:p>
    <w:p>
      <w:pPr>
        <w:spacing w:after="120"/>
      </w:pPr>
      <w:r>
        <w:t>This section reports the corrected primary analysis after removing same-visit condition-measure leakage, excluding geographic/region proxy features, fixing section-level bootstrap resampling, and recomputing monitoring-vs-persistence comparisons on identical section/date rows. The results should be read as a stress test of transferability, not as an exercise in maximizing R2.</w:t>
      </w:r>
    </w:p>
    <w:p>
      <w:pPr>
        <w:pStyle w:val="Heading2"/>
      </w:pPr>
      <w:r>
        <w:t>4.1 Benchmark Performance</w:t>
      </w:r>
    </w:p>
    <w:p>
      <w:pPr>
        <w:spacing w:after="120"/>
      </w:pPr>
      <w:r>
        <w:t>Mean, AASHTO age-only, Ridge, and persistence benchmarks establish the reference frame for the ensemble models. Ridge no longer produces near-perfect distress performance after the distress sub-indicator leakage was removed.</w:t>
      </w:r>
    </w:p>
    <w:p>
      <w:pPr>
        <w:spacing w:after="120"/>
      </w:pPr>
      <w:r>
        <w:t>Table 1. Benchmark model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</w:tr>
      <w:tr>
        <w:tc>
          <w:tcPr>
            <w:tcW w:type="dxa" w:w="1728"/>
          </w:tcPr>
          <w:p>
            <w:r>
              <w:t>mean_design_iri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-0.0003</w:t>
            </w:r>
          </w:p>
        </w:tc>
        <w:tc>
          <w:tcPr>
            <w:tcW w:type="dxa" w:w="1728"/>
          </w:tcPr>
          <w:p>
            <w:r>
              <w:t>0.5132</w:t>
            </w:r>
          </w:p>
        </w:tc>
        <w:tc>
          <w:tcPr>
            <w:tcW w:type="dxa" w:w="1728"/>
          </w:tcPr>
          <w:p>
            <w:r>
              <w:t>0.3708</w:t>
            </w:r>
          </w:p>
        </w:tc>
      </w:tr>
      <w:tr>
        <w:tc>
          <w:tcPr>
            <w:tcW w:type="dxa" w:w="1728"/>
          </w:tcPr>
          <w:p>
            <w:r>
              <w:t>aashto_design_iri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-0.004</w:t>
            </w:r>
          </w:p>
        </w:tc>
        <w:tc>
          <w:tcPr>
            <w:tcW w:type="dxa" w:w="1728"/>
          </w:tcPr>
          <w:p>
            <w:r>
              <w:t>0.5142</w:t>
            </w:r>
          </w:p>
        </w:tc>
        <w:tc>
          <w:tcPr>
            <w:tcW w:type="dxa" w:w="1728"/>
          </w:tcPr>
          <w:p>
            <w:r>
              <w:t>0.3694</w:t>
            </w:r>
          </w:p>
        </w:tc>
      </w:tr>
      <w:tr>
        <w:tc>
          <w:tcPr>
            <w:tcW w:type="dxa" w:w="1728"/>
          </w:tcPr>
          <w:p>
            <w:r>
              <w:t>ridge_design_iri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0.0408</w:t>
            </w:r>
          </w:p>
        </w:tc>
        <w:tc>
          <w:tcPr>
            <w:tcW w:type="dxa" w:w="1728"/>
          </w:tcPr>
          <w:p>
            <w:r>
              <w:t>0.5026</w:t>
            </w:r>
          </w:p>
        </w:tc>
        <w:tc>
          <w:tcPr>
            <w:tcW w:type="dxa" w:w="1728"/>
          </w:tcPr>
          <w:p>
            <w:r>
              <w:t>0.3629</w:t>
            </w:r>
          </w:p>
        </w:tc>
      </w:tr>
      <w:tr>
        <w:tc>
          <w:tcPr>
            <w:tcW w:type="dxa" w:w="1728"/>
          </w:tcPr>
          <w:p>
            <w:r>
              <w:t>mean_monitoring_iri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-0.0177</w:t>
            </w:r>
          </w:p>
        </w:tc>
        <w:tc>
          <w:tcPr>
            <w:tcW w:type="dxa" w:w="1728"/>
          </w:tcPr>
          <w:p>
            <w:r>
              <w:t>0.5109</w:t>
            </w:r>
          </w:p>
        </w:tc>
        <w:tc>
          <w:tcPr>
            <w:tcW w:type="dxa" w:w="1728"/>
          </w:tcPr>
          <w:p>
            <w:r>
              <w:t>0.3714</w:t>
            </w:r>
          </w:p>
        </w:tc>
      </w:tr>
      <w:tr>
        <w:tc>
          <w:tcPr>
            <w:tcW w:type="dxa" w:w="1728"/>
          </w:tcPr>
          <w:p>
            <w:r>
              <w:t>aashto_monitoring_iri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-0.021</w:t>
            </w:r>
          </w:p>
        </w:tc>
        <w:tc>
          <w:tcPr>
            <w:tcW w:type="dxa" w:w="1728"/>
          </w:tcPr>
          <w:p>
            <w:r>
              <w:t>0.5118</w:t>
            </w:r>
          </w:p>
        </w:tc>
        <w:tc>
          <w:tcPr>
            <w:tcW w:type="dxa" w:w="1728"/>
          </w:tcPr>
          <w:p>
            <w:r>
              <w:t>0.3683</w:t>
            </w:r>
          </w:p>
        </w:tc>
      </w:tr>
      <w:tr>
        <w:tc>
          <w:tcPr>
            <w:tcW w:type="dxa" w:w="1728"/>
          </w:tcPr>
          <w:p>
            <w:r>
              <w:t>ridge_monitoring_iri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-0.0441</w:t>
            </w:r>
          </w:p>
        </w:tc>
        <w:tc>
          <w:tcPr>
            <w:tcW w:type="dxa" w:w="1728"/>
          </w:tcPr>
          <w:p>
            <w:r>
              <w:t>0.5175</w:t>
            </w:r>
          </w:p>
        </w:tc>
        <w:tc>
          <w:tcPr>
            <w:tcW w:type="dxa" w:w="1728"/>
          </w:tcPr>
          <w:p>
            <w:r>
              <w:t>0.3722</w:t>
            </w:r>
          </w:p>
        </w:tc>
      </w:tr>
      <w:tr>
        <w:tc>
          <w:tcPr>
            <w:tcW w:type="dxa" w:w="1728"/>
          </w:tcPr>
          <w:p>
            <w:r>
              <w:t>mean_design_rutting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-0.0758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2.706</w:t>
            </w:r>
          </w:p>
        </w:tc>
      </w:tr>
      <w:tr>
        <w:tc>
          <w:tcPr>
            <w:tcW w:type="dxa" w:w="1728"/>
          </w:tcPr>
          <w:p>
            <w:r>
              <w:t>ridge_design_rutting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0.3781</w:t>
            </w:r>
          </w:p>
        </w:tc>
        <w:tc>
          <w:tcPr>
            <w:tcW w:type="dxa" w:w="1728"/>
          </w:tcPr>
          <w:p>
            <w:r>
              <w:t>2.433</w:t>
            </w:r>
          </w:p>
        </w:tc>
        <w:tc>
          <w:tcPr>
            <w:tcW w:type="dxa" w:w="1728"/>
          </w:tcPr>
          <w:p>
            <w:r>
              <w:t>1.802</w:t>
            </w:r>
          </w:p>
        </w:tc>
      </w:tr>
      <w:tr>
        <w:tc>
          <w:tcPr>
            <w:tcW w:type="dxa" w:w="1728"/>
          </w:tcPr>
          <w:p>
            <w:r>
              <w:t>mean_monitoring_rutting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-0.124</w:t>
            </w:r>
          </w:p>
        </w:tc>
        <w:tc>
          <w:tcPr>
            <w:tcW w:type="dxa" w:w="1728"/>
          </w:tcPr>
          <w:p>
            <w:r>
              <w:t>3.21</w:t>
            </w:r>
          </w:p>
        </w:tc>
        <w:tc>
          <w:tcPr>
            <w:tcW w:type="dxa" w:w="1728"/>
          </w:tcPr>
          <w:p>
            <w:r>
              <w:t>2.639</w:t>
            </w:r>
          </w:p>
        </w:tc>
      </w:tr>
      <w:tr>
        <w:tc>
          <w:tcPr>
            <w:tcW w:type="dxa" w:w="1728"/>
          </w:tcPr>
          <w:p>
            <w:r>
              <w:t>ridge_monitoring_rutting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0.2457</w:t>
            </w:r>
          </w:p>
        </w:tc>
        <w:tc>
          <w:tcPr>
            <w:tcW w:type="dxa" w:w="1728"/>
          </w:tcPr>
          <w:p>
            <w:r>
              <w:t>2.63</w:t>
            </w:r>
          </w:p>
        </w:tc>
        <w:tc>
          <w:tcPr>
            <w:tcW w:type="dxa" w:w="1728"/>
          </w:tcPr>
          <w:p>
            <w:r>
              <w:t>1.973</w:t>
            </w:r>
          </w:p>
        </w:tc>
      </w:tr>
      <w:tr>
        <w:tc>
          <w:tcPr>
            <w:tcW w:type="dxa" w:w="1728"/>
          </w:tcPr>
          <w:p>
            <w:r>
              <w:t>mean_design_distress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-0.0514</w:t>
            </w:r>
          </w:p>
        </w:tc>
        <w:tc>
          <w:tcPr>
            <w:tcW w:type="dxa" w:w="1728"/>
          </w:tcPr>
          <w:p>
            <w:r>
              <w:t>22.89</w:t>
            </w:r>
          </w:p>
        </w:tc>
        <w:tc>
          <w:tcPr>
            <w:tcW w:type="dxa" w:w="1728"/>
          </w:tcPr>
          <w:p>
            <w:r>
              <w:t>20.01</w:t>
            </w:r>
          </w:p>
        </w:tc>
      </w:tr>
      <w:tr>
        <w:tc>
          <w:tcPr>
            <w:tcW w:type="dxa" w:w="1728"/>
          </w:tcPr>
          <w:p>
            <w:r>
              <w:t>ridge_design_distress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0.0928</w:t>
            </w:r>
          </w:p>
        </w:tc>
        <w:tc>
          <w:tcPr>
            <w:tcW w:type="dxa" w:w="1728"/>
          </w:tcPr>
          <w:p>
            <w:r>
              <w:t>21.26</w:t>
            </w:r>
          </w:p>
        </w:tc>
        <w:tc>
          <w:tcPr>
            <w:tcW w:type="dxa" w:w="1728"/>
          </w:tcPr>
          <w:p>
            <w:r>
              <w:t>18.76</w:t>
            </w:r>
          </w:p>
        </w:tc>
      </w:tr>
      <w:tr>
        <w:tc>
          <w:tcPr>
            <w:tcW w:type="dxa" w:w="1728"/>
          </w:tcPr>
          <w:p>
            <w:r>
              <w:t>mean_monitoring_distress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-0.0211</w:t>
            </w:r>
          </w:p>
        </w:tc>
        <w:tc>
          <w:tcPr>
            <w:tcW w:type="dxa" w:w="1728"/>
          </w:tcPr>
          <w:p>
            <w:r>
              <w:t>22.48</w:t>
            </w:r>
          </w:p>
        </w:tc>
        <w:tc>
          <w:tcPr>
            <w:tcW w:type="dxa" w:w="1728"/>
          </w:tcPr>
          <w:p>
            <w:r>
              <w:t>19.79</w:t>
            </w:r>
          </w:p>
        </w:tc>
      </w:tr>
      <w:tr>
        <w:tc>
          <w:tcPr>
            <w:tcW w:type="dxa" w:w="1728"/>
          </w:tcPr>
          <w:p>
            <w:r>
              <w:t>ridge_monitoring_distress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0.1569</w:t>
            </w:r>
          </w:p>
        </w:tc>
        <w:tc>
          <w:tcPr>
            <w:tcW w:type="dxa" w:w="1728"/>
          </w:tcPr>
          <w:p>
            <w:r>
              <w:t>20.43</w:t>
            </w:r>
          </w:p>
        </w:tc>
        <w:tc>
          <w:tcPr>
            <w:tcW w:type="dxa" w:w="1728"/>
          </w:tcPr>
          <w:p>
            <w:r>
              <w:t>17.62</w:t>
            </w:r>
          </w:p>
        </w:tc>
      </w:tr>
    </w:tbl>
    <w:p/>
    <w:p>
      <w:pPr>
        <w:pStyle w:val="Heading2"/>
      </w:pPr>
      <w:r>
        <w:t>4.2 Ensemble Test-Set Performance</w:t>
      </w:r>
    </w:p>
    <w:p>
      <w:pPr>
        <w:spacing w:after="120"/>
      </w:pPr>
      <w:r>
        <w:t>Design-task performance remains modest and uncertain across targets. Monitoring improves pooled test metrics, but this improvement must be interpreted against persistence because lagged condition is highly informative.</w:t>
      </w:r>
    </w:p>
    <w:p>
      <w:pPr>
        <w:spacing w:after="120"/>
      </w:pPr>
      <w:r>
        <w:t>Table 2. Corrected test-set performance with section-bootstrap R2 intervals.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n_obs</w:t>
            </w:r>
          </w:p>
        </w:tc>
        <w:tc>
          <w:tcPr>
            <w:tcW w:type="dxa" w:w="1080"/>
          </w:tcPr>
          <w:p>
            <w:r>
              <w:t>n_sections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R2_CI_lower</w:t>
            </w:r>
          </w:p>
        </w:tc>
        <w:tc>
          <w:tcPr>
            <w:tcW w:type="dxa" w:w="1080"/>
          </w:tcPr>
          <w:p>
            <w:r>
              <w:t>R2_CI_upper</w:t>
            </w:r>
          </w:p>
        </w:tc>
        <w:tc>
          <w:tcPr>
            <w:tcW w:type="dxa" w:w="1080"/>
          </w:tcPr>
          <w:p>
            <w:r>
              <w:t>RMSE</w:t>
            </w:r>
          </w:p>
        </w:tc>
        <w:tc>
          <w:tcPr>
            <w:tcW w:type="dxa" w:w="1080"/>
          </w:tcPr>
          <w:p>
            <w:r>
              <w:t>MAE</w:t>
            </w:r>
          </w:p>
        </w:tc>
      </w:tr>
      <w:tr>
        <w:tc>
          <w:tcPr>
            <w:tcW w:type="dxa" w:w="1080"/>
          </w:tcPr>
          <w:p>
            <w:r>
              <w:t>xgb_design_iri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0.1576</w:t>
            </w:r>
          </w:p>
        </w:tc>
        <w:tc>
          <w:tcPr>
            <w:tcW w:type="dxa" w:w="1080"/>
          </w:tcPr>
          <w:p>
            <w:r>
              <w:t>-0.2872</w:t>
            </w:r>
          </w:p>
        </w:tc>
        <w:tc>
          <w:tcPr>
            <w:tcW w:type="dxa" w:w="1080"/>
          </w:tcPr>
          <w:p>
            <w:r>
              <w:t>0.4241</w:t>
            </w:r>
          </w:p>
        </w:tc>
        <w:tc>
          <w:tcPr>
            <w:tcW w:type="dxa" w:w="1080"/>
          </w:tcPr>
          <w:p>
            <w:r>
              <w:t>0.471</w:t>
            </w:r>
          </w:p>
        </w:tc>
        <w:tc>
          <w:tcPr>
            <w:tcW w:type="dxa" w:w="1080"/>
          </w:tcPr>
          <w:p>
            <w:r>
              <w:t>0.2997</w:t>
            </w:r>
          </w:p>
        </w:tc>
      </w:tr>
      <w:tr>
        <w:tc>
          <w:tcPr>
            <w:tcW w:type="dxa" w:w="1080"/>
          </w:tcPr>
          <w:p>
            <w:r>
              <w:t>rf_design_iri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0.1296</w:t>
            </w:r>
          </w:p>
        </w:tc>
        <w:tc>
          <w:tcPr>
            <w:tcW w:type="dxa" w:w="1080"/>
          </w:tcPr>
          <w:p>
            <w:r>
              <w:t>-0.2023</w:t>
            </w:r>
          </w:p>
        </w:tc>
        <w:tc>
          <w:tcPr>
            <w:tcW w:type="dxa" w:w="1080"/>
          </w:tcPr>
          <w:p>
            <w:r>
              <w:t>0.3677</w:t>
            </w:r>
          </w:p>
        </w:tc>
        <w:tc>
          <w:tcPr>
            <w:tcW w:type="dxa" w:w="1080"/>
          </w:tcPr>
          <w:p>
            <w:r>
              <w:t>0.4787</w:t>
            </w:r>
          </w:p>
        </w:tc>
        <w:tc>
          <w:tcPr>
            <w:tcW w:type="dxa" w:w="1080"/>
          </w:tcPr>
          <w:p>
            <w:r>
              <w:t>0.311</w:t>
            </w:r>
          </w:p>
        </w:tc>
      </w:tr>
      <w:tr>
        <w:tc>
          <w:tcPr>
            <w:tcW w:type="dxa" w:w="1080"/>
          </w:tcPr>
          <w:p>
            <w:r>
              <w:t>xgb_monitoring_iri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0.4509</w:t>
            </w:r>
          </w:p>
        </w:tc>
        <w:tc>
          <w:tcPr>
            <w:tcW w:type="dxa" w:w="1080"/>
          </w:tcPr>
          <w:p>
            <w:r>
              <w:t>0.3213</w:t>
            </w:r>
          </w:p>
        </w:tc>
        <w:tc>
          <w:tcPr>
            <w:tcW w:type="dxa" w:w="1080"/>
          </w:tcPr>
          <w:p>
            <w:r>
              <w:t>0.564</w:t>
            </w:r>
          </w:p>
        </w:tc>
        <w:tc>
          <w:tcPr>
            <w:tcW w:type="dxa" w:w="1080"/>
          </w:tcPr>
          <w:p>
            <w:r>
              <w:t>0.3753</w:t>
            </w:r>
          </w:p>
        </w:tc>
        <w:tc>
          <w:tcPr>
            <w:tcW w:type="dxa" w:w="1080"/>
          </w:tcPr>
          <w:p>
            <w:r>
              <w:t>0.2099</w:t>
            </w:r>
          </w:p>
        </w:tc>
      </w:tr>
      <w:tr>
        <w:tc>
          <w:tcPr>
            <w:tcW w:type="dxa" w:w="1080"/>
          </w:tcPr>
          <w:p>
            <w:r>
              <w:t>rf_monitoring_iri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0.4688</w:t>
            </w:r>
          </w:p>
        </w:tc>
        <w:tc>
          <w:tcPr>
            <w:tcW w:type="dxa" w:w="1080"/>
          </w:tcPr>
          <w:p>
            <w:r>
              <w:t>0.3308</w:t>
            </w:r>
          </w:p>
        </w:tc>
        <w:tc>
          <w:tcPr>
            <w:tcW w:type="dxa" w:w="1080"/>
          </w:tcPr>
          <w:p>
            <w:r>
              <w:t>0.6609</w:t>
            </w:r>
          </w:p>
        </w:tc>
        <w:tc>
          <w:tcPr>
            <w:tcW w:type="dxa" w:w="1080"/>
          </w:tcPr>
          <w:p>
            <w:r>
              <w:t>0.3691</w:t>
            </w:r>
          </w:p>
        </w:tc>
        <w:tc>
          <w:tcPr>
            <w:tcW w:type="dxa" w:w="1080"/>
          </w:tcPr>
          <w:p>
            <w:r>
              <w:t>0.191</w:t>
            </w:r>
          </w:p>
        </w:tc>
      </w:tr>
      <w:tr>
        <w:tc>
          <w:tcPr>
            <w:tcW w:type="dxa" w:w="1080"/>
          </w:tcPr>
          <w:p>
            <w:r>
              <w:t>xgb_design_rutting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0.4322</w:t>
            </w:r>
          </w:p>
        </w:tc>
        <w:tc>
          <w:tcPr>
            <w:tcW w:type="dxa" w:w="1080"/>
          </w:tcPr>
          <w:p>
            <w:r>
              <w:t>-0.0226</w:t>
            </w:r>
          </w:p>
        </w:tc>
        <w:tc>
          <w:tcPr>
            <w:tcW w:type="dxa" w:w="1080"/>
          </w:tcPr>
          <w:p>
            <w:r>
              <w:t>0.6251</w:t>
            </w:r>
          </w:p>
        </w:tc>
        <w:tc>
          <w:tcPr>
            <w:tcW w:type="dxa" w:w="1080"/>
          </w:tcPr>
          <w:p>
            <w:r>
              <w:t>2.325</w:t>
            </w:r>
          </w:p>
        </w:tc>
        <w:tc>
          <w:tcPr>
            <w:tcW w:type="dxa" w:w="1080"/>
          </w:tcPr>
          <w:p>
            <w:r>
              <w:t>1.758</w:t>
            </w:r>
          </w:p>
        </w:tc>
      </w:tr>
      <w:tr>
        <w:tc>
          <w:tcPr>
            <w:tcW w:type="dxa" w:w="1080"/>
          </w:tcPr>
          <w:p>
            <w:r>
              <w:t>rf_design_rutting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0.3942</w:t>
            </w:r>
          </w:p>
        </w:tc>
        <w:tc>
          <w:tcPr>
            <w:tcW w:type="dxa" w:w="1080"/>
          </w:tcPr>
          <w:p>
            <w:r>
              <w:t>-0.2511</w:t>
            </w:r>
          </w:p>
        </w:tc>
        <w:tc>
          <w:tcPr>
            <w:tcW w:type="dxa" w:w="1080"/>
          </w:tcPr>
          <w:p>
            <w:r>
              <w:t>0.5318</w:t>
            </w:r>
          </w:p>
        </w:tc>
        <w:tc>
          <w:tcPr>
            <w:tcW w:type="dxa" w:w="1080"/>
          </w:tcPr>
          <w:p>
            <w:r>
              <w:t>2.401</w:t>
            </w:r>
          </w:p>
        </w:tc>
        <w:tc>
          <w:tcPr>
            <w:tcW w:type="dxa" w:w="1080"/>
          </w:tcPr>
          <w:p>
            <w:r>
              <w:t>1.87</w:t>
            </w:r>
          </w:p>
        </w:tc>
      </w:tr>
      <w:tr>
        <w:tc>
          <w:tcPr>
            <w:tcW w:type="dxa" w:w="1080"/>
          </w:tcPr>
          <w:p>
            <w:r>
              <w:t>xgb_monitoring_rutting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0.6719</w:t>
            </w:r>
          </w:p>
        </w:tc>
        <w:tc>
          <w:tcPr>
            <w:tcW w:type="dxa" w:w="1080"/>
          </w:tcPr>
          <w:p>
            <w:r>
              <w:t>0.1872</w:t>
            </w:r>
          </w:p>
        </w:tc>
        <w:tc>
          <w:tcPr>
            <w:tcW w:type="dxa" w:w="1080"/>
          </w:tcPr>
          <w:p>
            <w:r>
              <w:t>0.766</w:t>
            </w:r>
          </w:p>
        </w:tc>
        <w:tc>
          <w:tcPr>
            <w:tcW w:type="dxa" w:w="1080"/>
          </w:tcPr>
          <w:p>
            <w:r>
              <w:t>1.734</w:t>
            </w:r>
          </w:p>
        </w:tc>
        <w:tc>
          <w:tcPr>
            <w:tcW w:type="dxa" w:w="1080"/>
          </w:tcPr>
          <w:p>
            <w:r>
              <w:t>1.278</w:t>
            </w:r>
          </w:p>
        </w:tc>
      </w:tr>
      <w:tr>
        <w:tc>
          <w:tcPr>
            <w:tcW w:type="dxa" w:w="1080"/>
          </w:tcPr>
          <w:p>
            <w:r>
              <w:t>rf_monitoring_rutting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0.5915</w:t>
            </w:r>
          </w:p>
        </w:tc>
        <w:tc>
          <w:tcPr>
            <w:tcW w:type="dxa" w:w="1080"/>
          </w:tcPr>
          <w:p>
            <w:r>
              <w:t>-0.0119</w:t>
            </w:r>
          </w:p>
        </w:tc>
        <w:tc>
          <w:tcPr>
            <w:tcW w:type="dxa" w:w="1080"/>
          </w:tcPr>
          <w:p>
            <w:r>
              <w:t>0.7473</w:t>
            </w:r>
          </w:p>
        </w:tc>
        <w:tc>
          <w:tcPr>
            <w:tcW w:type="dxa" w:w="1080"/>
          </w:tcPr>
          <w:p>
            <w:r>
              <w:t>1.935</w:t>
            </w:r>
          </w:p>
        </w:tc>
        <w:tc>
          <w:tcPr>
            <w:tcW w:type="dxa" w:w="1080"/>
          </w:tcPr>
          <w:p>
            <w:r>
              <w:t>1.477</w:t>
            </w:r>
          </w:p>
        </w:tc>
      </w:tr>
      <w:tr>
        <w:tc>
          <w:tcPr>
            <w:tcW w:type="dxa" w:w="1080"/>
          </w:tcPr>
          <w:p>
            <w:r>
              <w:t>xgb_design_distress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0.2776</w:t>
            </w:r>
          </w:p>
        </w:tc>
        <w:tc>
          <w:tcPr>
            <w:tcW w:type="dxa" w:w="1080"/>
          </w:tcPr>
          <w:p>
            <w:r>
              <w:t>-0.3855</w:t>
            </w:r>
          </w:p>
        </w:tc>
        <w:tc>
          <w:tcPr>
            <w:tcW w:type="dxa" w:w="1080"/>
          </w:tcPr>
          <w:p>
            <w:r>
              <w:t>0.7142</w:t>
            </w:r>
          </w:p>
        </w:tc>
        <w:tc>
          <w:tcPr>
            <w:tcW w:type="dxa" w:w="1080"/>
          </w:tcPr>
          <w:p>
            <w:r>
              <w:t>18.98</w:t>
            </w:r>
          </w:p>
        </w:tc>
        <w:tc>
          <w:tcPr>
            <w:tcW w:type="dxa" w:w="1080"/>
          </w:tcPr>
          <w:p>
            <w:r>
              <w:t>14.23</w:t>
            </w:r>
          </w:p>
        </w:tc>
      </w:tr>
      <w:tr>
        <w:tc>
          <w:tcPr>
            <w:tcW w:type="dxa" w:w="1080"/>
          </w:tcPr>
          <w:p>
            <w:r>
              <w:t>rf_design_distress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0.21</w:t>
            </w:r>
          </w:p>
        </w:tc>
        <w:tc>
          <w:tcPr>
            <w:tcW w:type="dxa" w:w="1080"/>
          </w:tcPr>
          <w:p>
            <w:r>
              <w:t>-0.5168</w:t>
            </w:r>
          </w:p>
        </w:tc>
        <w:tc>
          <w:tcPr>
            <w:tcW w:type="dxa" w:w="1080"/>
          </w:tcPr>
          <w:p>
            <w:r>
              <w:t>0.6585</w:t>
            </w:r>
          </w:p>
        </w:tc>
        <w:tc>
          <w:tcPr>
            <w:tcW w:type="dxa" w:w="1080"/>
          </w:tcPr>
          <w:p>
            <w:r>
              <w:t>19.84</w:t>
            </w:r>
          </w:p>
        </w:tc>
        <w:tc>
          <w:tcPr>
            <w:tcW w:type="dxa" w:w="1080"/>
          </w:tcPr>
          <w:p>
            <w:r>
              <w:t>15.71</w:t>
            </w:r>
          </w:p>
        </w:tc>
      </w:tr>
      <w:tr>
        <w:tc>
          <w:tcPr>
            <w:tcW w:type="dxa" w:w="1080"/>
          </w:tcPr>
          <w:p>
            <w:r>
              <w:t>xgb_monitoring_distress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0.7619</w:t>
            </w:r>
          </w:p>
        </w:tc>
        <w:tc>
          <w:tcPr>
            <w:tcW w:type="dxa" w:w="1080"/>
          </w:tcPr>
          <w:p>
            <w:r>
              <w:t>0.4209</w:t>
            </w:r>
          </w:p>
        </w:tc>
        <w:tc>
          <w:tcPr>
            <w:tcW w:type="dxa" w:w="1080"/>
          </w:tcPr>
          <w:p>
            <w:r>
              <w:t>0.9602</w:t>
            </w:r>
          </w:p>
        </w:tc>
        <w:tc>
          <w:tcPr>
            <w:tcW w:type="dxa" w:w="1080"/>
          </w:tcPr>
          <w:p>
            <w:r>
              <w:t>10.86</w:t>
            </w:r>
          </w:p>
        </w:tc>
        <w:tc>
          <w:tcPr>
            <w:tcW w:type="dxa" w:w="1080"/>
          </w:tcPr>
          <w:p>
            <w:r>
              <w:t>6.949</w:t>
            </w:r>
          </w:p>
        </w:tc>
      </w:tr>
      <w:tr>
        <w:tc>
          <w:tcPr>
            <w:tcW w:type="dxa" w:w="1080"/>
          </w:tcPr>
          <w:p>
            <w:r>
              <w:t>rf_monitoring_distress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0.7412</w:t>
            </w:r>
          </w:p>
        </w:tc>
        <w:tc>
          <w:tcPr>
            <w:tcW w:type="dxa" w:w="1080"/>
          </w:tcPr>
          <w:p>
            <w:r>
              <w:t>0.473</w:t>
            </w:r>
          </w:p>
        </w:tc>
        <w:tc>
          <w:tcPr>
            <w:tcW w:type="dxa" w:w="1080"/>
          </w:tcPr>
          <w:p>
            <w:r>
              <w:t>0.9087</w:t>
            </w:r>
          </w:p>
        </w:tc>
        <w:tc>
          <w:tcPr>
            <w:tcW w:type="dxa" w:w="1080"/>
          </w:tcPr>
          <w:p>
            <w:r>
              <w:t>11.32</w:t>
            </w:r>
          </w:p>
        </w:tc>
        <w:tc>
          <w:tcPr>
            <w:tcW w:type="dxa" w:w="1080"/>
          </w:tcPr>
          <w:p>
            <w:r>
              <w:t>8.46</w:t>
            </w:r>
          </w:p>
        </w:tc>
      </w:tr>
    </w:tbl>
    <w:p/>
    <w:p>
      <w:pPr>
        <w:pStyle w:val="Heading2"/>
      </w:pPr>
      <w:r>
        <w:t>4.3 Monitoring Versus Persistence</w:t>
      </w:r>
    </w:p>
    <w:p>
      <w:pPr>
        <w:spacing w:after="120"/>
      </w:pPr>
      <w:r>
        <w:t>The common-set table compares trained monitoring models and persistence on the same held-out section/date rows. Absolute IRI monitoring underperforms one-year persistence on this common set, while the delta-IRI sensitivity model improves absolute-scale RMSE after adding predicted deterioration increments back to the lag.</w:t>
      </w:r>
    </w:p>
    <w:p>
      <w:pPr>
        <w:spacing w:after="120"/>
      </w:pPr>
      <w:r>
        <w:t>Table 3. Common-set monitoring and persistence comparison.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skill_vs_persist_k1</w:t>
            </w:r>
          </w:p>
        </w:tc>
      </w:tr>
      <w:tr>
        <w:tc>
          <w:tcPr>
            <w:tcW w:type="dxa" w:w="1440"/>
          </w:tcPr>
          <w:p>
            <w:r>
              <w:t>persist_k1_common_iri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  <w:tc>
          <w:tcPr>
            <w:tcW w:type="dxa" w:w="1440"/>
          </w:tcPr>
          <w:p>
            <w:r>
              <w:t>0.2108</w:t>
            </w:r>
          </w:p>
        </w:tc>
        <w:tc>
          <w:tcPr>
            <w:tcW w:type="dxa" w:w="1440"/>
          </w:tcPr>
          <w:p>
            <w:r>
              <w:t>0.1197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persist_k2_common_iri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  <w:tc>
          <w:tcPr>
            <w:tcW w:type="dxa" w:w="1440"/>
          </w:tcPr>
          <w:p>
            <w:r>
              <w:t>0.2108</w:t>
            </w:r>
          </w:p>
        </w:tc>
        <w:tc>
          <w:tcPr>
            <w:tcW w:type="dxa" w:w="1440"/>
          </w:tcPr>
          <w:p>
            <w:r>
              <w:t>0.1197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persist_k3_common_iri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  <w:tc>
          <w:tcPr>
            <w:tcW w:type="dxa" w:w="1440"/>
          </w:tcPr>
          <w:p>
            <w:r>
              <w:t>0.2108</w:t>
            </w:r>
          </w:p>
        </w:tc>
        <w:tc>
          <w:tcPr>
            <w:tcW w:type="dxa" w:w="1440"/>
          </w:tcPr>
          <w:p>
            <w:r>
              <w:t>0.1197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xgb_monitoring_common_iri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0.733</w:t>
            </w:r>
          </w:p>
        </w:tc>
        <w:tc>
          <w:tcPr>
            <w:tcW w:type="dxa" w:w="1440"/>
          </w:tcPr>
          <w:p>
            <w:r>
              <w:t>0.2841</w:t>
            </w:r>
          </w:p>
        </w:tc>
        <w:tc>
          <w:tcPr>
            <w:tcW w:type="dxa" w:w="1440"/>
          </w:tcPr>
          <w:p>
            <w:r>
              <w:t>0.1785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rf_monitoring_common_iri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0.2873</w:t>
            </w:r>
          </w:p>
        </w:tc>
        <w:tc>
          <w:tcPr>
            <w:tcW w:type="dxa" w:w="1440"/>
          </w:tcPr>
          <w:p>
            <w:r>
              <w:t>0.1622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xgb_monitoring_delta_common_iri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0.9404</w:t>
            </w:r>
          </w:p>
        </w:tc>
        <w:tc>
          <w:tcPr>
            <w:tcW w:type="dxa" w:w="1440"/>
          </w:tcPr>
          <w:p>
            <w:r>
              <w:t>0.1342</w:t>
            </w:r>
          </w:p>
        </w:tc>
        <w:tc>
          <w:tcPr>
            <w:tcW w:type="dxa" w:w="1440"/>
          </w:tcPr>
          <w:p>
            <w:r>
              <w:t>0.1</w:t>
            </w:r>
          </w:p>
        </w:tc>
        <w:tc>
          <w:tcPr>
            <w:tcW w:type="dxa" w:w="1440"/>
          </w:tcPr>
          <w:p>
            <w:r>
              <w:t>0.3634</w:t>
            </w:r>
          </w:p>
        </w:tc>
      </w:tr>
      <w:tr>
        <w:tc>
          <w:tcPr>
            <w:tcW w:type="dxa" w:w="1440"/>
          </w:tcPr>
          <w:p>
            <w:r>
              <w:t>rf_monitoring_delta_common_iri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0.9568</w:t>
            </w:r>
          </w:p>
        </w:tc>
        <w:tc>
          <w:tcPr>
            <w:tcW w:type="dxa" w:w="1440"/>
          </w:tcPr>
          <w:p>
            <w:r>
              <w:t>0.1143</w:t>
            </w:r>
          </w:p>
        </w:tc>
        <w:tc>
          <w:tcPr>
            <w:tcW w:type="dxa" w:w="1440"/>
          </w:tcPr>
          <w:p>
            <w:r>
              <w:t>0.0808</w:t>
            </w:r>
          </w:p>
        </w:tc>
        <w:tc>
          <w:tcPr>
            <w:tcW w:type="dxa" w:w="1440"/>
          </w:tcPr>
          <w:p>
            <w:r>
              <w:t>0.4578</w:t>
            </w:r>
          </w:p>
        </w:tc>
      </w:tr>
      <w:tr>
        <w:tc>
          <w:tcPr>
            <w:tcW w:type="dxa" w:w="1440"/>
          </w:tcPr>
          <w:p>
            <w:r>
              <w:t>persist_k1_common_rutting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0.8096</w:t>
            </w:r>
          </w:p>
        </w:tc>
        <w:tc>
          <w:tcPr>
            <w:tcW w:type="dxa" w:w="1440"/>
          </w:tcPr>
          <w:p>
            <w:r>
              <w:t>1.492</w:t>
            </w:r>
          </w:p>
        </w:tc>
        <w:tc>
          <w:tcPr>
            <w:tcW w:type="dxa" w:w="1440"/>
          </w:tcPr>
          <w:p>
            <w:r>
              <w:t>0.9545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persist_k2_common_rutting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0.8096</w:t>
            </w:r>
          </w:p>
        </w:tc>
        <w:tc>
          <w:tcPr>
            <w:tcW w:type="dxa" w:w="1440"/>
          </w:tcPr>
          <w:p>
            <w:r>
              <w:t>1.492</w:t>
            </w:r>
          </w:p>
        </w:tc>
        <w:tc>
          <w:tcPr>
            <w:tcW w:type="dxa" w:w="1440"/>
          </w:tcPr>
          <w:p>
            <w:r>
              <w:t>0.9545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persist_k3_common_rutting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0.8096</w:t>
            </w:r>
          </w:p>
        </w:tc>
        <w:tc>
          <w:tcPr>
            <w:tcW w:type="dxa" w:w="1440"/>
          </w:tcPr>
          <w:p>
            <w:r>
              <w:t>1.492</w:t>
            </w:r>
          </w:p>
        </w:tc>
        <w:tc>
          <w:tcPr>
            <w:tcW w:type="dxa" w:w="1440"/>
          </w:tcPr>
          <w:p>
            <w:r>
              <w:t>0.9545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xgb_monitoring_common_rutting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0.7869</w:t>
            </w:r>
          </w:p>
        </w:tc>
        <w:tc>
          <w:tcPr>
            <w:tcW w:type="dxa" w:w="1440"/>
          </w:tcPr>
          <w:p>
            <w:r>
              <w:t>1.579</w:t>
            </w:r>
          </w:p>
        </w:tc>
        <w:tc>
          <w:tcPr>
            <w:tcW w:type="dxa" w:w="1440"/>
          </w:tcPr>
          <w:p>
            <w:r>
              <w:t>1.302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rf_monitoring_common_rutting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0.7116</w:t>
            </w:r>
          </w:p>
        </w:tc>
        <w:tc>
          <w:tcPr>
            <w:tcW w:type="dxa" w:w="1440"/>
          </w:tcPr>
          <w:p>
            <w:r>
              <w:t>1.837</w:t>
            </w:r>
          </w:p>
        </w:tc>
        <w:tc>
          <w:tcPr>
            <w:tcW w:type="dxa" w:w="1440"/>
          </w:tcPr>
          <w:p>
            <w:r>
              <w:t>1.498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persist_k1_common_distress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-0.4671</w:t>
            </w:r>
          </w:p>
        </w:tc>
        <w:tc>
          <w:tcPr>
            <w:tcW w:type="dxa" w:w="1440"/>
          </w:tcPr>
          <w:p>
            <w:r>
              <w:t>30.61</w:t>
            </w:r>
          </w:p>
        </w:tc>
        <w:tc>
          <w:tcPr>
            <w:tcW w:type="dxa" w:w="1440"/>
          </w:tcPr>
          <w:p>
            <w:r>
              <w:t>17.83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persist_k2_common_distress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-0.4671</w:t>
            </w:r>
          </w:p>
        </w:tc>
        <w:tc>
          <w:tcPr>
            <w:tcW w:type="dxa" w:w="1440"/>
          </w:tcPr>
          <w:p>
            <w:r>
              <w:t>30.61</w:t>
            </w:r>
          </w:p>
        </w:tc>
        <w:tc>
          <w:tcPr>
            <w:tcW w:type="dxa" w:w="1440"/>
          </w:tcPr>
          <w:p>
            <w:r>
              <w:t>17.83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persist_k3_common_distress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-0.4671</w:t>
            </w:r>
          </w:p>
        </w:tc>
        <w:tc>
          <w:tcPr>
            <w:tcW w:type="dxa" w:w="1440"/>
          </w:tcPr>
          <w:p>
            <w:r>
              <w:t>30.61</w:t>
            </w:r>
          </w:p>
        </w:tc>
        <w:tc>
          <w:tcPr>
            <w:tcW w:type="dxa" w:w="1440"/>
          </w:tcPr>
          <w:p>
            <w:r>
              <w:t>17.83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xgb_monitoring_common_distress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0.7105</w:t>
            </w:r>
          </w:p>
        </w:tc>
        <w:tc>
          <w:tcPr>
            <w:tcW w:type="dxa" w:w="1440"/>
          </w:tcPr>
          <w:p>
            <w:r>
              <w:t>13.6</w:t>
            </w:r>
          </w:p>
        </w:tc>
        <w:tc>
          <w:tcPr>
            <w:tcW w:type="dxa" w:w="1440"/>
          </w:tcPr>
          <w:p>
            <w:r>
              <w:t>9.475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  <w:tr>
        <w:tc>
          <w:tcPr>
            <w:tcW w:type="dxa" w:w="1440"/>
          </w:tcPr>
          <w:p>
            <w:r>
              <w:t>rf_monitoring_common_distress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0.6987</w:t>
            </w:r>
          </w:p>
        </w:tc>
        <w:tc>
          <w:tcPr>
            <w:tcW w:type="dxa" w:w="1440"/>
          </w:tcPr>
          <w:p>
            <w:r>
              <w:t>13.87</w:t>
            </w:r>
          </w:p>
        </w:tc>
        <w:tc>
          <w:tcPr>
            <w:tcW w:type="dxa" w:w="1440"/>
          </w:tcPr>
          <w:p>
            <w:r>
              <w:t>11.72</w:t>
            </w:r>
          </w:p>
        </w:tc>
        <w:tc>
          <w:tcPr>
            <w:tcW w:type="dxa" w:w="1440"/>
          </w:tcPr>
          <w:p>
            <w:r>
              <w:t>nan</w:t>
            </w:r>
          </w:p>
        </w:tc>
      </w:tr>
    </w:tbl>
    <w:p/>
    <w:p>
      <w:pPr>
        <w:pStyle w:val="Heading2"/>
      </w:pPr>
      <w:r>
        <w:t>4.4 Leave-One-Region-Out Generalization</w:t>
      </w:r>
    </w:p>
    <w:p>
      <w:pPr>
        <w:spacing w:after="120"/>
      </w:pPr>
      <w:r>
        <w:t>LOO validation again shows weak climate transfer. Ontario XGBoost LOO R2 is -0.223, so the corrected primary run does not support the earlier post-hoc claim that Ontario transfer became positive. Georgia also remains a major failure case, showing that climate mismatch is not captured by freeze index alone.</w:t>
      </w:r>
    </w:p>
    <w:p>
      <w:pPr>
        <w:spacing w:after="120"/>
      </w:pPr>
      <w:r>
        <w:t>Table 4. Leave-one-region-out IRI design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withheld_region</w:t>
            </w:r>
          </w:p>
        </w:tc>
        <w:tc>
          <w:tcPr>
            <w:tcW w:type="dxa" w:w="1234"/>
          </w:tcPr>
          <w:p>
            <w:r>
              <w:t>arch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n_obs</w:t>
            </w:r>
          </w:p>
        </w:tc>
        <w:tc>
          <w:tcPr>
            <w:tcW w:type="dxa" w:w="1234"/>
          </w:tcPr>
          <w:p>
            <w:r>
              <w:t>R2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MAE</w:t>
            </w:r>
          </w:p>
        </w:tc>
      </w:tr>
      <w:tr>
        <w:tc>
          <w:tcPr>
            <w:tcW w:type="dxa" w:w="1234"/>
          </w:tcPr>
          <w:p>
            <w:r>
              <w:t>Arizona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-0.0786</w:t>
            </w:r>
          </w:p>
        </w:tc>
        <w:tc>
          <w:tcPr>
            <w:tcW w:type="dxa" w:w="1234"/>
          </w:tcPr>
          <w:p>
            <w:r>
              <w:t>0.4952</w:t>
            </w:r>
          </w:p>
        </w:tc>
        <w:tc>
          <w:tcPr>
            <w:tcW w:type="dxa" w:w="1234"/>
          </w:tcPr>
          <w:p>
            <w:r>
              <w:t>0.3677</w:t>
            </w:r>
          </w:p>
        </w:tc>
      </w:tr>
      <w:tr>
        <w:tc>
          <w:tcPr>
            <w:tcW w:type="dxa" w:w="1234"/>
          </w:tcPr>
          <w:p>
            <w:r>
              <w:t>Arizona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0.0256</w:t>
            </w:r>
          </w:p>
        </w:tc>
        <w:tc>
          <w:tcPr>
            <w:tcW w:type="dxa" w:w="1234"/>
          </w:tcPr>
          <w:p>
            <w:r>
              <w:t>0.4707</w:t>
            </w:r>
          </w:p>
        </w:tc>
        <w:tc>
          <w:tcPr>
            <w:tcW w:type="dxa" w:w="1234"/>
          </w:tcPr>
          <w:p>
            <w:r>
              <w:t>0.3526</w:t>
            </w:r>
          </w:p>
        </w:tc>
      </w:tr>
      <w:tr>
        <w:tc>
          <w:tcPr>
            <w:tcW w:type="dxa" w:w="1234"/>
          </w:tcPr>
          <w:p>
            <w:r>
              <w:t>Georgia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-0.7659</w:t>
            </w:r>
          </w:p>
        </w:tc>
        <w:tc>
          <w:tcPr>
            <w:tcW w:type="dxa" w:w="1234"/>
          </w:tcPr>
          <w:p>
            <w:r>
              <w:t>0.3669</w:t>
            </w:r>
          </w:p>
        </w:tc>
        <w:tc>
          <w:tcPr>
            <w:tcW w:type="dxa" w:w="1234"/>
          </w:tcPr>
          <w:p>
            <w:r>
              <w:t>0.328</w:t>
            </w:r>
          </w:p>
        </w:tc>
      </w:tr>
      <w:tr>
        <w:tc>
          <w:tcPr>
            <w:tcW w:type="dxa" w:w="1234"/>
          </w:tcPr>
          <w:p>
            <w:r>
              <w:t>Georgia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-0.7006</w:t>
            </w:r>
          </w:p>
        </w:tc>
        <w:tc>
          <w:tcPr>
            <w:tcW w:type="dxa" w:w="1234"/>
          </w:tcPr>
          <w:p>
            <w:r>
              <w:t>0.36</w:t>
            </w:r>
          </w:p>
        </w:tc>
        <w:tc>
          <w:tcPr>
            <w:tcW w:type="dxa" w:w="1234"/>
          </w:tcPr>
          <w:p>
            <w:r>
              <w:t>0.3172</w:t>
            </w:r>
          </w:p>
        </w:tc>
      </w:tr>
      <w:tr>
        <w:tc>
          <w:tcPr>
            <w:tcW w:type="dxa" w:w="1234"/>
          </w:tcPr>
          <w:p>
            <w:r>
              <w:t>Ohio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0.0606</w:t>
            </w:r>
          </w:p>
        </w:tc>
        <w:tc>
          <w:tcPr>
            <w:tcW w:type="dxa" w:w="1234"/>
          </w:tcPr>
          <w:p>
            <w:r>
              <w:t>0.4814</w:t>
            </w:r>
          </w:p>
        </w:tc>
        <w:tc>
          <w:tcPr>
            <w:tcW w:type="dxa" w:w="1234"/>
          </w:tcPr>
          <w:p>
            <w:r>
              <w:t>0.3819</w:t>
            </w:r>
          </w:p>
        </w:tc>
      </w:tr>
      <w:tr>
        <w:tc>
          <w:tcPr>
            <w:tcW w:type="dxa" w:w="1234"/>
          </w:tcPr>
          <w:p>
            <w:r>
              <w:t>Ohio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-0.0521</w:t>
            </w:r>
          </w:p>
        </w:tc>
        <w:tc>
          <w:tcPr>
            <w:tcW w:type="dxa" w:w="1234"/>
          </w:tcPr>
          <w:p>
            <w:r>
              <w:t>0.5094</w:t>
            </w:r>
          </w:p>
        </w:tc>
        <w:tc>
          <w:tcPr>
            <w:tcW w:type="dxa" w:w="1234"/>
          </w:tcPr>
          <w:p>
            <w:r>
              <w:t>0.3941</w:t>
            </w:r>
          </w:p>
        </w:tc>
      </w:tr>
      <w:tr>
        <w:tc>
          <w:tcPr>
            <w:tcW w:type="dxa" w:w="1234"/>
          </w:tcPr>
          <w:p>
            <w:r>
              <w:t>Ontario</w:t>
            </w:r>
          </w:p>
        </w:tc>
        <w:tc>
          <w:tcPr>
            <w:tcW w:type="dxa" w:w="1234"/>
          </w:tcPr>
          <w:p>
            <w:r>
              <w:t>xgb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-0.2226</w:t>
            </w:r>
          </w:p>
        </w:tc>
        <w:tc>
          <w:tcPr>
            <w:tcW w:type="dxa" w:w="1234"/>
          </w:tcPr>
          <w:p>
            <w:r>
              <w:t>0.495</w:t>
            </w:r>
          </w:p>
        </w:tc>
        <w:tc>
          <w:tcPr>
            <w:tcW w:type="dxa" w:w="1234"/>
          </w:tcPr>
          <w:p>
            <w:r>
              <w:t>0.3699</w:t>
            </w:r>
          </w:p>
        </w:tc>
      </w:tr>
      <w:tr>
        <w:tc>
          <w:tcPr>
            <w:tcW w:type="dxa" w:w="1234"/>
          </w:tcPr>
          <w:p>
            <w:r>
              <w:t>Ontario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iri</w:t>
            </w:r>
          </w:p>
        </w:tc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-0.1402</w:t>
            </w:r>
          </w:p>
        </w:tc>
        <w:tc>
          <w:tcPr>
            <w:tcW w:type="dxa" w:w="1234"/>
          </w:tcPr>
          <w:p>
            <w:r>
              <w:t>0.478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_vs_climate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LOO R2 across the climate gradient.</w:t>
      </w:r>
    </w:p>
    <w:p>
      <w:pPr>
        <w:pStyle w:val="Heading2"/>
      </w:pPr>
      <w:r>
        <w:t>4.5 Interpretability Stability</w:t>
      </w:r>
    </w:p>
    <w:p>
      <w:pPr>
        <w:spacing w:after="120"/>
      </w:pPr>
      <w:r>
        <w:t>Cross-model SHAP rank consistency is rho = 0.681, below the pre-specified stability threshold of 0.75. SHAP and PDP outputs therefore describe model behavior on this small dataset; robust claims should be restricted to converging top-ranked features and should not be treated as causal pavement-mechanism evidence.</w:t>
      </w:r>
    </w:p>
    <w:p>
      <w:pPr>
        <w:spacing w:after="120"/>
      </w:pPr>
      <w:r>
        <w:t>Table 5. SHAP cross-model consistency.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n_features</w:t>
            </w:r>
          </w:p>
        </w:tc>
        <w:tc>
          <w:tcPr>
            <w:tcW w:type="dxa" w:w="1728"/>
          </w:tcPr>
          <w:p>
            <w:r>
              <w:t>spearman_rho</w:t>
            </w:r>
          </w:p>
        </w:tc>
        <w:tc>
          <w:tcPr>
            <w:tcW w:type="dxa" w:w="1728"/>
          </w:tcPr>
          <w:p>
            <w:r>
              <w:t>p_value</w:t>
            </w:r>
          </w:p>
        </w:tc>
        <w:tc>
          <w:tcPr>
            <w:tcW w:type="dxa" w:w="1728"/>
          </w:tcPr>
          <w:p>
            <w:r>
              <w:t>threshold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0.6808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UNSTABLE (ρ = 0.6808 &lt; 0.75) — robust claims restricted to top-ranking converging features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823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ar_iri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2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Global SHAP importance for the corrected IRI design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97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Residual diagnostics for the corrected XGBoost IRI design model.</w:t>
      </w:r>
    </w:p>
    <w:p>
      <w:pPr>
        <w:pStyle w:val="Heading2"/>
      </w:pPr>
      <w:r>
        <w:t>4.6 Synthesis</w:t>
      </w:r>
    </w:p>
    <w:p>
      <w:pPr>
        <w:spacing w:after="120"/>
      </w:pPr>
      <w:r>
        <w:t>The corrected pipeline supports the article's central caution. High apparent accuracy can arise from leakage, lag persistence, regional imbalance, or proxy features. After removing those shortcuts, design-stage transfer remains weak, monitoring must be benchmarked against persistence, and interpretability is bounded by model generalization and cross-model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