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497D"/>
        </w:rPr>
        <w:t>4.  Results and Discussion</w:t>
      </w:r>
    </w:p>
    <w:p>
      <w:r>
        <w:t>This section reports findings in correspondence with the analytical sequence defined in the Methodology (§3.1–§3.14). The pipeline was revised following an analysis of six structural faults in the original design: (i) CLIM_FREEZE_INDEX is now force-retained in feature selection regardless of clustering outcome; (ii) CLIM_LONGITUDE is excluded as a spurious geographic proxy; (iii) CLIMATE_ZONE_CODE (ordinal: AZ=1, GA=2, OH=3, ON=4) is injected into all design and monitoring datasets to give the model explicit regime context; (iv) a ΔIRI monitoring target is added for skill-score evaluation; (v) separate warm- and freeze-regime rutting models are trained; and (vi) leave-one-region-out reweights training observations by climate-distance to the withheld region. These changes produced substantial R² improvements across all targets. Four noteworthy consistency-check outcomes are documented below: (a) Ontario XGBoost LOO R² is now +0.136 (positive), attributable to improved climate conditioning rather than leakage; (b) the IRI common set remains 25–32 observations from 7 test sections; (c) SHAP cross-model consistency ρ dropped to 0.732 (marginally below the 0.75 threshold); and (d) the ΔIRI monitoring model demonstrates genuine forecast skill above persistence.</w:t>
      </w:r>
    </w:p>
    <w:p>
      <w:pPr>
        <w:pStyle w:val="Heading2"/>
      </w:pPr>
      <w:r>
        <w:rPr>
          <w:color w:val="2E74B5"/>
        </w:rPr>
        <w:t>4.1  Dataset and Preprocessing Summary (§3.1–§3.7)</w:t>
      </w:r>
    </w:p>
    <w:p>
      <w:r>
        <w:t>The raw LTPP extract contains 4,397 records across 432 columns. After visit-level IRI aggregation (§3.2), the effective sample comprises 650 unique visit-dates for IRI, 566 for rutting, and 378 for cracking distress. The pavement age feature AGE_YEARS — derived as (OBSERVATION_DATE − CN_ASSIGN_DATE) / 365.25 — spans 0 to 35 years across 48 sections.</w:t>
      </w:r>
    </w:p>
    <w:p>
      <w:r>
        <w:rPr>
          <w:b/>
        </w:rPr>
        <w:t>Table 1.  Dataset summary by target variable (§3.2).</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97D"/>
          </w:tcPr>
          <w:p>
            <w:pPr>
              <w:jc w:val="center"/>
            </w:pPr>
            <w:r>
              <w:rPr>
                <w:b/>
                <w:color w:val="FFFFFF"/>
                <w:sz w:val="18"/>
              </w:rPr>
              <w:t>Target variable</w:t>
            </w:r>
          </w:p>
        </w:tc>
        <w:tc>
          <w:tcPr>
            <w:tcW w:type="dxa" w:w="1824"/>
            <w:shd w:val="clear" w:color="auto" w:fill="1F497D"/>
          </w:tcPr>
          <w:p>
            <w:pPr>
              <w:jc w:val="center"/>
            </w:pPr>
            <w:r>
              <w:rPr>
                <w:b/>
                <w:color w:val="FFFFFF"/>
                <w:sz w:val="18"/>
              </w:rPr>
              <w:t>LTPP column</w:t>
            </w:r>
          </w:p>
        </w:tc>
        <w:tc>
          <w:tcPr>
            <w:tcW w:type="dxa" w:w="1824"/>
            <w:shd w:val="clear" w:color="auto" w:fill="1F497D"/>
          </w:tcPr>
          <w:p>
            <w:pPr>
              <w:jc w:val="center"/>
            </w:pPr>
            <w:r>
              <w:rPr>
                <w:b/>
                <w:color w:val="FFFFFF"/>
                <w:sz w:val="18"/>
              </w:rPr>
              <w:t>Raw records</w:t>
            </w:r>
          </w:p>
        </w:tc>
        <w:tc>
          <w:tcPr>
            <w:tcW w:type="dxa" w:w="1824"/>
            <w:shd w:val="clear" w:color="auto" w:fill="1F497D"/>
          </w:tcPr>
          <w:p>
            <w:pPr>
              <w:jc w:val="center"/>
            </w:pPr>
            <w:r>
              <w:rPr>
                <w:b/>
                <w:color w:val="FFFFFF"/>
                <w:sz w:val="18"/>
              </w:rPr>
              <w:t>Visit-level observations</w:t>
            </w:r>
          </w:p>
        </w:tc>
        <w:tc>
          <w:tcPr>
            <w:tcW w:type="dxa" w:w="1824"/>
            <w:shd w:val="clear" w:color="auto" w:fill="1F497D"/>
          </w:tcPr>
          <w:p>
            <w:pPr>
              <w:jc w:val="center"/>
            </w:pPr>
            <w:r>
              <w:rPr>
                <w:b/>
                <w:color w:val="FFFFFF"/>
                <w:sz w:val="18"/>
              </w:rPr>
              <w:t>Test set obs</w:t>
            </w:r>
          </w:p>
        </w:tc>
      </w:tr>
      <w:tr>
        <w:tc>
          <w:tcPr>
            <w:tcW w:type="dxa" w:w="1824"/>
            <w:vAlign w:val="center"/>
          </w:tcPr>
          <w:p>
            <w:r>
              <w:rPr>
                <w:sz w:val="18"/>
              </w:rPr>
              <w:t>IRI (m/km)</w:t>
            </w:r>
          </w:p>
        </w:tc>
        <w:tc>
          <w:tcPr>
            <w:tcW w:type="dxa" w:w="1824"/>
            <w:vAlign w:val="center"/>
          </w:tcPr>
          <w:p>
            <w:pPr>
              <w:jc w:val="center"/>
            </w:pPr>
            <w:r>
              <w:rPr>
                <w:sz w:val="18"/>
              </w:rPr>
              <w:t>IRI_MRI</w:t>
            </w:r>
          </w:p>
        </w:tc>
        <w:tc>
          <w:tcPr>
            <w:tcW w:type="dxa" w:w="1824"/>
            <w:vAlign w:val="center"/>
          </w:tcPr>
          <w:p>
            <w:pPr>
              <w:jc w:val="center"/>
            </w:pPr>
            <w:r>
              <w:rPr>
                <w:sz w:val="18"/>
              </w:rPr>
              <w:t>3,233</w:t>
            </w:r>
          </w:p>
        </w:tc>
        <w:tc>
          <w:tcPr>
            <w:tcW w:type="dxa" w:w="1824"/>
            <w:vAlign w:val="center"/>
          </w:tcPr>
          <w:p>
            <w:pPr>
              <w:jc w:val="center"/>
            </w:pPr>
            <w:r>
              <w:rPr>
                <w:sz w:val="18"/>
              </w:rPr>
              <w:t>650</w:t>
            </w:r>
          </w:p>
        </w:tc>
        <w:tc>
          <w:tcPr>
            <w:tcW w:type="dxa" w:w="1824"/>
            <w:vAlign w:val="center"/>
          </w:tcPr>
          <w:p>
            <w:pPr>
              <w:jc w:val="center"/>
            </w:pPr>
            <w:r>
              <w:rPr>
                <w:sz w:val="18"/>
              </w:rPr>
              <w:t>86</w:t>
            </w:r>
          </w:p>
        </w:tc>
      </w:tr>
      <w:tr>
        <w:tc>
          <w:tcPr>
            <w:tcW w:type="dxa" w:w="1824"/>
            <w:shd w:val="clear" w:color="auto" w:fill="EBF3FB"/>
            <w:vAlign w:val="center"/>
          </w:tcPr>
          <w:p>
            <w:r>
              <w:rPr>
                <w:sz w:val="18"/>
              </w:rPr>
              <w:t>Rut depth (mm)</w:t>
            </w:r>
          </w:p>
        </w:tc>
        <w:tc>
          <w:tcPr>
            <w:tcW w:type="dxa" w:w="1824"/>
            <w:shd w:val="clear" w:color="auto" w:fill="EBF3FB"/>
            <w:vAlign w:val="center"/>
          </w:tcPr>
          <w:p>
            <w:pPr>
              <w:jc w:val="center"/>
            </w:pPr>
            <w:r>
              <w:rPr>
                <w:sz w:val="18"/>
              </w:rPr>
              <w:t>RUT_LLH_DEPTH_1_8_MEAN</w:t>
            </w:r>
          </w:p>
        </w:tc>
        <w:tc>
          <w:tcPr>
            <w:tcW w:type="dxa" w:w="1824"/>
            <w:shd w:val="clear" w:color="auto" w:fill="EBF3FB"/>
            <w:vAlign w:val="center"/>
          </w:tcPr>
          <w:p>
            <w:pPr>
              <w:jc w:val="center"/>
            </w:pPr>
            <w:r>
              <w:rPr>
                <w:sz w:val="18"/>
              </w:rPr>
              <w:t>566</w:t>
            </w:r>
          </w:p>
        </w:tc>
        <w:tc>
          <w:tcPr>
            <w:tcW w:type="dxa" w:w="1824"/>
            <w:shd w:val="clear" w:color="auto" w:fill="EBF3FB"/>
            <w:vAlign w:val="center"/>
          </w:tcPr>
          <w:p>
            <w:pPr>
              <w:jc w:val="center"/>
            </w:pPr>
            <w:r>
              <w:rPr>
                <w:sz w:val="18"/>
              </w:rPr>
              <w:t>566</w:t>
            </w:r>
          </w:p>
        </w:tc>
        <w:tc>
          <w:tcPr>
            <w:tcW w:type="dxa" w:w="1824"/>
            <w:shd w:val="clear" w:color="auto" w:fill="EBF3FB"/>
            <w:vAlign w:val="center"/>
          </w:tcPr>
          <w:p>
            <w:pPr>
              <w:jc w:val="center"/>
            </w:pPr>
            <w:r>
              <w:rPr>
                <w:sz w:val="18"/>
              </w:rPr>
              <w:t>74</w:t>
            </w:r>
          </w:p>
        </w:tc>
      </w:tr>
      <w:tr>
        <w:tc>
          <w:tcPr>
            <w:tcW w:type="dxa" w:w="1824"/>
            <w:vAlign w:val="center"/>
          </w:tcPr>
          <w:p>
            <w:r>
              <w:rPr>
                <w:sz w:val="18"/>
              </w:rPr>
              <w:t>Cracking distress (%)</w:t>
            </w:r>
          </w:p>
        </w:tc>
        <w:tc>
          <w:tcPr>
            <w:tcW w:type="dxa" w:w="1824"/>
            <w:vAlign w:val="center"/>
          </w:tcPr>
          <w:p>
            <w:pPr>
              <w:jc w:val="center"/>
            </w:pPr>
            <w:r>
              <w:rPr>
                <w:sz w:val="18"/>
              </w:rPr>
              <w:t>DIS_HPMS16_CRACKING_PERCENT_AC</w:t>
            </w:r>
          </w:p>
        </w:tc>
        <w:tc>
          <w:tcPr>
            <w:tcW w:type="dxa" w:w="1824"/>
            <w:vAlign w:val="center"/>
          </w:tcPr>
          <w:p>
            <w:pPr>
              <w:jc w:val="center"/>
            </w:pPr>
            <w:r>
              <w:rPr>
                <w:sz w:val="18"/>
              </w:rPr>
              <w:t>378</w:t>
            </w:r>
          </w:p>
        </w:tc>
        <w:tc>
          <w:tcPr>
            <w:tcW w:type="dxa" w:w="1824"/>
            <w:vAlign w:val="center"/>
          </w:tcPr>
          <w:p>
            <w:pPr>
              <w:jc w:val="center"/>
            </w:pPr>
            <w:r>
              <w:rPr>
                <w:sz w:val="18"/>
              </w:rPr>
              <w:t>378</w:t>
            </w:r>
          </w:p>
        </w:tc>
        <w:tc>
          <w:tcPr>
            <w:tcW w:type="dxa" w:w="1824"/>
            <w:vAlign w:val="center"/>
          </w:tcPr>
          <w:p>
            <w:pPr>
              <w:jc w:val="center"/>
            </w:pPr>
            <w:r>
              <w:rPr>
                <w:sz w:val="18"/>
              </w:rPr>
              <w:t>45</w:t>
            </w:r>
          </w:p>
        </w:tc>
      </w:tr>
    </w:tbl>
    <w:p/>
    <w:p>
      <w:r>
        <w:t>Feature engineering (§3.3) produces nine physics-based composite variables from the domain columns. The structural freeze-insulation composite uses the safe formulation LAYER_THICKNESS_AC_MM × 1/(1 + CLIM_FREEZE_INDEX) rather than the ratio form, avoiding division-by-zero for the 1,419 records (32.3%) where CLIM_FREEZE_INDEX = 0. The 50% missingness threshold (§3.4) is applied independently per target, retaining approximately 200–220 features before collinearity reduction. Spearman hierarchical clustering at |ρ| = 0.85 (§3.7) reduces the retained set to 154 features for IRI (150 for rutting, 194 for distress). Two key changes from the baseline pipeline: CLIM_FREEZE_INDEX is force-retained as a physics-mandatory feature regardless of clustering tiebreaker outcome; CLIM_LONGITUDE and CLIM_LATITUDE are excluded before clustering as they act as geographic proxies for climate, substituting for actual climate signals. CLIMATE_ZONE_CODE (ordinal encoding of climate regime) is injected post-clustering into all design and monitoring datasets.</w:t>
      </w:r>
    </w:p>
    <w:p>
      <w:r>
        <w:rPr>
          <w:b/>
        </w:rPr>
        <w:t>Table 2.  Section allocation across train / validation / test splits (§3.5).</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pPr>
              <w:jc w:val="center"/>
            </w:pPr>
            <w:r>
              <w:rPr>
                <w:b/>
                <w:color w:val="FFFFFF"/>
                <w:sz w:val="18"/>
              </w:rPr>
              <w:t>Region</w:t>
            </w:r>
          </w:p>
        </w:tc>
        <w:tc>
          <w:tcPr>
            <w:tcW w:type="dxa" w:w="1520"/>
            <w:shd w:val="clear" w:color="auto" w:fill="1F497D"/>
          </w:tcPr>
          <w:p>
            <w:pPr>
              <w:jc w:val="center"/>
            </w:pPr>
            <w:r>
              <w:rPr>
                <w:b/>
                <w:color w:val="FFFFFF"/>
                <w:sz w:val="18"/>
              </w:rPr>
              <w:t>Mean FI (°C·days)</w:t>
            </w:r>
          </w:p>
        </w:tc>
        <w:tc>
          <w:tcPr>
            <w:tcW w:type="dxa" w:w="1520"/>
            <w:shd w:val="clear" w:color="auto" w:fill="1F497D"/>
          </w:tcPr>
          <w:p>
            <w:pPr>
              <w:jc w:val="center"/>
            </w:pPr>
            <w:r>
              <w:rPr>
                <w:b/>
                <w:color w:val="FFFFFF"/>
                <w:sz w:val="18"/>
              </w:rPr>
              <w:t>Train</w:t>
            </w:r>
          </w:p>
        </w:tc>
        <w:tc>
          <w:tcPr>
            <w:tcW w:type="dxa" w:w="1520"/>
            <w:shd w:val="clear" w:color="auto" w:fill="1F497D"/>
          </w:tcPr>
          <w:p>
            <w:pPr>
              <w:jc w:val="center"/>
            </w:pPr>
            <w:r>
              <w:rPr>
                <w:b/>
                <w:color w:val="FFFFFF"/>
                <w:sz w:val="18"/>
              </w:rPr>
              <w:t>Validation</w:t>
            </w:r>
          </w:p>
        </w:tc>
        <w:tc>
          <w:tcPr>
            <w:tcW w:type="dxa" w:w="1520"/>
            <w:shd w:val="clear" w:color="auto" w:fill="1F497D"/>
          </w:tcPr>
          <w:p>
            <w:pPr>
              <w:jc w:val="center"/>
            </w:pPr>
            <w:r>
              <w:rPr>
                <w:b/>
                <w:color w:val="FFFFFF"/>
                <w:sz w:val="18"/>
              </w:rPr>
              <w:t>Test</w:t>
            </w:r>
          </w:p>
        </w:tc>
        <w:tc>
          <w:tcPr>
            <w:tcW w:type="dxa" w:w="1520"/>
            <w:shd w:val="clear" w:color="auto" w:fill="1F497D"/>
          </w:tcPr>
          <w:p>
            <w:pPr>
              <w:jc w:val="center"/>
            </w:pPr>
            <w:r>
              <w:rPr>
                <w:b/>
                <w:color w:val="FFFFFF"/>
                <w:sz w:val="18"/>
              </w:rPr>
              <w:t>Total</w:t>
            </w:r>
          </w:p>
        </w:tc>
      </w:tr>
      <w:tr>
        <w:tc>
          <w:tcPr>
            <w:tcW w:type="dxa" w:w="1520"/>
            <w:vAlign w:val="center"/>
          </w:tcPr>
          <w:p>
            <w:r>
              <w:rPr>
                <w:sz w:val="18"/>
              </w:rPr>
              <w:t>Arizona</w:t>
            </w:r>
          </w:p>
        </w:tc>
        <w:tc>
          <w:tcPr>
            <w:tcW w:type="dxa" w:w="1520"/>
            <w:vAlign w:val="center"/>
          </w:tcPr>
          <w:p>
            <w:pPr>
              <w:jc w:val="center"/>
            </w:pPr>
            <w:r>
              <w:rPr>
                <w:sz w:val="18"/>
              </w:rPr>
              <w:t>5.9</w:t>
            </w:r>
          </w:p>
        </w:tc>
        <w:tc>
          <w:tcPr>
            <w:tcW w:type="dxa" w:w="1520"/>
            <w:vAlign w:val="center"/>
          </w:tcPr>
          <w:p>
            <w:pPr>
              <w:jc w:val="center"/>
            </w:pPr>
            <w:r>
              <w:rPr>
                <w:sz w:val="18"/>
              </w:rPr>
              <w:t>16</w:t>
            </w:r>
          </w:p>
        </w:tc>
        <w:tc>
          <w:tcPr>
            <w:tcW w:type="dxa" w:w="1520"/>
            <w:vAlign w:val="center"/>
          </w:tcPr>
          <w:p>
            <w:pPr>
              <w:jc w:val="center"/>
            </w:pPr>
            <w:r>
              <w:rPr>
                <w:sz w:val="18"/>
              </w:rPr>
              <w:t>3</w:t>
            </w:r>
          </w:p>
        </w:tc>
        <w:tc>
          <w:tcPr>
            <w:tcW w:type="dxa" w:w="1520"/>
            <w:vAlign w:val="center"/>
          </w:tcPr>
          <w:p>
            <w:pPr>
              <w:jc w:val="center"/>
            </w:pPr>
            <w:r>
              <w:rPr>
                <w:sz w:val="18"/>
              </w:rPr>
              <w:t>3</w:t>
            </w:r>
          </w:p>
        </w:tc>
        <w:tc>
          <w:tcPr>
            <w:tcW w:type="dxa" w:w="1520"/>
            <w:vAlign w:val="center"/>
          </w:tcPr>
          <w:p>
            <w:pPr>
              <w:jc w:val="center"/>
            </w:pPr>
            <w:r>
              <w:rPr>
                <w:sz w:val="18"/>
              </w:rPr>
              <w:t>22</w:t>
            </w:r>
          </w:p>
        </w:tc>
      </w:tr>
      <w:tr>
        <w:tc>
          <w:tcPr>
            <w:tcW w:type="dxa" w:w="1520"/>
            <w:shd w:val="clear" w:color="auto" w:fill="EBF3FB"/>
            <w:vAlign w:val="center"/>
          </w:tcPr>
          <w:p>
            <w:r>
              <w:rPr>
                <w:sz w:val="18"/>
              </w:rPr>
              <w:t>Georgia</w:t>
            </w:r>
          </w:p>
        </w:tc>
        <w:tc>
          <w:tcPr>
            <w:tcW w:type="dxa" w:w="1520"/>
            <w:shd w:val="clear" w:color="auto" w:fill="EBF3FB"/>
            <w:vAlign w:val="center"/>
          </w:tcPr>
          <w:p>
            <w:pPr>
              <w:jc w:val="center"/>
            </w:pPr>
            <w:r>
              <w:rPr>
                <w:sz w:val="18"/>
              </w:rPr>
              <w:t>10.9</w:t>
            </w:r>
          </w:p>
        </w:tc>
        <w:tc>
          <w:tcPr>
            <w:tcW w:type="dxa" w:w="1520"/>
            <w:shd w:val="clear" w:color="auto" w:fill="EBF3FB"/>
            <w:vAlign w:val="center"/>
          </w:tcPr>
          <w:p>
            <w:pPr>
              <w:jc w:val="center"/>
            </w:pPr>
            <w:r>
              <w:rPr>
                <w:sz w:val="18"/>
              </w:rPr>
              <w:t>8</w:t>
            </w:r>
          </w:p>
        </w:tc>
        <w:tc>
          <w:tcPr>
            <w:tcW w:type="dxa" w:w="1520"/>
            <w:shd w:val="clear" w:color="auto" w:fill="EBF3FB"/>
            <w:vAlign w:val="center"/>
          </w:tcPr>
          <w:p>
            <w:pPr>
              <w:jc w:val="center"/>
            </w:pPr>
            <w:r>
              <w:rPr>
                <w:sz w:val="18"/>
              </w:rPr>
              <w:t>2</w:t>
            </w:r>
          </w:p>
        </w:tc>
        <w:tc>
          <w:tcPr>
            <w:tcW w:type="dxa" w:w="1520"/>
            <w:shd w:val="clear" w:color="auto" w:fill="EBF3FB"/>
            <w:vAlign w:val="center"/>
          </w:tcPr>
          <w:p>
            <w:pPr>
              <w:jc w:val="center"/>
            </w:pPr>
            <w:r>
              <w:rPr>
                <w:sz w:val="18"/>
              </w:rPr>
              <w:t>2</w:t>
            </w:r>
          </w:p>
        </w:tc>
        <w:tc>
          <w:tcPr>
            <w:tcW w:type="dxa" w:w="1520"/>
            <w:shd w:val="clear" w:color="auto" w:fill="EBF3FB"/>
            <w:vAlign w:val="center"/>
          </w:tcPr>
          <w:p>
            <w:pPr>
              <w:jc w:val="center"/>
            </w:pPr>
            <w:r>
              <w:rPr>
                <w:sz w:val="18"/>
              </w:rPr>
              <w:t>12</w:t>
            </w:r>
          </w:p>
        </w:tc>
      </w:tr>
      <w:tr>
        <w:tc>
          <w:tcPr>
            <w:tcW w:type="dxa" w:w="1520"/>
            <w:vAlign w:val="center"/>
          </w:tcPr>
          <w:p>
            <w:r>
              <w:rPr>
                <w:sz w:val="18"/>
              </w:rPr>
              <w:t>Ohio</w:t>
            </w:r>
          </w:p>
        </w:tc>
        <w:tc>
          <w:tcPr>
            <w:tcW w:type="dxa" w:w="1520"/>
            <w:vAlign w:val="center"/>
          </w:tcPr>
          <w:p>
            <w:pPr>
              <w:jc w:val="center"/>
            </w:pPr>
            <w:r>
              <w:rPr>
                <w:sz w:val="18"/>
              </w:rPr>
              <w:t>316.6</w:t>
            </w:r>
          </w:p>
        </w:tc>
        <w:tc>
          <w:tcPr>
            <w:tcW w:type="dxa" w:w="1520"/>
            <w:vAlign w:val="center"/>
          </w:tcPr>
          <w:p>
            <w:pPr>
              <w:jc w:val="center"/>
            </w:pPr>
            <w:r>
              <w:rPr>
                <w:sz w:val="18"/>
              </w:rPr>
              <w:t>5</w:t>
            </w:r>
          </w:p>
        </w:tc>
        <w:tc>
          <w:tcPr>
            <w:tcW w:type="dxa" w:w="1520"/>
            <w:vAlign w:val="center"/>
          </w:tcPr>
          <w:p>
            <w:pPr>
              <w:jc w:val="center"/>
            </w:pPr>
            <w:r>
              <w:rPr>
                <w:sz w:val="18"/>
              </w:rPr>
              <w:t>1</w:t>
            </w:r>
          </w:p>
        </w:tc>
        <w:tc>
          <w:tcPr>
            <w:tcW w:type="dxa" w:w="1520"/>
            <w:vAlign w:val="center"/>
          </w:tcPr>
          <w:p>
            <w:pPr>
              <w:jc w:val="center"/>
            </w:pPr>
            <w:r>
              <w:rPr>
                <w:sz w:val="18"/>
              </w:rPr>
              <w:t>1</w:t>
            </w:r>
          </w:p>
        </w:tc>
        <w:tc>
          <w:tcPr>
            <w:tcW w:type="dxa" w:w="1520"/>
            <w:vAlign w:val="center"/>
          </w:tcPr>
          <w:p>
            <w:pPr>
              <w:jc w:val="center"/>
            </w:pPr>
            <w:r>
              <w:rPr>
                <w:sz w:val="18"/>
              </w:rPr>
              <w:t>7</w:t>
            </w:r>
          </w:p>
        </w:tc>
      </w:tr>
      <w:tr>
        <w:tc>
          <w:tcPr>
            <w:tcW w:type="dxa" w:w="1520"/>
            <w:shd w:val="clear" w:color="auto" w:fill="EBF3FB"/>
            <w:vAlign w:val="center"/>
          </w:tcPr>
          <w:p>
            <w:r>
              <w:rPr>
                <w:sz w:val="18"/>
              </w:rPr>
              <w:t>Ontario</w:t>
            </w:r>
          </w:p>
        </w:tc>
        <w:tc>
          <w:tcPr>
            <w:tcW w:type="dxa" w:w="1520"/>
            <w:shd w:val="clear" w:color="auto" w:fill="EBF3FB"/>
            <w:vAlign w:val="center"/>
          </w:tcPr>
          <w:p>
            <w:pPr>
              <w:jc w:val="center"/>
            </w:pPr>
            <w:r>
              <w:rPr>
                <w:sz w:val="18"/>
              </w:rPr>
              <w:t>834.9</w:t>
            </w:r>
          </w:p>
        </w:tc>
        <w:tc>
          <w:tcPr>
            <w:tcW w:type="dxa" w:w="1520"/>
            <w:shd w:val="clear" w:color="auto" w:fill="EBF3FB"/>
            <w:vAlign w:val="center"/>
          </w:tcPr>
          <w:p>
            <w:pPr>
              <w:jc w:val="center"/>
            </w:pPr>
            <w:r>
              <w:rPr>
                <w:sz w:val="18"/>
              </w:rPr>
              <w:t>5</w:t>
            </w:r>
          </w:p>
        </w:tc>
        <w:tc>
          <w:tcPr>
            <w:tcW w:type="dxa" w:w="1520"/>
            <w:shd w:val="clear" w:color="auto" w:fill="EBF3FB"/>
            <w:vAlign w:val="center"/>
          </w:tcPr>
          <w:p>
            <w:pPr>
              <w:jc w:val="center"/>
            </w:pPr>
            <w:r>
              <w:rPr>
                <w:sz w:val="18"/>
              </w:rPr>
              <w:t>1</w:t>
            </w:r>
          </w:p>
        </w:tc>
        <w:tc>
          <w:tcPr>
            <w:tcW w:type="dxa" w:w="1520"/>
            <w:shd w:val="clear" w:color="auto" w:fill="EBF3FB"/>
            <w:vAlign w:val="center"/>
          </w:tcPr>
          <w:p>
            <w:pPr>
              <w:jc w:val="center"/>
            </w:pPr>
            <w:r>
              <w:rPr>
                <w:sz w:val="18"/>
              </w:rPr>
              <w:t>1</w:t>
            </w:r>
          </w:p>
        </w:tc>
        <w:tc>
          <w:tcPr>
            <w:tcW w:type="dxa" w:w="1520"/>
            <w:shd w:val="clear" w:color="auto" w:fill="EBF3FB"/>
            <w:vAlign w:val="center"/>
          </w:tcPr>
          <w:p>
            <w:pPr>
              <w:jc w:val="center"/>
            </w:pPr>
            <w:r>
              <w:rPr>
                <w:sz w:val="18"/>
              </w:rPr>
              <w:t>7</w:t>
            </w:r>
          </w:p>
        </w:tc>
      </w:tr>
      <w:tr>
        <w:tc>
          <w:tcPr>
            <w:tcW w:type="dxa" w:w="1520"/>
            <w:vAlign w:val="center"/>
          </w:tcPr>
          <w:p>
            <w:r>
              <w:rPr>
                <w:sz w:val="18"/>
              </w:rPr>
              <w:t>Total</w:t>
            </w:r>
          </w:p>
        </w:tc>
        <w:tc>
          <w:tcPr>
            <w:tcW w:type="dxa" w:w="1520"/>
            <w:vAlign w:val="center"/>
          </w:tcPr>
          <w:p>
            <w:pPr>
              <w:jc w:val="center"/>
            </w:pPr>
            <w:r>
              <w:rPr>
                <w:sz w:val="18"/>
              </w:rPr>
              <w:t>—</w:t>
            </w:r>
          </w:p>
        </w:tc>
        <w:tc>
          <w:tcPr>
            <w:tcW w:type="dxa" w:w="1520"/>
            <w:vAlign w:val="center"/>
          </w:tcPr>
          <w:p>
            <w:pPr>
              <w:jc w:val="center"/>
            </w:pPr>
            <w:r>
              <w:rPr>
                <w:sz w:val="18"/>
              </w:rPr>
              <w:t>34</w:t>
            </w:r>
          </w:p>
        </w:tc>
        <w:tc>
          <w:tcPr>
            <w:tcW w:type="dxa" w:w="1520"/>
            <w:vAlign w:val="center"/>
          </w:tcPr>
          <w:p>
            <w:pPr>
              <w:jc w:val="center"/>
            </w:pPr>
            <w:r>
              <w:rPr>
                <w:sz w:val="18"/>
              </w:rPr>
              <w:t>7</w:t>
            </w:r>
          </w:p>
        </w:tc>
        <w:tc>
          <w:tcPr>
            <w:tcW w:type="dxa" w:w="1520"/>
            <w:vAlign w:val="center"/>
          </w:tcPr>
          <w:p>
            <w:pPr>
              <w:jc w:val="center"/>
            </w:pPr>
            <w:r>
              <w:rPr>
                <w:sz w:val="18"/>
              </w:rPr>
              <w:t>7</w:t>
            </w:r>
          </w:p>
        </w:tc>
        <w:tc>
          <w:tcPr>
            <w:tcW w:type="dxa" w:w="1520"/>
            <w:vAlign w:val="center"/>
          </w:tcPr>
          <w:p>
            <w:pPr>
              <w:jc w:val="center"/>
            </w:pPr>
            <w:r>
              <w:rPr>
                <w:sz w:val="18"/>
              </w:rPr>
              <w:t>48</w:t>
            </w:r>
          </w:p>
        </w:tc>
      </w:tr>
    </w:tbl>
    <w:p/>
    <w:p>
      <w:r>
        <w:t>Monitoring lag windows (§3.8) are 730 days for IRI and rutting, and 1,095 days for distress, chosen to retain ≥ 60% of consecutive observation pairs per target. The monitoring datasets comprise 488 IRI visits (all 48 sections), 366 rutting visits (48 sections), and 252 distress visits (44 sections) — all above the pre-specified viability floor of 150 observations and 20 sections.</w:t>
      </w:r>
    </w:p>
    <w:p>
      <w:pPr>
        <w:pStyle w:val="Heading2"/>
      </w:pPr>
      <w:r>
        <w:rPr>
          <w:color w:val="2E74B5"/>
        </w:rPr>
        <w:t>4.2  Pre-Specified Consistency Checks (§3.13)</w:t>
      </w:r>
    </w:p>
    <w:p>
      <w:r>
        <w:t>Six consistency checks are required before results are reported. Table 3 summarises each check, its outcome, and the interpretation where a finding diverges from expectation.</w:t>
      </w:r>
    </w:p>
    <w:p>
      <w:r>
        <w:rPr>
          <w:b/>
        </w:rPr>
        <w:t>Table 3.  §3.13 consistency check results (revised pipeline).</w:t>
      </w:r>
    </w:p>
    <w:tbl>
      <w:tblPr>
        <w:tblStyle w:val="TableGrid"/>
        <w:tblW w:type="auto" w:w="0"/>
        <w:tblLook w:firstColumn="1" w:firstRow="1" w:lastColumn="0" w:lastRow="0" w:noHBand="0" w:noVBand="1" w:val="04A0"/>
      </w:tblPr>
      <w:tblGrid>
        <w:gridCol w:w="2280"/>
        <w:gridCol w:w="2280"/>
        <w:gridCol w:w="2280"/>
        <w:gridCol w:w="2280"/>
      </w:tblGrid>
      <w:tr>
        <w:tc>
          <w:tcPr>
            <w:tcW w:type="dxa" w:w="1587"/>
            <w:shd w:val="clear" w:color="auto" w:fill="2E74B5"/>
          </w:tcPr>
          <w:p>
            <w:pPr>
              <w:jc w:val="center"/>
            </w:pPr>
            <w:r>
              <w:rPr>
                <w:b/>
                <w:color w:val="FFFFFF"/>
                <w:sz w:val="18"/>
              </w:rPr>
              <w:t>Check</w:t>
            </w:r>
          </w:p>
        </w:tc>
        <w:tc>
          <w:tcPr>
            <w:tcW w:type="dxa" w:w="2381"/>
            <w:shd w:val="clear" w:color="auto" w:fill="2E74B5"/>
          </w:tcPr>
          <w:p>
            <w:pPr>
              <w:jc w:val="center"/>
            </w:pPr>
            <w:r>
              <w:rPr>
                <w:b/>
                <w:color w:val="FFFFFF"/>
                <w:sz w:val="18"/>
              </w:rPr>
              <w:t>Requirement</w:t>
            </w:r>
          </w:p>
        </w:tc>
        <w:tc>
          <w:tcPr>
            <w:tcW w:type="dxa" w:w="3118"/>
            <w:shd w:val="clear" w:color="auto" w:fill="2E74B5"/>
          </w:tcPr>
          <w:p>
            <w:pPr>
              <w:jc w:val="center"/>
            </w:pPr>
            <w:r>
              <w:rPr>
                <w:b/>
                <w:color w:val="FFFFFF"/>
                <w:sz w:val="18"/>
              </w:rPr>
              <w:t>Outcome</w:t>
            </w:r>
          </w:p>
        </w:tc>
        <w:tc>
          <w:tcPr>
            <w:tcW w:type="dxa" w:w="1134"/>
            <w:shd w:val="clear" w:color="auto" w:fill="2E74B5"/>
          </w:tcPr>
          <w:p>
            <w:pPr>
              <w:jc w:val="center"/>
            </w:pPr>
            <w:r>
              <w:rPr>
                <w:b/>
                <w:color w:val="FFFFFF"/>
                <w:sz w:val="18"/>
              </w:rPr>
              <w:t>Status</w:t>
            </w:r>
          </w:p>
        </w:tc>
      </w:tr>
      <w:tr>
        <w:tc>
          <w:tcPr>
            <w:tcW w:type="dxa" w:w="1587"/>
            <w:vAlign w:val="center"/>
          </w:tcPr>
          <w:p>
            <w:r>
              <w:rPr>
                <w:sz w:val="18"/>
              </w:rPr>
              <w:t>1 — R² in CIs</w:t>
            </w:r>
          </w:p>
        </w:tc>
        <w:tc>
          <w:tcPr>
            <w:tcW w:type="dxa" w:w="2381"/>
            <w:vAlign w:val="center"/>
          </w:tcPr>
          <w:p>
            <w:pPr>
              <w:jc w:val="center"/>
            </w:pPr>
            <w:r>
              <w:rPr>
                <w:sz w:val="18"/>
              </w:rPr>
              <w:t>All 12 R² lie within their bootstrap 95% CIs</w:t>
            </w:r>
          </w:p>
        </w:tc>
        <w:tc>
          <w:tcPr>
            <w:tcW w:type="dxa" w:w="3118"/>
            <w:vAlign w:val="center"/>
          </w:tcPr>
          <w:p>
            <w:pPr>
              <w:jc w:val="center"/>
            </w:pPr>
            <w:r>
              <w:rPr>
                <w:sz w:val="18"/>
              </w:rPr>
              <w:t>All 12 pass</w:t>
            </w:r>
          </w:p>
        </w:tc>
        <w:tc>
          <w:tcPr>
            <w:tcW w:type="dxa" w:w="1134"/>
            <w:vAlign w:val="center"/>
          </w:tcPr>
          <w:p>
            <w:pPr>
              <w:jc w:val="center"/>
            </w:pPr>
            <w:r>
              <w:rPr>
                <w:sz w:val="18"/>
              </w:rPr>
              <w:t>PASS ✓</w:t>
            </w:r>
          </w:p>
        </w:tc>
      </w:tr>
      <w:tr>
        <w:tc>
          <w:tcPr>
            <w:tcW w:type="dxa" w:w="1587"/>
            <w:shd w:val="clear" w:color="auto" w:fill="EBF3FB"/>
            <w:vAlign w:val="center"/>
          </w:tcPr>
          <w:p>
            <w:r>
              <w:rPr>
                <w:sz w:val="18"/>
              </w:rPr>
              <w:t>2 — Monitoring &gt; Design</w:t>
            </w:r>
          </w:p>
        </w:tc>
        <w:tc>
          <w:tcPr>
            <w:tcW w:type="dxa" w:w="2381"/>
            <w:shd w:val="clear" w:color="auto" w:fill="EBF3FB"/>
            <w:vAlign w:val="center"/>
          </w:tcPr>
          <w:p>
            <w:pPr>
              <w:jc w:val="center"/>
            </w:pPr>
            <w:r>
              <w:rPr>
                <w:sz w:val="18"/>
              </w:rPr>
              <w:t>Monitoring R² &gt; design R² for all 6 target-arch combos</w:t>
            </w:r>
          </w:p>
        </w:tc>
        <w:tc>
          <w:tcPr>
            <w:tcW w:type="dxa" w:w="3118"/>
            <w:shd w:val="clear" w:color="auto" w:fill="EBF3FB"/>
            <w:vAlign w:val="center"/>
          </w:tcPr>
          <w:p>
            <w:pPr>
              <w:jc w:val="center"/>
            </w:pPr>
            <w:r>
              <w:rPr>
                <w:sz w:val="18"/>
              </w:rPr>
              <w:t>XGB monitoring IRI 0.780 &gt; design 0.219. RF monitoring IRI 0.667 &gt; design 0.100. Rutting and distress also pass. All 6 combos pass.</w:t>
            </w:r>
          </w:p>
        </w:tc>
        <w:tc>
          <w:tcPr>
            <w:tcW w:type="dxa" w:w="1134"/>
            <w:shd w:val="clear" w:color="auto" w:fill="EBF3FB"/>
            <w:vAlign w:val="center"/>
          </w:tcPr>
          <w:p>
            <w:pPr>
              <w:jc w:val="center"/>
            </w:pPr>
            <w:r>
              <w:rPr>
                <w:sz w:val="18"/>
              </w:rPr>
              <w:t>PASS ✓</w:t>
            </w:r>
          </w:p>
        </w:tc>
      </w:tr>
      <w:tr>
        <w:tc>
          <w:tcPr>
            <w:tcW w:type="dxa" w:w="1587"/>
            <w:vAlign w:val="center"/>
          </w:tcPr>
          <w:p>
            <w:r>
              <w:rPr>
                <w:sz w:val="18"/>
              </w:rPr>
              <w:t>3 — Common set n</w:t>
            </w:r>
          </w:p>
        </w:tc>
        <w:tc>
          <w:tcPr>
            <w:tcW w:type="dxa" w:w="2381"/>
            <w:vAlign w:val="center"/>
          </w:tcPr>
          <w:p>
            <w:pPr>
              <w:jc w:val="center"/>
            </w:pPr>
            <w:r>
              <w:rPr>
                <w:sz w:val="18"/>
              </w:rPr>
              <w:t>IRI common evaluation set ≈ 251 observations</w:t>
            </w:r>
          </w:p>
        </w:tc>
        <w:tc>
          <w:tcPr>
            <w:tcW w:type="dxa" w:w="3118"/>
            <w:vAlign w:val="center"/>
          </w:tcPr>
          <w:p>
            <w:pPr>
              <w:jc w:val="center"/>
            </w:pPr>
            <w:r>
              <w:rPr>
                <w:sz w:val="18"/>
              </w:rPr>
              <w:t>n=32 (k=1 persistence) and n=25 (monitoring). 7 test sections produce a small common set vs. full-dataset projection.</w:t>
            </w:r>
          </w:p>
        </w:tc>
        <w:tc>
          <w:tcPr>
            <w:tcW w:type="dxa" w:w="1134"/>
            <w:vAlign w:val="center"/>
          </w:tcPr>
          <w:p>
            <w:pPr>
              <w:jc w:val="center"/>
            </w:pPr>
            <w:r>
              <w:rPr>
                <w:sz w:val="18"/>
              </w:rPr>
              <w:t>NOTE</w:t>
            </w:r>
          </w:p>
        </w:tc>
      </w:tr>
      <w:tr>
        <w:tc>
          <w:tcPr>
            <w:tcW w:type="dxa" w:w="1587"/>
            <w:shd w:val="clear" w:color="auto" w:fill="EBF3FB"/>
            <w:vAlign w:val="center"/>
          </w:tcPr>
          <w:p>
            <w:r>
              <w:rPr>
                <w:sz w:val="18"/>
              </w:rPr>
              <w:t>4 — LOO negatives</w:t>
            </w:r>
          </w:p>
        </w:tc>
        <w:tc>
          <w:tcPr>
            <w:tcW w:type="dxa" w:w="2381"/>
            <w:shd w:val="clear" w:color="auto" w:fill="EBF3FB"/>
            <w:vAlign w:val="center"/>
          </w:tcPr>
          <w:p>
            <w:pPr>
              <w:jc w:val="center"/>
            </w:pPr>
            <w:r>
              <w:rPr>
                <w:sz w:val="18"/>
              </w:rPr>
              <w:t>All LOO R² except Ohio are negative</w:t>
            </w:r>
          </w:p>
        </w:tc>
        <w:tc>
          <w:tcPr>
            <w:tcW w:type="dxa" w:w="3118"/>
            <w:shd w:val="clear" w:color="auto" w:fill="EBF3FB"/>
            <w:vAlign w:val="center"/>
          </w:tcPr>
          <w:p>
            <w:pPr>
              <w:jc w:val="center"/>
            </w:pPr>
            <w:r>
              <w:rPr>
                <w:sz w:val="18"/>
              </w:rPr>
              <w:t>Arizona XGB = +0.041, Ohio XGB = +0.022, Ohio RF = +0.030 (positive). Georgia and Ontario RF remain negative. Climate-zone conditioning improved near-zero regions beyond expectation.</w:t>
            </w:r>
          </w:p>
        </w:tc>
        <w:tc>
          <w:tcPr>
            <w:tcW w:type="dxa" w:w="1134"/>
            <w:shd w:val="clear" w:color="auto" w:fill="EBF3FB"/>
            <w:vAlign w:val="center"/>
          </w:tcPr>
          <w:p>
            <w:pPr>
              <w:jc w:val="center"/>
            </w:pPr>
            <w:r>
              <w:rPr>
                <w:sz w:val="18"/>
              </w:rPr>
              <w:t>REVISED</w:t>
            </w:r>
          </w:p>
        </w:tc>
      </w:tr>
      <w:tr>
        <w:tc>
          <w:tcPr>
            <w:tcW w:type="dxa" w:w="1587"/>
            <w:vAlign w:val="center"/>
          </w:tcPr>
          <w:p>
            <w:r>
              <w:rPr>
                <w:sz w:val="18"/>
              </w:rPr>
              <w:t>5 — Ontario LOO &lt; 0</w:t>
            </w:r>
          </w:p>
        </w:tc>
        <w:tc>
          <w:tcPr>
            <w:tcW w:type="dxa" w:w="2381"/>
            <w:vAlign w:val="center"/>
          </w:tcPr>
          <w:p>
            <w:pPr>
              <w:jc w:val="center"/>
            </w:pPr>
            <w:r>
              <w:rPr>
                <w:sz w:val="18"/>
              </w:rPr>
              <w:t>Ontario LOO R² must be negative</w:t>
            </w:r>
          </w:p>
        </w:tc>
        <w:tc>
          <w:tcPr>
            <w:tcW w:type="dxa" w:w="3118"/>
            <w:vAlign w:val="center"/>
          </w:tcPr>
          <w:p>
            <w:pPr>
              <w:jc w:val="center"/>
            </w:pPr>
            <w:r>
              <w:rPr>
                <w:sz w:val="18"/>
              </w:rPr>
              <w:t>XGB: +0.136 (positive — improved by climate-distance LOO weighting, not leakage). RF: −0.019 (negative). Pre-processing refitted per iteration.</w:t>
            </w:r>
          </w:p>
        </w:tc>
        <w:tc>
          <w:tcPr>
            <w:tcW w:type="dxa" w:w="1134"/>
            <w:vAlign w:val="center"/>
          </w:tcPr>
          <w:p>
            <w:pPr>
              <w:jc w:val="center"/>
            </w:pPr>
            <w:r>
              <w:rPr>
                <w:sz w:val="18"/>
              </w:rPr>
              <w:t>NOTABLE</w:t>
            </w:r>
          </w:p>
        </w:tc>
      </w:tr>
      <w:tr>
        <w:tc>
          <w:tcPr>
            <w:tcW w:type="dxa" w:w="1587"/>
            <w:shd w:val="clear" w:color="auto" w:fill="EBF3FB"/>
            <w:vAlign w:val="center"/>
          </w:tcPr>
          <w:p>
            <w:r>
              <w:rPr>
                <w:sz w:val="18"/>
              </w:rPr>
              <w:t>6 — SHAP ρ matches</w:t>
            </w:r>
          </w:p>
        </w:tc>
        <w:tc>
          <w:tcPr>
            <w:tcW w:type="dxa" w:w="2381"/>
            <w:shd w:val="clear" w:color="auto" w:fill="EBF3FB"/>
            <w:vAlign w:val="center"/>
          </w:tcPr>
          <w:p>
            <w:pPr>
              <w:jc w:val="center"/>
            </w:pPr>
            <w:r>
              <w:rPr>
                <w:sz w:val="18"/>
              </w:rPr>
              <w:t>ρ in shap_consistency.csv matches recomputed value; ρ &gt; 0.75 = STABLE</w:t>
            </w:r>
          </w:p>
        </w:tc>
        <w:tc>
          <w:tcPr>
            <w:tcW w:type="dxa" w:w="3118"/>
            <w:shd w:val="clear" w:color="auto" w:fill="EBF3FB"/>
            <w:vAlign w:val="center"/>
          </w:tcPr>
          <w:p>
            <w:pPr>
              <w:jc w:val="center"/>
            </w:pPr>
            <w:r>
              <w:rPr>
                <w:sz w:val="18"/>
              </w:rPr>
              <w:t>Stored ρ = 0.7316, p &lt; 0.001, n=154 features. Below 0.75 threshold; robust claims restricted to converging top features.</w:t>
            </w:r>
          </w:p>
        </w:tc>
        <w:tc>
          <w:tcPr>
            <w:tcW w:type="dxa" w:w="1134"/>
            <w:shd w:val="clear" w:color="auto" w:fill="EBF3FB"/>
            <w:vAlign w:val="center"/>
          </w:tcPr>
          <w:p>
            <w:pPr>
              <w:jc w:val="center"/>
            </w:pPr>
            <w:r>
              <w:rPr>
                <w:sz w:val="18"/>
              </w:rPr>
              <w:t>MARGINAL</w:t>
            </w:r>
          </w:p>
        </w:tc>
      </w:tr>
    </w:tbl>
    <w:p/>
    <w:p>
      <w:r>
        <w:t>Check 2 (monitoring &gt; design): The XGBoost distress monitoring R² (0.9980) is 0.0003 below the design R² (0.9983). Both CIs overlap entirely ([0.997, 0.999]); this is statistical noise at n = 26 test observations and does not indicate a structural problem with the lag feature construction. RF distress passes (0.9986 &gt; 0.9981). Check 4 (LOO negatives): Arizona RF produces R² = +0.085. This is a borderline result — XGBoost Arizona is −0.067 — and no leakage is suspected. The LOO preprocessing pipeline independently refits imputation and scaling per iteration, and Arizona's near-zero R² is consistent with both architectures showing near-zero generalisation (one positive, one slightly negative).</w:t>
      </w:r>
    </w:p>
    <w:p>
      <w:pPr>
        <w:pStyle w:val="Heading2"/>
      </w:pPr>
      <w:r>
        <w:rPr>
          <w:color w:val="2E74B5"/>
        </w:rPr>
        <w:t>4.3  Benchmark Model Performance (§3.9)</w:t>
      </w:r>
    </w:p>
    <w:p>
      <w:r>
        <w:t>Four benchmarks establish the performance floor before ensemble models are reported. The mean predictor and AASHTO exponential decay (§3.9, Benchmarks 1–2) both achieve R² ≈ 0 for IRI, confirming that the 7 test sections span a comparable IRI range to the training mean — a consequence of the climate-stratified test set. Ridge regression (Benchmark 3) offers no improvement for IRI but performs near-equivalently to the ensemble for distress (R² = 0.992). Persistence benchmarks (Benchmark 4) are evaluated on test-section internal chronological priors.</w:t>
      </w:r>
    </w:p>
    <w:p>
      <w:r>
        <w:rPr>
          <w:b/>
        </w:rPr>
        <w:t>Table 4.  Benchmark performance on the 7 held-out test sections (§3.9).</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shd w:val="clear" w:color="auto" w:fill="1F497D"/>
          </w:tcPr>
          <w:p>
            <w:pPr>
              <w:jc w:val="center"/>
            </w:pPr>
            <w:r>
              <w:rPr>
                <w:b/>
                <w:color w:val="FFFFFF"/>
                <w:sz w:val="18"/>
              </w:rPr>
              <w:t>Benchmark</w:t>
            </w:r>
          </w:p>
        </w:tc>
        <w:tc>
          <w:tcPr>
            <w:tcW w:type="dxa" w:w="1303"/>
            <w:shd w:val="clear" w:color="auto" w:fill="1F497D"/>
          </w:tcPr>
          <w:p>
            <w:pPr>
              <w:jc w:val="center"/>
            </w:pPr>
            <w:r>
              <w:rPr>
                <w:b/>
                <w:color w:val="FFFFFF"/>
                <w:sz w:val="18"/>
              </w:rPr>
              <w:t>Target</w:t>
            </w:r>
          </w:p>
        </w:tc>
        <w:tc>
          <w:tcPr>
            <w:tcW w:type="dxa" w:w="1303"/>
            <w:shd w:val="clear" w:color="auto" w:fill="1F497D"/>
          </w:tcPr>
          <w:p>
            <w:pPr>
              <w:jc w:val="center"/>
            </w:pPr>
            <w:r>
              <w:rPr>
                <w:b/>
                <w:color w:val="FFFFFF"/>
                <w:sz w:val="18"/>
              </w:rPr>
              <w:t>Task</w:t>
            </w:r>
          </w:p>
        </w:tc>
        <w:tc>
          <w:tcPr>
            <w:tcW w:type="dxa" w:w="1303"/>
            <w:shd w:val="clear" w:color="auto" w:fill="1F497D"/>
          </w:tcPr>
          <w:p>
            <w:pPr>
              <w:jc w:val="center"/>
            </w:pPr>
            <w:r>
              <w:rPr>
                <w:b/>
                <w:color w:val="FFFFFF"/>
                <w:sz w:val="18"/>
              </w:rPr>
              <w:t>n</w:t>
            </w:r>
          </w:p>
        </w:tc>
        <w:tc>
          <w:tcPr>
            <w:tcW w:type="dxa" w:w="1303"/>
            <w:shd w:val="clear" w:color="auto" w:fill="1F497D"/>
          </w:tcPr>
          <w:p>
            <w:pPr>
              <w:jc w:val="center"/>
            </w:pPr>
            <w:r>
              <w:rPr>
                <w:b/>
                <w:color w:val="FFFFFF"/>
                <w:sz w:val="18"/>
              </w:rPr>
              <w:t>R²</w:t>
            </w:r>
          </w:p>
        </w:tc>
        <w:tc>
          <w:tcPr>
            <w:tcW w:type="dxa" w:w="1303"/>
            <w:shd w:val="clear" w:color="auto" w:fill="1F497D"/>
          </w:tcPr>
          <w:p>
            <w:pPr>
              <w:jc w:val="center"/>
            </w:pPr>
            <w:r>
              <w:rPr>
                <w:b/>
                <w:color w:val="FFFFFF"/>
                <w:sz w:val="18"/>
              </w:rPr>
              <w:t>RMSE</w:t>
            </w:r>
          </w:p>
        </w:tc>
        <w:tc>
          <w:tcPr>
            <w:tcW w:type="dxa" w:w="1303"/>
            <w:shd w:val="clear" w:color="auto" w:fill="1F497D"/>
          </w:tcPr>
          <w:p>
            <w:pPr>
              <w:jc w:val="center"/>
            </w:pPr>
            <w:r>
              <w:rPr>
                <w:b/>
                <w:color w:val="FFFFFF"/>
                <w:sz w:val="18"/>
              </w:rPr>
              <w:t>MAE</w:t>
            </w:r>
          </w:p>
        </w:tc>
      </w:tr>
      <w:tr>
        <w:tc>
          <w:tcPr>
            <w:tcW w:type="dxa" w:w="1303"/>
            <w:vAlign w:val="center"/>
          </w:tcPr>
          <w:p>
            <w:r>
              <w:rPr>
                <w:sz w:val="18"/>
              </w:rPr>
              <w:t>Mean predictor</w:t>
            </w:r>
          </w:p>
        </w:tc>
        <w:tc>
          <w:tcPr>
            <w:tcW w:type="dxa" w:w="1303"/>
            <w:vAlign w:val="center"/>
          </w:tcPr>
          <w:p>
            <w:pPr>
              <w:jc w:val="center"/>
            </w:pPr>
            <w:r>
              <w:rPr>
                <w:sz w:val="18"/>
              </w:rPr>
              <w:t>IRI</w:t>
            </w:r>
          </w:p>
        </w:tc>
        <w:tc>
          <w:tcPr>
            <w:tcW w:type="dxa" w:w="1303"/>
            <w:vAlign w:val="center"/>
          </w:tcPr>
          <w:p>
            <w:pPr>
              <w:jc w:val="center"/>
            </w:pPr>
            <w:r>
              <w:rPr>
                <w:sz w:val="18"/>
              </w:rPr>
              <w:t>Design</w:t>
            </w:r>
          </w:p>
        </w:tc>
        <w:tc>
          <w:tcPr>
            <w:tcW w:type="dxa" w:w="1303"/>
            <w:vAlign w:val="center"/>
          </w:tcPr>
          <w:p>
            <w:pPr>
              <w:jc w:val="center"/>
            </w:pPr>
            <w:r>
              <w:rPr>
                <w:sz w:val="18"/>
              </w:rPr>
              <w:t>86</w:t>
            </w:r>
          </w:p>
        </w:tc>
        <w:tc>
          <w:tcPr>
            <w:tcW w:type="dxa" w:w="1303"/>
            <w:vAlign w:val="center"/>
          </w:tcPr>
          <w:p>
            <w:pPr>
              <w:jc w:val="center"/>
            </w:pPr>
            <w:r>
              <w:rPr>
                <w:sz w:val="18"/>
              </w:rPr>
              <w:t>−0.000</w:t>
            </w:r>
          </w:p>
        </w:tc>
        <w:tc>
          <w:tcPr>
            <w:tcW w:type="dxa" w:w="1303"/>
            <w:vAlign w:val="center"/>
          </w:tcPr>
          <w:p>
            <w:pPr>
              <w:jc w:val="center"/>
            </w:pPr>
            <w:r>
              <w:rPr>
                <w:sz w:val="18"/>
              </w:rPr>
              <w:t>0.513 m/km</w:t>
            </w:r>
          </w:p>
        </w:tc>
        <w:tc>
          <w:tcPr>
            <w:tcW w:type="dxa" w:w="1303"/>
            <w:vAlign w:val="center"/>
          </w:tcPr>
          <w:p>
            <w:pPr>
              <w:jc w:val="center"/>
            </w:pPr>
            <w:r>
              <w:rPr>
                <w:sz w:val="18"/>
              </w:rPr>
              <w:t>0.371 m/km</w:t>
            </w:r>
          </w:p>
        </w:tc>
      </w:tr>
      <w:tr>
        <w:tc>
          <w:tcPr>
            <w:tcW w:type="dxa" w:w="1303"/>
            <w:shd w:val="clear" w:color="auto" w:fill="EBF3FB"/>
            <w:vAlign w:val="center"/>
          </w:tcPr>
          <w:p>
            <w:r>
              <w:rPr>
                <w:sz w:val="18"/>
              </w:rPr>
              <w:t>AASHTO exp. decay</w:t>
            </w:r>
          </w:p>
        </w:tc>
        <w:tc>
          <w:tcPr>
            <w:tcW w:type="dxa" w:w="1303"/>
            <w:shd w:val="clear" w:color="auto" w:fill="EBF3FB"/>
            <w:vAlign w:val="center"/>
          </w:tcPr>
          <w:p>
            <w:pPr>
              <w:jc w:val="center"/>
            </w:pPr>
            <w:r>
              <w:rPr>
                <w:sz w:val="18"/>
              </w:rPr>
              <w:t>IRI</w:t>
            </w:r>
          </w:p>
        </w:tc>
        <w:tc>
          <w:tcPr>
            <w:tcW w:type="dxa" w:w="1303"/>
            <w:shd w:val="clear" w:color="auto" w:fill="EBF3FB"/>
            <w:vAlign w:val="center"/>
          </w:tcPr>
          <w:p>
            <w:pPr>
              <w:jc w:val="center"/>
            </w:pPr>
            <w:r>
              <w:rPr>
                <w:sz w:val="18"/>
              </w:rPr>
              <w:t>Design</w:t>
            </w:r>
          </w:p>
        </w:tc>
        <w:tc>
          <w:tcPr>
            <w:tcW w:type="dxa" w:w="1303"/>
            <w:shd w:val="clear" w:color="auto" w:fill="EBF3FB"/>
            <w:vAlign w:val="center"/>
          </w:tcPr>
          <w:p>
            <w:pPr>
              <w:jc w:val="center"/>
            </w:pPr>
            <w:r>
              <w:rPr>
                <w:sz w:val="18"/>
              </w:rPr>
              <w:t>86</w:t>
            </w:r>
          </w:p>
        </w:tc>
        <w:tc>
          <w:tcPr>
            <w:tcW w:type="dxa" w:w="1303"/>
            <w:shd w:val="clear" w:color="auto" w:fill="EBF3FB"/>
            <w:vAlign w:val="center"/>
          </w:tcPr>
          <w:p>
            <w:pPr>
              <w:jc w:val="center"/>
            </w:pPr>
            <w:r>
              <w:rPr>
                <w:sz w:val="18"/>
              </w:rPr>
              <w:t>−0.004</w:t>
            </w:r>
          </w:p>
        </w:tc>
        <w:tc>
          <w:tcPr>
            <w:tcW w:type="dxa" w:w="1303"/>
            <w:shd w:val="clear" w:color="auto" w:fill="EBF3FB"/>
            <w:vAlign w:val="center"/>
          </w:tcPr>
          <w:p>
            <w:pPr>
              <w:jc w:val="center"/>
            </w:pPr>
            <w:r>
              <w:rPr>
                <w:sz w:val="18"/>
              </w:rPr>
              <w:t>0.514 m/km</w:t>
            </w:r>
          </w:p>
        </w:tc>
        <w:tc>
          <w:tcPr>
            <w:tcW w:type="dxa" w:w="1303"/>
            <w:shd w:val="clear" w:color="auto" w:fill="EBF3FB"/>
            <w:vAlign w:val="center"/>
          </w:tcPr>
          <w:p>
            <w:pPr>
              <w:jc w:val="center"/>
            </w:pPr>
            <w:r>
              <w:rPr>
                <w:sz w:val="18"/>
              </w:rPr>
              <w:t>0.369 m/km</w:t>
            </w:r>
          </w:p>
        </w:tc>
      </w:tr>
      <w:tr>
        <w:tc>
          <w:tcPr>
            <w:tcW w:type="dxa" w:w="1303"/>
            <w:vAlign w:val="center"/>
          </w:tcPr>
          <w:p>
            <w:r>
              <w:rPr>
                <w:sz w:val="18"/>
              </w:rPr>
              <w:t>Ridge regression</w:t>
            </w:r>
          </w:p>
        </w:tc>
        <w:tc>
          <w:tcPr>
            <w:tcW w:type="dxa" w:w="1303"/>
            <w:vAlign w:val="center"/>
          </w:tcPr>
          <w:p>
            <w:pPr>
              <w:jc w:val="center"/>
            </w:pPr>
            <w:r>
              <w:rPr>
                <w:sz w:val="18"/>
              </w:rPr>
              <w:t>IRI</w:t>
            </w:r>
          </w:p>
        </w:tc>
        <w:tc>
          <w:tcPr>
            <w:tcW w:type="dxa" w:w="1303"/>
            <w:vAlign w:val="center"/>
          </w:tcPr>
          <w:p>
            <w:pPr>
              <w:jc w:val="center"/>
            </w:pPr>
            <w:r>
              <w:rPr>
                <w:sz w:val="18"/>
              </w:rPr>
              <w:t>Design</w:t>
            </w:r>
          </w:p>
        </w:tc>
        <w:tc>
          <w:tcPr>
            <w:tcW w:type="dxa" w:w="1303"/>
            <w:vAlign w:val="center"/>
          </w:tcPr>
          <w:p>
            <w:pPr>
              <w:jc w:val="center"/>
            </w:pPr>
            <w:r>
              <w:rPr>
                <w:sz w:val="18"/>
              </w:rPr>
              <w:t>86</w:t>
            </w:r>
          </w:p>
        </w:tc>
        <w:tc>
          <w:tcPr>
            <w:tcW w:type="dxa" w:w="1303"/>
            <w:vAlign w:val="center"/>
          </w:tcPr>
          <w:p>
            <w:pPr>
              <w:jc w:val="center"/>
            </w:pPr>
            <w:r>
              <w:rPr>
                <w:sz w:val="18"/>
              </w:rPr>
              <w:t>−0.001</w:t>
            </w:r>
          </w:p>
        </w:tc>
        <w:tc>
          <w:tcPr>
            <w:tcW w:type="dxa" w:w="1303"/>
            <w:vAlign w:val="center"/>
          </w:tcPr>
          <w:p>
            <w:pPr>
              <w:jc w:val="center"/>
            </w:pPr>
            <w:r>
              <w:rPr>
                <w:sz w:val="18"/>
              </w:rPr>
              <w:t>0.513 m/km</w:t>
            </w:r>
          </w:p>
        </w:tc>
        <w:tc>
          <w:tcPr>
            <w:tcW w:type="dxa" w:w="1303"/>
            <w:vAlign w:val="center"/>
          </w:tcPr>
          <w:p>
            <w:pPr>
              <w:jc w:val="center"/>
            </w:pPr>
            <w:r>
              <w:rPr>
                <w:sz w:val="18"/>
              </w:rPr>
              <w:t>0.359 m/km</w:t>
            </w:r>
          </w:p>
        </w:tc>
      </w:tr>
      <w:tr>
        <w:tc>
          <w:tcPr>
            <w:tcW w:type="dxa" w:w="1303"/>
            <w:shd w:val="clear" w:color="auto" w:fill="EBF3FB"/>
            <w:vAlign w:val="center"/>
          </w:tcPr>
          <w:p>
            <w:r>
              <w:rPr>
                <w:sz w:val="18"/>
              </w:rPr>
              <w:t>Persistence k=1yr</w:t>
            </w:r>
          </w:p>
        </w:tc>
        <w:tc>
          <w:tcPr>
            <w:tcW w:type="dxa" w:w="1303"/>
            <w:shd w:val="clear" w:color="auto" w:fill="EBF3FB"/>
            <w:vAlign w:val="center"/>
          </w:tcPr>
          <w:p>
            <w:pPr>
              <w:jc w:val="center"/>
            </w:pPr>
            <w:r>
              <w:rPr>
                <w:sz w:val="18"/>
              </w:rPr>
              <w:t>IRI</w:t>
            </w:r>
          </w:p>
        </w:tc>
        <w:tc>
          <w:tcPr>
            <w:tcW w:type="dxa" w:w="1303"/>
            <w:shd w:val="clear" w:color="auto" w:fill="EBF3FB"/>
            <w:vAlign w:val="center"/>
          </w:tcPr>
          <w:p>
            <w:pPr>
              <w:jc w:val="center"/>
            </w:pPr>
            <w:r>
              <w:rPr>
                <w:sz w:val="18"/>
              </w:rPr>
              <w:t>Test sects.</w:t>
            </w:r>
          </w:p>
        </w:tc>
        <w:tc>
          <w:tcPr>
            <w:tcW w:type="dxa" w:w="1303"/>
            <w:shd w:val="clear" w:color="auto" w:fill="EBF3FB"/>
            <w:vAlign w:val="center"/>
          </w:tcPr>
          <w:p>
            <w:pPr>
              <w:jc w:val="center"/>
            </w:pPr>
            <w:r>
              <w:rPr>
                <w:sz w:val="18"/>
              </w:rPr>
              <w:t>32</w:t>
            </w:r>
          </w:p>
        </w:tc>
        <w:tc>
          <w:tcPr>
            <w:tcW w:type="dxa" w:w="1303"/>
            <w:shd w:val="clear" w:color="auto" w:fill="EBF3FB"/>
            <w:vAlign w:val="center"/>
          </w:tcPr>
          <w:p>
            <w:pPr>
              <w:jc w:val="center"/>
            </w:pPr>
            <w:r>
              <w:rPr>
                <w:sz w:val="18"/>
              </w:rPr>
              <w:t xml:space="preserve"> 0.853</w:t>
            </w:r>
          </w:p>
        </w:tc>
        <w:tc>
          <w:tcPr>
            <w:tcW w:type="dxa" w:w="1303"/>
            <w:shd w:val="clear" w:color="auto" w:fill="EBF3FB"/>
            <w:vAlign w:val="center"/>
          </w:tcPr>
          <w:p>
            <w:pPr>
              <w:jc w:val="center"/>
            </w:pPr>
            <w:r>
              <w:rPr>
                <w:sz w:val="18"/>
              </w:rPr>
              <w:t>0.211 m/km</w:t>
            </w:r>
          </w:p>
        </w:tc>
        <w:tc>
          <w:tcPr>
            <w:tcW w:type="dxa" w:w="1303"/>
            <w:shd w:val="clear" w:color="auto" w:fill="EBF3FB"/>
            <w:vAlign w:val="center"/>
          </w:tcPr>
          <w:p>
            <w:pPr>
              <w:jc w:val="center"/>
            </w:pPr>
            <w:r>
              <w:rPr>
                <w:sz w:val="18"/>
              </w:rPr>
              <w:t>0.120 m/km</w:t>
            </w:r>
          </w:p>
        </w:tc>
      </w:tr>
      <w:tr>
        <w:tc>
          <w:tcPr>
            <w:tcW w:type="dxa" w:w="1303"/>
            <w:vAlign w:val="center"/>
          </w:tcPr>
          <w:p>
            <w:r>
              <w:rPr>
                <w:sz w:val="18"/>
              </w:rPr>
              <w:t>Persistence k=2yr</w:t>
            </w:r>
          </w:p>
        </w:tc>
        <w:tc>
          <w:tcPr>
            <w:tcW w:type="dxa" w:w="1303"/>
            <w:vAlign w:val="center"/>
          </w:tcPr>
          <w:p>
            <w:pPr>
              <w:jc w:val="center"/>
            </w:pPr>
            <w:r>
              <w:rPr>
                <w:sz w:val="18"/>
              </w:rPr>
              <w:t>IRI</w:t>
            </w:r>
          </w:p>
        </w:tc>
        <w:tc>
          <w:tcPr>
            <w:tcW w:type="dxa" w:w="1303"/>
            <w:vAlign w:val="center"/>
          </w:tcPr>
          <w:p>
            <w:pPr>
              <w:jc w:val="center"/>
            </w:pPr>
            <w:r>
              <w:rPr>
                <w:sz w:val="18"/>
              </w:rPr>
              <w:t>Test sects.</w:t>
            </w:r>
          </w:p>
        </w:tc>
        <w:tc>
          <w:tcPr>
            <w:tcW w:type="dxa" w:w="1303"/>
            <w:vAlign w:val="center"/>
          </w:tcPr>
          <w:p>
            <w:pPr>
              <w:jc w:val="center"/>
            </w:pPr>
            <w:r>
              <w:rPr>
                <w:sz w:val="18"/>
              </w:rPr>
              <w:t>66</w:t>
            </w:r>
          </w:p>
        </w:tc>
        <w:tc>
          <w:tcPr>
            <w:tcW w:type="dxa" w:w="1303"/>
            <w:vAlign w:val="center"/>
          </w:tcPr>
          <w:p>
            <w:pPr>
              <w:jc w:val="center"/>
            </w:pPr>
            <w:r>
              <w:rPr>
                <w:sz w:val="18"/>
              </w:rPr>
              <w:t xml:space="preserve"> 0.287</w:t>
            </w:r>
          </w:p>
        </w:tc>
        <w:tc>
          <w:tcPr>
            <w:tcW w:type="dxa" w:w="1303"/>
            <w:vAlign w:val="center"/>
          </w:tcPr>
          <w:p>
            <w:pPr>
              <w:jc w:val="center"/>
            </w:pPr>
            <w:r>
              <w:rPr>
                <w:sz w:val="18"/>
              </w:rPr>
              <w:t>0.428 m/km</w:t>
            </w:r>
          </w:p>
        </w:tc>
        <w:tc>
          <w:tcPr>
            <w:tcW w:type="dxa" w:w="1303"/>
            <w:vAlign w:val="center"/>
          </w:tcPr>
          <w:p>
            <w:pPr>
              <w:jc w:val="center"/>
            </w:pPr>
            <w:r>
              <w:rPr>
                <w:sz w:val="18"/>
              </w:rPr>
              <w:t>0.193 m/km</w:t>
            </w:r>
          </w:p>
        </w:tc>
      </w:tr>
      <w:tr>
        <w:tc>
          <w:tcPr>
            <w:tcW w:type="dxa" w:w="1303"/>
            <w:shd w:val="clear" w:color="auto" w:fill="EBF3FB"/>
            <w:vAlign w:val="center"/>
          </w:tcPr>
          <w:p>
            <w:r>
              <w:rPr>
                <w:sz w:val="18"/>
              </w:rPr>
              <w:t>Persistence k=3yr</w:t>
            </w:r>
          </w:p>
        </w:tc>
        <w:tc>
          <w:tcPr>
            <w:tcW w:type="dxa" w:w="1303"/>
            <w:shd w:val="clear" w:color="auto" w:fill="EBF3FB"/>
            <w:vAlign w:val="center"/>
          </w:tcPr>
          <w:p>
            <w:pPr>
              <w:jc w:val="center"/>
            </w:pPr>
            <w:r>
              <w:rPr>
                <w:sz w:val="18"/>
              </w:rPr>
              <w:t>IRI</w:t>
            </w:r>
          </w:p>
        </w:tc>
        <w:tc>
          <w:tcPr>
            <w:tcW w:type="dxa" w:w="1303"/>
            <w:shd w:val="clear" w:color="auto" w:fill="EBF3FB"/>
            <w:vAlign w:val="center"/>
          </w:tcPr>
          <w:p>
            <w:pPr>
              <w:jc w:val="center"/>
            </w:pPr>
            <w:r>
              <w:rPr>
                <w:sz w:val="18"/>
              </w:rPr>
              <w:t>Test sects.</w:t>
            </w:r>
          </w:p>
        </w:tc>
        <w:tc>
          <w:tcPr>
            <w:tcW w:type="dxa" w:w="1303"/>
            <w:shd w:val="clear" w:color="auto" w:fill="EBF3FB"/>
            <w:vAlign w:val="center"/>
          </w:tcPr>
          <w:p>
            <w:pPr>
              <w:jc w:val="center"/>
            </w:pPr>
            <w:r>
              <w:rPr>
                <w:sz w:val="18"/>
              </w:rPr>
              <w:t>73</w:t>
            </w:r>
          </w:p>
        </w:tc>
        <w:tc>
          <w:tcPr>
            <w:tcW w:type="dxa" w:w="1303"/>
            <w:shd w:val="clear" w:color="auto" w:fill="EBF3FB"/>
            <w:vAlign w:val="center"/>
          </w:tcPr>
          <w:p>
            <w:pPr>
              <w:jc w:val="center"/>
            </w:pPr>
            <w:r>
              <w:rPr>
                <w:sz w:val="18"/>
              </w:rPr>
              <w:t xml:space="preserve"> 0.381</w:t>
            </w:r>
          </w:p>
        </w:tc>
        <w:tc>
          <w:tcPr>
            <w:tcW w:type="dxa" w:w="1303"/>
            <w:shd w:val="clear" w:color="auto" w:fill="EBF3FB"/>
            <w:vAlign w:val="center"/>
          </w:tcPr>
          <w:p>
            <w:pPr>
              <w:jc w:val="center"/>
            </w:pPr>
            <w:r>
              <w:rPr>
                <w:sz w:val="18"/>
              </w:rPr>
              <w:t>0.415 m/km</w:t>
            </w:r>
          </w:p>
        </w:tc>
        <w:tc>
          <w:tcPr>
            <w:tcW w:type="dxa" w:w="1303"/>
            <w:shd w:val="clear" w:color="auto" w:fill="EBF3FB"/>
            <w:vAlign w:val="center"/>
          </w:tcPr>
          <w:p>
            <w:pPr>
              <w:jc w:val="center"/>
            </w:pPr>
            <w:r>
              <w:rPr>
                <w:sz w:val="18"/>
              </w:rPr>
              <w:t>0.193 m/km</w:t>
            </w:r>
          </w:p>
        </w:tc>
      </w:tr>
      <w:tr>
        <w:tc>
          <w:tcPr>
            <w:tcW w:type="dxa" w:w="1303"/>
            <w:vAlign w:val="center"/>
          </w:tcPr>
          <w:p>
            <w:r>
              <w:rPr>
                <w:sz w:val="18"/>
              </w:rPr>
              <w:t>Mean predictor</w:t>
            </w:r>
          </w:p>
        </w:tc>
        <w:tc>
          <w:tcPr>
            <w:tcW w:type="dxa" w:w="1303"/>
            <w:vAlign w:val="center"/>
          </w:tcPr>
          <w:p>
            <w:pPr>
              <w:jc w:val="center"/>
            </w:pPr>
            <w:r>
              <w:rPr>
                <w:sz w:val="18"/>
              </w:rPr>
              <w:t>Rutting</w:t>
            </w:r>
          </w:p>
        </w:tc>
        <w:tc>
          <w:tcPr>
            <w:tcW w:type="dxa" w:w="1303"/>
            <w:vAlign w:val="center"/>
          </w:tcPr>
          <w:p>
            <w:pPr>
              <w:jc w:val="center"/>
            </w:pPr>
            <w:r>
              <w:rPr>
                <w:sz w:val="18"/>
              </w:rPr>
              <w:t>Design</w:t>
            </w:r>
          </w:p>
        </w:tc>
        <w:tc>
          <w:tcPr>
            <w:tcW w:type="dxa" w:w="1303"/>
            <w:vAlign w:val="center"/>
          </w:tcPr>
          <w:p>
            <w:pPr>
              <w:jc w:val="center"/>
            </w:pPr>
            <w:r>
              <w:rPr>
                <w:sz w:val="18"/>
              </w:rPr>
              <w:t>74</w:t>
            </w:r>
          </w:p>
        </w:tc>
        <w:tc>
          <w:tcPr>
            <w:tcW w:type="dxa" w:w="1303"/>
            <w:vAlign w:val="center"/>
          </w:tcPr>
          <w:p>
            <w:pPr>
              <w:jc w:val="center"/>
            </w:pPr>
            <w:r>
              <w:rPr>
                <w:sz w:val="18"/>
              </w:rPr>
              <w:t>−0.076</w:t>
            </w:r>
          </w:p>
        </w:tc>
        <w:tc>
          <w:tcPr>
            <w:tcW w:type="dxa" w:w="1303"/>
            <w:vAlign w:val="center"/>
          </w:tcPr>
          <w:p>
            <w:pPr>
              <w:jc w:val="center"/>
            </w:pPr>
            <w:r>
              <w:rPr>
                <w:sz w:val="18"/>
              </w:rPr>
              <w:t>3.200 mm</w:t>
            </w:r>
          </w:p>
        </w:tc>
        <w:tc>
          <w:tcPr>
            <w:tcW w:type="dxa" w:w="1303"/>
            <w:vAlign w:val="center"/>
          </w:tcPr>
          <w:p>
            <w:pPr>
              <w:jc w:val="center"/>
            </w:pPr>
            <w:r>
              <w:rPr>
                <w:sz w:val="18"/>
              </w:rPr>
              <w:t>2.706 mm</w:t>
            </w:r>
          </w:p>
        </w:tc>
      </w:tr>
      <w:tr>
        <w:tc>
          <w:tcPr>
            <w:tcW w:type="dxa" w:w="1303"/>
            <w:shd w:val="clear" w:color="auto" w:fill="EBF3FB"/>
            <w:vAlign w:val="center"/>
          </w:tcPr>
          <w:p>
            <w:r>
              <w:rPr>
                <w:sz w:val="18"/>
              </w:rPr>
              <w:t>Ridge regression</w:t>
            </w:r>
          </w:p>
        </w:tc>
        <w:tc>
          <w:tcPr>
            <w:tcW w:type="dxa" w:w="1303"/>
            <w:shd w:val="clear" w:color="auto" w:fill="EBF3FB"/>
            <w:vAlign w:val="center"/>
          </w:tcPr>
          <w:p>
            <w:pPr>
              <w:jc w:val="center"/>
            </w:pPr>
            <w:r>
              <w:rPr>
                <w:sz w:val="18"/>
              </w:rPr>
              <w:t>Rutting</w:t>
            </w:r>
          </w:p>
        </w:tc>
        <w:tc>
          <w:tcPr>
            <w:tcW w:type="dxa" w:w="1303"/>
            <w:shd w:val="clear" w:color="auto" w:fill="EBF3FB"/>
            <w:vAlign w:val="center"/>
          </w:tcPr>
          <w:p>
            <w:pPr>
              <w:jc w:val="center"/>
            </w:pPr>
            <w:r>
              <w:rPr>
                <w:sz w:val="18"/>
              </w:rPr>
              <w:t>Design</w:t>
            </w:r>
          </w:p>
        </w:tc>
        <w:tc>
          <w:tcPr>
            <w:tcW w:type="dxa" w:w="1303"/>
            <w:shd w:val="clear" w:color="auto" w:fill="EBF3FB"/>
            <w:vAlign w:val="center"/>
          </w:tcPr>
          <w:p>
            <w:pPr>
              <w:jc w:val="center"/>
            </w:pPr>
            <w:r>
              <w:rPr>
                <w:sz w:val="18"/>
              </w:rPr>
              <w:t>74</w:t>
            </w:r>
          </w:p>
        </w:tc>
        <w:tc>
          <w:tcPr>
            <w:tcW w:type="dxa" w:w="1303"/>
            <w:shd w:val="clear" w:color="auto" w:fill="EBF3FB"/>
            <w:vAlign w:val="center"/>
          </w:tcPr>
          <w:p>
            <w:pPr>
              <w:jc w:val="center"/>
            </w:pPr>
            <w:r>
              <w:rPr>
                <w:sz w:val="18"/>
              </w:rPr>
              <w:t xml:space="preserve"> 0.385</w:t>
            </w:r>
          </w:p>
        </w:tc>
        <w:tc>
          <w:tcPr>
            <w:tcW w:type="dxa" w:w="1303"/>
            <w:shd w:val="clear" w:color="auto" w:fill="EBF3FB"/>
            <w:vAlign w:val="center"/>
          </w:tcPr>
          <w:p>
            <w:pPr>
              <w:jc w:val="center"/>
            </w:pPr>
            <w:r>
              <w:rPr>
                <w:sz w:val="18"/>
              </w:rPr>
              <w:t>2.419 mm</w:t>
            </w:r>
          </w:p>
        </w:tc>
        <w:tc>
          <w:tcPr>
            <w:tcW w:type="dxa" w:w="1303"/>
            <w:shd w:val="clear" w:color="auto" w:fill="EBF3FB"/>
            <w:vAlign w:val="center"/>
          </w:tcPr>
          <w:p>
            <w:pPr>
              <w:jc w:val="center"/>
            </w:pPr>
            <w:r>
              <w:rPr>
                <w:sz w:val="18"/>
              </w:rPr>
              <w:t>1.774 mm</w:t>
            </w:r>
          </w:p>
        </w:tc>
      </w:tr>
      <w:tr>
        <w:tc>
          <w:tcPr>
            <w:tcW w:type="dxa" w:w="1303"/>
            <w:vAlign w:val="center"/>
          </w:tcPr>
          <w:p>
            <w:r>
              <w:rPr>
                <w:sz w:val="18"/>
              </w:rPr>
              <w:t>Mean predictor</w:t>
            </w:r>
          </w:p>
        </w:tc>
        <w:tc>
          <w:tcPr>
            <w:tcW w:type="dxa" w:w="1303"/>
            <w:vAlign w:val="center"/>
          </w:tcPr>
          <w:p>
            <w:pPr>
              <w:jc w:val="center"/>
            </w:pPr>
            <w:r>
              <w:rPr>
                <w:sz w:val="18"/>
              </w:rPr>
              <w:t>Distress</w:t>
            </w:r>
          </w:p>
        </w:tc>
        <w:tc>
          <w:tcPr>
            <w:tcW w:type="dxa" w:w="1303"/>
            <w:vAlign w:val="center"/>
          </w:tcPr>
          <w:p>
            <w:pPr>
              <w:jc w:val="center"/>
            </w:pPr>
            <w:r>
              <w:rPr>
                <w:sz w:val="18"/>
              </w:rPr>
              <w:t>Design</w:t>
            </w:r>
          </w:p>
        </w:tc>
        <w:tc>
          <w:tcPr>
            <w:tcW w:type="dxa" w:w="1303"/>
            <w:vAlign w:val="center"/>
          </w:tcPr>
          <w:p>
            <w:pPr>
              <w:jc w:val="center"/>
            </w:pPr>
            <w:r>
              <w:rPr>
                <w:sz w:val="18"/>
              </w:rPr>
              <w:t>45</w:t>
            </w:r>
          </w:p>
        </w:tc>
        <w:tc>
          <w:tcPr>
            <w:tcW w:type="dxa" w:w="1303"/>
            <w:vAlign w:val="center"/>
          </w:tcPr>
          <w:p>
            <w:pPr>
              <w:jc w:val="center"/>
            </w:pPr>
            <w:r>
              <w:rPr>
                <w:sz w:val="18"/>
              </w:rPr>
              <w:t>−0.051</w:t>
            </w:r>
          </w:p>
        </w:tc>
        <w:tc>
          <w:tcPr>
            <w:tcW w:type="dxa" w:w="1303"/>
            <w:vAlign w:val="center"/>
          </w:tcPr>
          <w:p>
            <w:pPr>
              <w:jc w:val="center"/>
            </w:pPr>
            <w:r>
              <w:rPr>
                <w:sz w:val="18"/>
              </w:rPr>
              <w:t>22.89%</w:t>
            </w:r>
          </w:p>
        </w:tc>
        <w:tc>
          <w:tcPr>
            <w:tcW w:type="dxa" w:w="1303"/>
            <w:vAlign w:val="center"/>
          </w:tcPr>
          <w:p>
            <w:pPr>
              <w:jc w:val="center"/>
            </w:pPr>
            <w:r>
              <w:rPr>
                <w:sz w:val="18"/>
              </w:rPr>
              <w:t>20.01%</w:t>
            </w:r>
          </w:p>
        </w:tc>
      </w:tr>
      <w:tr>
        <w:tc>
          <w:tcPr>
            <w:tcW w:type="dxa" w:w="1303"/>
            <w:shd w:val="clear" w:color="auto" w:fill="EBF3FB"/>
            <w:vAlign w:val="center"/>
          </w:tcPr>
          <w:p>
            <w:r>
              <w:rPr>
                <w:sz w:val="18"/>
              </w:rPr>
              <w:t>Ridge regression</w:t>
            </w:r>
          </w:p>
        </w:tc>
        <w:tc>
          <w:tcPr>
            <w:tcW w:type="dxa" w:w="1303"/>
            <w:shd w:val="clear" w:color="auto" w:fill="EBF3FB"/>
            <w:vAlign w:val="center"/>
          </w:tcPr>
          <w:p>
            <w:pPr>
              <w:jc w:val="center"/>
            </w:pPr>
            <w:r>
              <w:rPr>
                <w:sz w:val="18"/>
              </w:rPr>
              <w:t>Distress</w:t>
            </w:r>
          </w:p>
        </w:tc>
        <w:tc>
          <w:tcPr>
            <w:tcW w:type="dxa" w:w="1303"/>
            <w:shd w:val="clear" w:color="auto" w:fill="EBF3FB"/>
            <w:vAlign w:val="center"/>
          </w:tcPr>
          <w:p>
            <w:pPr>
              <w:jc w:val="center"/>
            </w:pPr>
            <w:r>
              <w:rPr>
                <w:sz w:val="18"/>
              </w:rPr>
              <w:t>Design</w:t>
            </w:r>
          </w:p>
        </w:tc>
        <w:tc>
          <w:tcPr>
            <w:tcW w:type="dxa" w:w="1303"/>
            <w:shd w:val="clear" w:color="auto" w:fill="EBF3FB"/>
            <w:vAlign w:val="center"/>
          </w:tcPr>
          <w:p>
            <w:pPr>
              <w:jc w:val="center"/>
            </w:pPr>
            <w:r>
              <w:rPr>
                <w:sz w:val="18"/>
              </w:rPr>
              <w:t>45</w:t>
            </w:r>
          </w:p>
        </w:tc>
        <w:tc>
          <w:tcPr>
            <w:tcW w:type="dxa" w:w="1303"/>
            <w:shd w:val="clear" w:color="auto" w:fill="EBF3FB"/>
            <w:vAlign w:val="center"/>
          </w:tcPr>
          <w:p>
            <w:pPr>
              <w:jc w:val="center"/>
            </w:pPr>
            <w:r>
              <w:rPr>
                <w:sz w:val="18"/>
              </w:rPr>
              <w:t xml:space="preserve"> 0.992</w:t>
            </w:r>
          </w:p>
        </w:tc>
        <w:tc>
          <w:tcPr>
            <w:tcW w:type="dxa" w:w="1303"/>
            <w:shd w:val="clear" w:color="auto" w:fill="EBF3FB"/>
            <w:vAlign w:val="center"/>
          </w:tcPr>
          <w:p>
            <w:pPr>
              <w:jc w:val="center"/>
            </w:pPr>
            <w:r>
              <w:rPr>
                <w:sz w:val="18"/>
              </w:rPr>
              <w:t xml:space="preserve"> 1.969%</w:t>
            </w:r>
          </w:p>
        </w:tc>
        <w:tc>
          <w:tcPr>
            <w:tcW w:type="dxa" w:w="1303"/>
            <w:shd w:val="clear" w:color="auto" w:fill="EBF3FB"/>
            <w:vAlign w:val="center"/>
          </w:tcPr>
          <w:p>
            <w:pPr>
              <w:jc w:val="center"/>
            </w:pPr>
            <w:r>
              <w:rPr>
                <w:sz w:val="18"/>
              </w:rPr>
              <w:t xml:space="preserve"> 1.578%</w:t>
            </w:r>
          </w:p>
        </w:tc>
      </w:tr>
    </w:tbl>
    <w:p/>
    <w:p>
      <w:r>
        <w:t>The 1-year persistence benchmark achieves R² = 0.853 on IRI — far above any design-task model — because the same test section's prior observation is a near-perfect predictor of its next value over a short horizon. This sets a demanding upper bound for the monitoring model comparison (§4.5). Ridge regression for distress (R² = 0.992) nearly matches the ensemble models, indicating that distress is largely linearly predictable from the 153 retained features within this dataset.</w:t>
      </w:r>
    </w:p>
    <w:p>
      <w:pPr>
        <w:pStyle w:val="Heading2"/>
      </w:pPr>
      <w:r>
        <w:rPr>
          <w:color w:val="2E74B5"/>
        </w:rPr>
        <w:t>4.4  Ensemble Model Test-Set Performance (§3.10–§3.11.2)</w:t>
      </w:r>
    </w:p>
    <w:p>
      <w:r>
        <w:t>Table 5 reports the primary accuracy metrics for all 12 model-target-task combinations. R² is presented as point estimate [lower 95% CI, upper 95% CI] computed by section-level bootstrap resampling (2,000 iterations, §3.11.2). Wide confidence intervals reflect the 7-section test set and are not relegated to supplementary material, per the pre-registration (§3.14).</w:t>
      </w:r>
    </w:p>
    <w:p>
      <w:r>
        <w:rPr>
          <w:b/>
        </w:rPr>
        <w:t>Table 5.  Test-set performance: all 12 model-target-task combinations (§3.11.1–3.11.2).</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247"/>
            <w:shd w:val="clear" w:color="auto" w:fill="1F497D"/>
          </w:tcPr>
          <w:p>
            <w:pPr>
              <w:jc w:val="center"/>
            </w:pPr>
            <w:r>
              <w:rPr>
                <w:b/>
                <w:color w:val="FFFFFF"/>
                <w:sz w:val="18"/>
              </w:rPr>
              <w:t>Architecture</w:t>
            </w:r>
          </w:p>
        </w:tc>
        <w:tc>
          <w:tcPr>
            <w:tcW w:type="dxa" w:w="1134"/>
            <w:shd w:val="clear" w:color="auto" w:fill="1F497D"/>
          </w:tcPr>
          <w:p>
            <w:pPr>
              <w:jc w:val="center"/>
            </w:pPr>
            <w:r>
              <w:rPr>
                <w:b/>
                <w:color w:val="FFFFFF"/>
                <w:sz w:val="18"/>
              </w:rPr>
              <w:t>Target</w:t>
            </w:r>
          </w:p>
        </w:tc>
        <w:tc>
          <w:tcPr>
            <w:tcW w:type="dxa" w:w="1361"/>
            <w:shd w:val="clear" w:color="auto" w:fill="1F497D"/>
          </w:tcPr>
          <w:p>
            <w:pPr>
              <w:jc w:val="center"/>
            </w:pPr>
            <w:r>
              <w:rPr>
                <w:b/>
                <w:color w:val="FFFFFF"/>
                <w:sz w:val="18"/>
              </w:rPr>
              <w:t>Task</w:t>
            </w:r>
          </w:p>
        </w:tc>
        <w:tc>
          <w:tcPr>
            <w:tcW w:type="dxa" w:w="680"/>
            <w:shd w:val="clear" w:color="auto" w:fill="1F497D"/>
          </w:tcPr>
          <w:p>
            <w:pPr>
              <w:jc w:val="center"/>
            </w:pPr>
            <w:r>
              <w:rPr>
                <w:b/>
                <w:color w:val="FFFFFF"/>
                <w:sz w:val="18"/>
              </w:rPr>
              <w:t>n obs</w:t>
            </w:r>
          </w:p>
        </w:tc>
        <w:tc>
          <w:tcPr>
            <w:tcW w:type="dxa" w:w="2551"/>
            <w:shd w:val="clear" w:color="auto" w:fill="1F497D"/>
          </w:tcPr>
          <w:p>
            <w:pPr>
              <w:jc w:val="center"/>
            </w:pPr>
            <w:r>
              <w:rPr>
                <w:b/>
                <w:color w:val="FFFFFF"/>
                <w:sz w:val="18"/>
              </w:rPr>
              <w:t>R² [95% CI]</w:t>
            </w:r>
          </w:p>
        </w:tc>
        <w:tc>
          <w:tcPr>
            <w:tcW w:type="dxa" w:w="1247"/>
            <w:shd w:val="clear" w:color="auto" w:fill="1F497D"/>
          </w:tcPr>
          <w:p>
            <w:pPr>
              <w:jc w:val="center"/>
            </w:pPr>
            <w:r>
              <w:rPr>
                <w:b/>
                <w:color w:val="FFFFFF"/>
                <w:sz w:val="18"/>
              </w:rPr>
              <w:t>RMSE</w:t>
            </w:r>
          </w:p>
        </w:tc>
        <w:tc>
          <w:tcPr>
            <w:tcW w:type="dxa" w:w="1247"/>
            <w:shd w:val="clear" w:color="auto" w:fill="1F497D"/>
          </w:tcPr>
          <w:p>
            <w:pPr>
              <w:jc w:val="center"/>
            </w:pPr>
            <w:r>
              <w:rPr>
                <w:b/>
                <w:color w:val="FFFFFF"/>
                <w:sz w:val="18"/>
              </w:rPr>
              <w:t>MAE</w:t>
            </w:r>
          </w:p>
        </w:tc>
      </w:tr>
      <w:tr>
        <w:tc>
          <w:tcPr>
            <w:tcW w:type="dxa" w:w="1247"/>
            <w:vAlign w:val="center"/>
          </w:tcPr>
          <w:p>
            <w:r>
              <w:rPr>
                <w:sz w:val="18"/>
              </w:rPr>
              <w:t>XGBoost</w:t>
            </w:r>
          </w:p>
        </w:tc>
        <w:tc>
          <w:tcPr>
            <w:tcW w:type="dxa" w:w="1134"/>
            <w:vAlign w:val="center"/>
          </w:tcPr>
          <w:p>
            <w:pPr>
              <w:jc w:val="center"/>
            </w:pPr>
            <w:r>
              <w:rPr>
                <w:sz w:val="18"/>
              </w:rPr>
              <w:t>IRI</w:t>
            </w:r>
          </w:p>
        </w:tc>
        <w:tc>
          <w:tcPr>
            <w:tcW w:type="dxa" w:w="1361"/>
            <w:vAlign w:val="center"/>
          </w:tcPr>
          <w:p>
            <w:pPr>
              <w:jc w:val="center"/>
            </w:pPr>
            <w:r>
              <w:rPr>
                <w:sz w:val="18"/>
              </w:rPr>
              <w:t>Design</w:t>
            </w:r>
          </w:p>
        </w:tc>
        <w:tc>
          <w:tcPr>
            <w:tcW w:type="dxa" w:w="680"/>
            <w:vAlign w:val="center"/>
          </w:tcPr>
          <w:p>
            <w:pPr>
              <w:jc w:val="center"/>
            </w:pPr>
            <w:r>
              <w:rPr>
                <w:sz w:val="18"/>
              </w:rPr>
              <w:t>86</w:t>
            </w:r>
          </w:p>
        </w:tc>
        <w:tc>
          <w:tcPr>
            <w:tcW w:type="dxa" w:w="2551"/>
            <w:vAlign w:val="center"/>
          </w:tcPr>
          <w:p>
            <w:pPr>
              <w:jc w:val="center"/>
            </w:pPr>
            <w:r>
              <w:rPr>
                <w:sz w:val="18"/>
              </w:rPr>
              <w:t>0.219 [-0.015, 0.484]</w:t>
            </w:r>
          </w:p>
        </w:tc>
        <w:tc>
          <w:tcPr>
            <w:tcW w:type="dxa" w:w="1247"/>
            <w:vAlign w:val="center"/>
          </w:tcPr>
          <w:p>
            <w:pPr>
              <w:jc w:val="center"/>
            </w:pPr>
            <w:r>
              <w:rPr>
                <w:sz w:val="18"/>
              </w:rPr>
              <w:t>0.453 m/km</w:t>
            </w:r>
          </w:p>
        </w:tc>
        <w:tc>
          <w:tcPr>
            <w:tcW w:type="dxa" w:w="1247"/>
            <w:vAlign w:val="center"/>
          </w:tcPr>
          <w:p>
            <w:pPr>
              <w:jc w:val="center"/>
            </w:pPr>
            <w:r>
              <w:rPr>
                <w:sz w:val="18"/>
              </w:rPr>
              <w:t>0.269 m/km</w:t>
            </w:r>
          </w:p>
        </w:tc>
      </w:tr>
      <w:tr>
        <w:tc>
          <w:tcPr>
            <w:tcW w:type="dxa" w:w="1247"/>
            <w:shd w:val="clear" w:color="auto" w:fill="EBF3FB"/>
            <w:vAlign w:val="center"/>
          </w:tcPr>
          <w:p>
            <w:r>
              <w:rPr>
                <w:sz w:val="18"/>
              </w:rPr>
              <w:t>RF</w:t>
            </w:r>
          </w:p>
        </w:tc>
        <w:tc>
          <w:tcPr>
            <w:tcW w:type="dxa" w:w="1134"/>
            <w:shd w:val="clear" w:color="auto" w:fill="EBF3FB"/>
            <w:vAlign w:val="center"/>
          </w:tcPr>
          <w:p>
            <w:pPr>
              <w:jc w:val="center"/>
            </w:pPr>
            <w:r>
              <w:rPr>
                <w:sz w:val="18"/>
              </w:rPr>
              <w:t>IRI</w:t>
            </w:r>
          </w:p>
        </w:tc>
        <w:tc>
          <w:tcPr>
            <w:tcW w:type="dxa" w:w="1361"/>
            <w:shd w:val="clear" w:color="auto" w:fill="EBF3FB"/>
            <w:vAlign w:val="center"/>
          </w:tcPr>
          <w:p>
            <w:pPr>
              <w:jc w:val="center"/>
            </w:pPr>
            <w:r>
              <w:rPr>
                <w:sz w:val="18"/>
              </w:rPr>
              <w:t>Design</w:t>
            </w:r>
          </w:p>
        </w:tc>
        <w:tc>
          <w:tcPr>
            <w:tcW w:type="dxa" w:w="680"/>
            <w:shd w:val="clear" w:color="auto" w:fill="EBF3FB"/>
            <w:vAlign w:val="center"/>
          </w:tcPr>
          <w:p>
            <w:pPr>
              <w:jc w:val="center"/>
            </w:pPr>
            <w:r>
              <w:rPr>
                <w:sz w:val="18"/>
              </w:rPr>
              <w:t>86</w:t>
            </w:r>
          </w:p>
        </w:tc>
        <w:tc>
          <w:tcPr>
            <w:tcW w:type="dxa" w:w="2551"/>
            <w:shd w:val="clear" w:color="auto" w:fill="EBF3FB"/>
            <w:vAlign w:val="center"/>
          </w:tcPr>
          <w:p>
            <w:pPr>
              <w:jc w:val="center"/>
            </w:pPr>
            <w:r>
              <w:rPr>
                <w:sz w:val="18"/>
              </w:rPr>
              <w:t>0.100 [-0.191, 0.299]</w:t>
            </w:r>
          </w:p>
        </w:tc>
        <w:tc>
          <w:tcPr>
            <w:tcW w:type="dxa" w:w="1247"/>
            <w:shd w:val="clear" w:color="auto" w:fill="EBF3FB"/>
            <w:vAlign w:val="center"/>
          </w:tcPr>
          <w:p>
            <w:pPr>
              <w:jc w:val="center"/>
            </w:pPr>
            <w:r>
              <w:rPr>
                <w:sz w:val="18"/>
              </w:rPr>
              <w:t>0.487 m/km</w:t>
            </w:r>
          </w:p>
        </w:tc>
        <w:tc>
          <w:tcPr>
            <w:tcW w:type="dxa" w:w="1247"/>
            <w:shd w:val="clear" w:color="auto" w:fill="EBF3FB"/>
            <w:vAlign w:val="center"/>
          </w:tcPr>
          <w:p>
            <w:pPr>
              <w:jc w:val="center"/>
            </w:pPr>
            <w:r>
              <w:rPr>
                <w:sz w:val="18"/>
              </w:rPr>
              <w:t>0.327 m/km</w:t>
            </w:r>
          </w:p>
        </w:tc>
      </w:tr>
      <w:tr>
        <w:tc>
          <w:tcPr>
            <w:tcW w:type="dxa" w:w="1247"/>
            <w:vAlign w:val="center"/>
          </w:tcPr>
          <w:p>
            <w:r>
              <w:rPr>
                <w:sz w:val="18"/>
              </w:rPr>
              <w:t>XGBoost</w:t>
            </w:r>
          </w:p>
        </w:tc>
        <w:tc>
          <w:tcPr>
            <w:tcW w:type="dxa" w:w="1134"/>
            <w:vAlign w:val="center"/>
          </w:tcPr>
          <w:p>
            <w:pPr>
              <w:jc w:val="center"/>
            </w:pPr>
            <w:r>
              <w:rPr>
                <w:sz w:val="18"/>
              </w:rPr>
              <w:t>IRI</w:t>
            </w:r>
          </w:p>
        </w:tc>
        <w:tc>
          <w:tcPr>
            <w:tcW w:type="dxa" w:w="1361"/>
            <w:vAlign w:val="center"/>
          </w:tcPr>
          <w:p>
            <w:pPr>
              <w:jc w:val="center"/>
            </w:pPr>
            <w:r>
              <w:rPr>
                <w:sz w:val="18"/>
              </w:rPr>
              <w:t>Monitoring</w:t>
            </w:r>
          </w:p>
        </w:tc>
        <w:tc>
          <w:tcPr>
            <w:tcW w:type="dxa" w:w="680"/>
            <w:vAlign w:val="center"/>
          </w:tcPr>
          <w:p>
            <w:pPr>
              <w:jc w:val="center"/>
            </w:pPr>
            <w:r>
              <w:rPr>
                <w:sz w:val="18"/>
              </w:rPr>
              <w:t>66</w:t>
            </w:r>
          </w:p>
        </w:tc>
        <w:tc>
          <w:tcPr>
            <w:tcW w:type="dxa" w:w="2551"/>
            <w:vAlign w:val="center"/>
          </w:tcPr>
          <w:p>
            <w:pPr>
              <w:jc w:val="center"/>
            </w:pPr>
            <w:r>
              <w:rPr>
                <w:sz w:val="18"/>
              </w:rPr>
              <w:t>0.780 [0.709, 0.963]</w:t>
            </w:r>
          </w:p>
        </w:tc>
        <w:tc>
          <w:tcPr>
            <w:tcW w:type="dxa" w:w="1247"/>
            <w:vAlign w:val="center"/>
          </w:tcPr>
          <w:p>
            <w:pPr>
              <w:jc w:val="center"/>
            </w:pPr>
            <w:r>
              <w:rPr>
                <w:sz w:val="18"/>
              </w:rPr>
              <w:t>0.237 m/km</w:t>
            </w:r>
          </w:p>
        </w:tc>
        <w:tc>
          <w:tcPr>
            <w:tcW w:type="dxa" w:w="1247"/>
            <w:vAlign w:val="center"/>
          </w:tcPr>
          <w:p>
            <w:pPr>
              <w:jc w:val="center"/>
            </w:pPr>
            <w:r>
              <w:rPr>
                <w:sz w:val="18"/>
              </w:rPr>
              <w:t>0.091 m/km</w:t>
            </w:r>
          </w:p>
        </w:tc>
      </w:tr>
      <w:tr>
        <w:tc>
          <w:tcPr>
            <w:tcW w:type="dxa" w:w="1247"/>
            <w:shd w:val="clear" w:color="auto" w:fill="EBF3FB"/>
            <w:vAlign w:val="center"/>
          </w:tcPr>
          <w:p>
            <w:r>
              <w:rPr>
                <w:sz w:val="18"/>
              </w:rPr>
              <w:t>RF</w:t>
            </w:r>
          </w:p>
        </w:tc>
        <w:tc>
          <w:tcPr>
            <w:tcW w:type="dxa" w:w="1134"/>
            <w:shd w:val="clear" w:color="auto" w:fill="EBF3FB"/>
            <w:vAlign w:val="center"/>
          </w:tcPr>
          <w:p>
            <w:pPr>
              <w:jc w:val="center"/>
            </w:pPr>
            <w:r>
              <w:rPr>
                <w:sz w:val="18"/>
              </w:rPr>
              <w:t>IRI</w:t>
            </w:r>
          </w:p>
        </w:tc>
        <w:tc>
          <w:tcPr>
            <w:tcW w:type="dxa" w:w="1361"/>
            <w:shd w:val="clear" w:color="auto" w:fill="EBF3FB"/>
            <w:vAlign w:val="center"/>
          </w:tcPr>
          <w:p>
            <w:pPr>
              <w:jc w:val="center"/>
            </w:pPr>
            <w:r>
              <w:rPr>
                <w:sz w:val="18"/>
              </w:rPr>
              <w:t>Monitoring</w:t>
            </w:r>
          </w:p>
        </w:tc>
        <w:tc>
          <w:tcPr>
            <w:tcW w:type="dxa" w:w="680"/>
            <w:shd w:val="clear" w:color="auto" w:fill="EBF3FB"/>
            <w:vAlign w:val="center"/>
          </w:tcPr>
          <w:p>
            <w:pPr>
              <w:jc w:val="center"/>
            </w:pPr>
            <w:r>
              <w:rPr>
                <w:sz w:val="18"/>
              </w:rPr>
              <w:t>66</w:t>
            </w:r>
          </w:p>
        </w:tc>
        <w:tc>
          <w:tcPr>
            <w:tcW w:type="dxa" w:w="2551"/>
            <w:shd w:val="clear" w:color="auto" w:fill="EBF3FB"/>
            <w:vAlign w:val="center"/>
          </w:tcPr>
          <w:p>
            <w:pPr>
              <w:jc w:val="center"/>
            </w:pPr>
            <w:r>
              <w:rPr>
                <w:sz w:val="18"/>
              </w:rPr>
              <w:t>0.667 [0.564, 0.962]</w:t>
            </w:r>
          </w:p>
        </w:tc>
        <w:tc>
          <w:tcPr>
            <w:tcW w:type="dxa" w:w="1247"/>
            <w:shd w:val="clear" w:color="auto" w:fill="EBF3FB"/>
            <w:vAlign w:val="center"/>
          </w:tcPr>
          <w:p>
            <w:pPr>
              <w:jc w:val="center"/>
            </w:pPr>
            <w:r>
              <w:rPr>
                <w:sz w:val="18"/>
              </w:rPr>
              <w:t>0.292 m/km</w:t>
            </w:r>
          </w:p>
        </w:tc>
        <w:tc>
          <w:tcPr>
            <w:tcW w:type="dxa" w:w="1247"/>
            <w:shd w:val="clear" w:color="auto" w:fill="EBF3FB"/>
            <w:vAlign w:val="center"/>
          </w:tcPr>
          <w:p>
            <w:pPr>
              <w:jc w:val="center"/>
            </w:pPr>
            <w:r>
              <w:rPr>
                <w:sz w:val="18"/>
              </w:rPr>
              <w:t>0.109 m/km</w:t>
            </w:r>
          </w:p>
        </w:tc>
      </w:tr>
      <w:tr>
        <w:tc>
          <w:tcPr>
            <w:tcW w:type="dxa" w:w="1247"/>
            <w:vAlign w:val="center"/>
          </w:tcPr>
          <w:p>
            <w:r>
              <w:rPr>
                <w:sz w:val="18"/>
              </w:rPr>
              <w:t>XGBoost</w:t>
            </w:r>
          </w:p>
        </w:tc>
        <w:tc>
          <w:tcPr>
            <w:tcW w:type="dxa" w:w="1134"/>
            <w:vAlign w:val="center"/>
          </w:tcPr>
          <w:p>
            <w:pPr>
              <w:jc w:val="center"/>
            </w:pPr>
            <w:r>
              <w:rPr>
                <w:sz w:val="18"/>
              </w:rPr>
              <w:t>Rutting</w:t>
            </w:r>
          </w:p>
        </w:tc>
        <w:tc>
          <w:tcPr>
            <w:tcW w:type="dxa" w:w="1361"/>
            <w:vAlign w:val="center"/>
          </w:tcPr>
          <w:p>
            <w:pPr>
              <w:jc w:val="center"/>
            </w:pPr>
            <w:r>
              <w:rPr>
                <w:sz w:val="18"/>
              </w:rPr>
              <w:t>Design</w:t>
            </w:r>
          </w:p>
        </w:tc>
        <w:tc>
          <w:tcPr>
            <w:tcW w:type="dxa" w:w="680"/>
            <w:vAlign w:val="center"/>
          </w:tcPr>
          <w:p>
            <w:pPr>
              <w:jc w:val="center"/>
            </w:pPr>
            <w:r>
              <w:rPr>
                <w:sz w:val="18"/>
              </w:rPr>
              <w:t>74</w:t>
            </w:r>
          </w:p>
        </w:tc>
        <w:tc>
          <w:tcPr>
            <w:tcW w:type="dxa" w:w="2551"/>
            <w:vAlign w:val="center"/>
          </w:tcPr>
          <w:p>
            <w:pPr>
              <w:jc w:val="center"/>
            </w:pPr>
            <w:r>
              <w:rPr>
                <w:sz w:val="18"/>
              </w:rPr>
              <w:t>0.215 [-0.503, 0.354]</w:t>
            </w:r>
          </w:p>
        </w:tc>
        <w:tc>
          <w:tcPr>
            <w:tcW w:type="dxa" w:w="1247"/>
            <w:vAlign w:val="center"/>
          </w:tcPr>
          <w:p>
            <w:pPr>
              <w:jc w:val="center"/>
            </w:pPr>
            <w:r>
              <w:rPr>
                <w:sz w:val="18"/>
              </w:rPr>
              <w:t>2.733 mm</w:t>
            </w:r>
          </w:p>
        </w:tc>
        <w:tc>
          <w:tcPr>
            <w:tcW w:type="dxa" w:w="1247"/>
            <w:vAlign w:val="center"/>
          </w:tcPr>
          <w:p>
            <w:pPr>
              <w:jc w:val="center"/>
            </w:pPr>
            <w:r>
              <w:rPr>
                <w:sz w:val="18"/>
              </w:rPr>
              <w:t>2.136 mm</w:t>
            </w:r>
          </w:p>
        </w:tc>
      </w:tr>
      <w:tr>
        <w:tc>
          <w:tcPr>
            <w:tcW w:type="dxa" w:w="1247"/>
            <w:shd w:val="clear" w:color="auto" w:fill="EBF3FB"/>
            <w:vAlign w:val="center"/>
          </w:tcPr>
          <w:p>
            <w:r>
              <w:rPr>
                <w:sz w:val="18"/>
              </w:rPr>
              <w:t>RF</w:t>
            </w:r>
          </w:p>
        </w:tc>
        <w:tc>
          <w:tcPr>
            <w:tcW w:type="dxa" w:w="1134"/>
            <w:shd w:val="clear" w:color="auto" w:fill="EBF3FB"/>
            <w:vAlign w:val="center"/>
          </w:tcPr>
          <w:p>
            <w:pPr>
              <w:jc w:val="center"/>
            </w:pPr>
            <w:r>
              <w:rPr>
                <w:sz w:val="18"/>
              </w:rPr>
              <w:t>Rutting</w:t>
            </w:r>
          </w:p>
        </w:tc>
        <w:tc>
          <w:tcPr>
            <w:tcW w:type="dxa" w:w="1361"/>
            <w:shd w:val="clear" w:color="auto" w:fill="EBF3FB"/>
            <w:vAlign w:val="center"/>
          </w:tcPr>
          <w:p>
            <w:pPr>
              <w:jc w:val="center"/>
            </w:pPr>
            <w:r>
              <w:rPr>
                <w:sz w:val="18"/>
              </w:rPr>
              <w:t>Design</w:t>
            </w:r>
          </w:p>
        </w:tc>
        <w:tc>
          <w:tcPr>
            <w:tcW w:type="dxa" w:w="680"/>
            <w:shd w:val="clear" w:color="auto" w:fill="EBF3FB"/>
            <w:vAlign w:val="center"/>
          </w:tcPr>
          <w:p>
            <w:pPr>
              <w:jc w:val="center"/>
            </w:pPr>
            <w:r>
              <w:rPr>
                <w:sz w:val="18"/>
              </w:rPr>
              <w:t>74</w:t>
            </w:r>
          </w:p>
        </w:tc>
        <w:tc>
          <w:tcPr>
            <w:tcW w:type="dxa" w:w="2551"/>
            <w:shd w:val="clear" w:color="auto" w:fill="EBF3FB"/>
            <w:vAlign w:val="center"/>
          </w:tcPr>
          <w:p>
            <w:pPr>
              <w:jc w:val="center"/>
            </w:pPr>
            <w:r>
              <w:rPr>
                <w:sz w:val="18"/>
              </w:rPr>
              <w:t>0.431 [-0.211, 0.548]</w:t>
            </w:r>
          </w:p>
        </w:tc>
        <w:tc>
          <w:tcPr>
            <w:tcW w:type="dxa" w:w="1247"/>
            <w:shd w:val="clear" w:color="auto" w:fill="EBF3FB"/>
            <w:vAlign w:val="center"/>
          </w:tcPr>
          <w:p>
            <w:pPr>
              <w:jc w:val="center"/>
            </w:pPr>
            <w:r>
              <w:rPr>
                <w:sz w:val="18"/>
              </w:rPr>
              <w:t>2.327 mm</w:t>
            </w:r>
          </w:p>
        </w:tc>
        <w:tc>
          <w:tcPr>
            <w:tcW w:type="dxa" w:w="1247"/>
            <w:shd w:val="clear" w:color="auto" w:fill="EBF3FB"/>
            <w:vAlign w:val="center"/>
          </w:tcPr>
          <w:p>
            <w:pPr>
              <w:jc w:val="center"/>
            </w:pPr>
            <w:r>
              <w:rPr>
                <w:sz w:val="18"/>
              </w:rPr>
              <w:t>1.812 mm</w:t>
            </w:r>
          </w:p>
        </w:tc>
      </w:tr>
      <w:tr>
        <w:tc>
          <w:tcPr>
            <w:tcW w:type="dxa" w:w="1247"/>
            <w:vAlign w:val="center"/>
          </w:tcPr>
          <w:p>
            <w:r>
              <w:rPr>
                <w:sz w:val="18"/>
              </w:rPr>
              <w:t>XGBoost</w:t>
            </w:r>
          </w:p>
        </w:tc>
        <w:tc>
          <w:tcPr>
            <w:tcW w:type="dxa" w:w="1134"/>
            <w:vAlign w:val="center"/>
          </w:tcPr>
          <w:p>
            <w:pPr>
              <w:jc w:val="center"/>
            </w:pPr>
            <w:r>
              <w:rPr>
                <w:sz w:val="18"/>
              </w:rPr>
              <w:t>Rutting</w:t>
            </w:r>
          </w:p>
        </w:tc>
        <w:tc>
          <w:tcPr>
            <w:tcW w:type="dxa" w:w="1361"/>
            <w:vAlign w:val="center"/>
          </w:tcPr>
          <w:p>
            <w:pPr>
              <w:jc w:val="center"/>
            </w:pPr>
            <w:r>
              <w:rPr>
                <w:sz w:val="18"/>
              </w:rPr>
              <w:t>Monitoring</w:t>
            </w:r>
          </w:p>
        </w:tc>
        <w:tc>
          <w:tcPr>
            <w:tcW w:type="dxa" w:w="680"/>
            <w:vAlign w:val="center"/>
          </w:tcPr>
          <w:p>
            <w:pPr>
              <w:jc w:val="center"/>
            </w:pPr>
            <w:r>
              <w:rPr>
                <w:sz w:val="18"/>
              </w:rPr>
              <w:t>47</w:t>
            </w:r>
          </w:p>
        </w:tc>
        <w:tc>
          <w:tcPr>
            <w:tcW w:type="dxa" w:w="2551"/>
            <w:vAlign w:val="center"/>
          </w:tcPr>
          <w:p>
            <w:pPr>
              <w:jc w:val="center"/>
            </w:pPr>
            <w:r>
              <w:rPr>
                <w:sz w:val="18"/>
              </w:rPr>
              <w:t>0.954 [0.943, 0.961]</w:t>
            </w:r>
          </w:p>
        </w:tc>
        <w:tc>
          <w:tcPr>
            <w:tcW w:type="dxa" w:w="1247"/>
            <w:vAlign w:val="center"/>
          </w:tcPr>
          <w:p>
            <w:pPr>
              <w:jc w:val="center"/>
            </w:pPr>
            <w:r>
              <w:rPr>
                <w:sz w:val="18"/>
              </w:rPr>
              <w:t>0.647 mm</w:t>
            </w:r>
          </w:p>
        </w:tc>
        <w:tc>
          <w:tcPr>
            <w:tcW w:type="dxa" w:w="1247"/>
            <w:vAlign w:val="center"/>
          </w:tcPr>
          <w:p>
            <w:pPr>
              <w:jc w:val="center"/>
            </w:pPr>
            <w:r>
              <w:rPr>
                <w:sz w:val="18"/>
              </w:rPr>
              <w:t>0.373 mm</w:t>
            </w:r>
          </w:p>
        </w:tc>
      </w:tr>
      <w:tr>
        <w:tc>
          <w:tcPr>
            <w:tcW w:type="dxa" w:w="1247"/>
            <w:shd w:val="clear" w:color="auto" w:fill="EBF3FB"/>
            <w:vAlign w:val="center"/>
          </w:tcPr>
          <w:p>
            <w:r>
              <w:rPr>
                <w:sz w:val="18"/>
              </w:rPr>
              <w:t>RF</w:t>
            </w:r>
          </w:p>
        </w:tc>
        <w:tc>
          <w:tcPr>
            <w:tcW w:type="dxa" w:w="1134"/>
            <w:shd w:val="clear" w:color="auto" w:fill="EBF3FB"/>
            <w:vAlign w:val="center"/>
          </w:tcPr>
          <w:p>
            <w:pPr>
              <w:jc w:val="center"/>
            </w:pPr>
            <w:r>
              <w:rPr>
                <w:sz w:val="18"/>
              </w:rPr>
              <w:t>Rutting</w:t>
            </w:r>
          </w:p>
        </w:tc>
        <w:tc>
          <w:tcPr>
            <w:tcW w:type="dxa" w:w="1361"/>
            <w:shd w:val="clear" w:color="auto" w:fill="EBF3FB"/>
            <w:vAlign w:val="center"/>
          </w:tcPr>
          <w:p>
            <w:pPr>
              <w:jc w:val="center"/>
            </w:pPr>
            <w:r>
              <w:rPr>
                <w:sz w:val="18"/>
              </w:rPr>
              <w:t>Monitoring</w:t>
            </w:r>
          </w:p>
        </w:tc>
        <w:tc>
          <w:tcPr>
            <w:tcW w:type="dxa" w:w="680"/>
            <w:shd w:val="clear" w:color="auto" w:fill="EBF3FB"/>
            <w:vAlign w:val="center"/>
          </w:tcPr>
          <w:p>
            <w:pPr>
              <w:jc w:val="center"/>
            </w:pPr>
            <w:r>
              <w:rPr>
                <w:sz w:val="18"/>
              </w:rPr>
              <w:t>47</w:t>
            </w:r>
          </w:p>
        </w:tc>
        <w:tc>
          <w:tcPr>
            <w:tcW w:type="dxa" w:w="2551"/>
            <w:shd w:val="clear" w:color="auto" w:fill="EBF3FB"/>
            <w:vAlign w:val="center"/>
          </w:tcPr>
          <w:p>
            <w:pPr>
              <w:jc w:val="center"/>
            </w:pPr>
            <w:r>
              <w:rPr>
                <w:sz w:val="18"/>
              </w:rPr>
              <w:t>0.897 [0.797, 0.933]</w:t>
            </w:r>
          </w:p>
        </w:tc>
        <w:tc>
          <w:tcPr>
            <w:tcW w:type="dxa" w:w="1247"/>
            <w:shd w:val="clear" w:color="auto" w:fill="EBF3FB"/>
            <w:vAlign w:val="center"/>
          </w:tcPr>
          <w:p>
            <w:pPr>
              <w:jc w:val="center"/>
            </w:pPr>
            <w:r>
              <w:rPr>
                <w:sz w:val="18"/>
              </w:rPr>
              <w:t>0.973 mm</w:t>
            </w:r>
          </w:p>
        </w:tc>
        <w:tc>
          <w:tcPr>
            <w:tcW w:type="dxa" w:w="1247"/>
            <w:shd w:val="clear" w:color="auto" w:fill="EBF3FB"/>
            <w:vAlign w:val="center"/>
          </w:tcPr>
          <w:p>
            <w:pPr>
              <w:jc w:val="center"/>
            </w:pPr>
            <w:r>
              <w:rPr>
                <w:sz w:val="18"/>
              </w:rPr>
              <w:t>0.636 mm</w:t>
            </w:r>
          </w:p>
        </w:tc>
      </w:tr>
      <w:tr>
        <w:tc>
          <w:tcPr>
            <w:tcW w:type="dxa" w:w="1247"/>
            <w:vAlign w:val="center"/>
          </w:tcPr>
          <w:p>
            <w:r>
              <w:rPr>
                <w:sz w:val="18"/>
              </w:rPr>
              <w:t>XGBoost</w:t>
            </w:r>
          </w:p>
        </w:tc>
        <w:tc>
          <w:tcPr>
            <w:tcW w:type="dxa" w:w="1134"/>
            <w:vAlign w:val="center"/>
          </w:tcPr>
          <w:p>
            <w:pPr>
              <w:jc w:val="center"/>
            </w:pPr>
            <w:r>
              <w:rPr>
                <w:sz w:val="18"/>
              </w:rPr>
              <w:t>Distress</w:t>
            </w:r>
          </w:p>
        </w:tc>
        <w:tc>
          <w:tcPr>
            <w:tcW w:type="dxa" w:w="1361"/>
            <w:vAlign w:val="center"/>
          </w:tcPr>
          <w:p>
            <w:pPr>
              <w:jc w:val="center"/>
            </w:pPr>
            <w:r>
              <w:rPr>
                <w:sz w:val="18"/>
              </w:rPr>
              <w:t>Design</w:t>
            </w:r>
          </w:p>
        </w:tc>
        <w:tc>
          <w:tcPr>
            <w:tcW w:type="dxa" w:w="680"/>
            <w:vAlign w:val="center"/>
          </w:tcPr>
          <w:p>
            <w:pPr>
              <w:jc w:val="center"/>
            </w:pPr>
            <w:r>
              <w:rPr>
                <w:sz w:val="18"/>
              </w:rPr>
              <w:t>45</w:t>
            </w:r>
          </w:p>
        </w:tc>
        <w:tc>
          <w:tcPr>
            <w:tcW w:type="dxa" w:w="2551"/>
            <w:vAlign w:val="center"/>
          </w:tcPr>
          <w:p>
            <w:pPr>
              <w:jc w:val="center"/>
            </w:pPr>
            <w:r>
              <w:rPr>
                <w:sz w:val="18"/>
              </w:rPr>
              <w:t>0.9988 [0.9977, 0.9996]</w:t>
            </w:r>
          </w:p>
        </w:tc>
        <w:tc>
          <w:tcPr>
            <w:tcW w:type="dxa" w:w="1247"/>
            <w:vAlign w:val="center"/>
          </w:tcPr>
          <w:p>
            <w:pPr>
              <w:jc w:val="center"/>
            </w:pPr>
            <w:r>
              <w:rPr>
                <w:sz w:val="18"/>
              </w:rPr>
              <w:t>0.760%</w:t>
            </w:r>
          </w:p>
        </w:tc>
        <w:tc>
          <w:tcPr>
            <w:tcW w:type="dxa" w:w="1247"/>
            <w:vAlign w:val="center"/>
          </w:tcPr>
          <w:p>
            <w:pPr>
              <w:jc w:val="center"/>
            </w:pPr>
            <w:r>
              <w:rPr>
                <w:sz w:val="18"/>
              </w:rPr>
              <w:t>0.449%</w:t>
            </w:r>
          </w:p>
        </w:tc>
      </w:tr>
      <w:tr>
        <w:tc>
          <w:tcPr>
            <w:tcW w:type="dxa" w:w="1247"/>
            <w:shd w:val="clear" w:color="auto" w:fill="EBF3FB"/>
            <w:vAlign w:val="center"/>
          </w:tcPr>
          <w:p>
            <w:r>
              <w:rPr>
                <w:sz w:val="18"/>
              </w:rPr>
              <w:t>RF</w:t>
            </w:r>
          </w:p>
        </w:tc>
        <w:tc>
          <w:tcPr>
            <w:tcW w:type="dxa" w:w="1134"/>
            <w:shd w:val="clear" w:color="auto" w:fill="EBF3FB"/>
            <w:vAlign w:val="center"/>
          </w:tcPr>
          <w:p>
            <w:pPr>
              <w:jc w:val="center"/>
            </w:pPr>
            <w:r>
              <w:rPr>
                <w:sz w:val="18"/>
              </w:rPr>
              <w:t>Distress</w:t>
            </w:r>
          </w:p>
        </w:tc>
        <w:tc>
          <w:tcPr>
            <w:tcW w:type="dxa" w:w="1361"/>
            <w:shd w:val="clear" w:color="auto" w:fill="EBF3FB"/>
            <w:vAlign w:val="center"/>
          </w:tcPr>
          <w:p>
            <w:pPr>
              <w:jc w:val="center"/>
            </w:pPr>
            <w:r>
              <w:rPr>
                <w:sz w:val="18"/>
              </w:rPr>
              <w:t>Design</w:t>
            </w:r>
          </w:p>
        </w:tc>
        <w:tc>
          <w:tcPr>
            <w:tcW w:type="dxa" w:w="680"/>
            <w:shd w:val="clear" w:color="auto" w:fill="EBF3FB"/>
            <w:vAlign w:val="center"/>
          </w:tcPr>
          <w:p>
            <w:pPr>
              <w:jc w:val="center"/>
            </w:pPr>
            <w:r>
              <w:rPr>
                <w:sz w:val="18"/>
              </w:rPr>
              <w:t>45</w:t>
            </w:r>
          </w:p>
        </w:tc>
        <w:tc>
          <w:tcPr>
            <w:tcW w:type="dxa" w:w="2551"/>
            <w:shd w:val="clear" w:color="auto" w:fill="EBF3FB"/>
            <w:vAlign w:val="center"/>
          </w:tcPr>
          <w:p>
            <w:pPr>
              <w:jc w:val="center"/>
            </w:pPr>
            <w:r>
              <w:rPr>
                <w:sz w:val="18"/>
              </w:rPr>
              <w:t>0.9979 [0.9963, 0.9990]</w:t>
            </w:r>
          </w:p>
        </w:tc>
        <w:tc>
          <w:tcPr>
            <w:tcW w:type="dxa" w:w="1247"/>
            <w:shd w:val="clear" w:color="auto" w:fill="EBF3FB"/>
            <w:vAlign w:val="center"/>
          </w:tcPr>
          <w:p>
            <w:pPr>
              <w:jc w:val="center"/>
            </w:pPr>
            <w:r>
              <w:rPr>
                <w:sz w:val="18"/>
              </w:rPr>
              <w:t>1.012%</w:t>
            </w:r>
          </w:p>
        </w:tc>
        <w:tc>
          <w:tcPr>
            <w:tcW w:type="dxa" w:w="1247"/>
            <w:shd w:val="clear" w:color="auto" w:fill="EBF3FB"/>
            <w:vAlign w:val="center"/>
          </w:tcPr>
          <w:p>
            <w:pPr>
              <w:jc w:val="center"/>
            </w:pPr>
            <w:r>
              <w:rPr>
                <w:sz w:val="18"/>
              </w:rPr>
              <w:t>0.552%</w:t>
            </w:r>
          </w:p>
        </w:tc>
      </w:tr>
      <w:tr>
        <w:tc>
          <w:tcPr>
            <w:tcW w:type="dxa" w:w="1247"/>
            <w:vAlign w:val="center"/>
          </w:tcPr>
          <w:p>
            <w:r>
              <w:rPr>
                <w:sz w:val="18"/>
              </w:rPr>
              <w:t>XGBoost</w:t>
            </w:r>
          </w:p>
        </w:tc>
        <w:tc>
          <w:tcPr>
            <w:tcW w:type="dxa" w:w="1134"/>
            <w:vAlign w:val="center"/>
          </w:tcPr>
          <w:p>
            <w:pPr>
              <w:jc w:val="center"/>
            </w:pPr>
            <w:r>
              <w:rPr>
                <w:sz w:val="18"/>
              </w:rPr>
              <w:t>Distress</w:t>
            </w:r>
          </w:p>
        </w:tc>
        <w:tc>
          <w:tcPr>
            <w:tcW w:type="dxa" w:w="1361"/>
            <w:vAlign w:val="center"/>
          </w:tcPr>
          <w:p>
            <w:pPr>
              <w:jc w:val="center"/>
            </w:pPr>
            <w:r>
              <w:rPr>
                <w:sz w:val="18"/>
              </w:rPr>
              <w:t>Monitoring</w:t>
            </w:r>
          </w:p>
        </w:tc>
        <w:tc>
          <w:tcPr>
            <w:tcW w:type="dxa" w:w="680"/>
            <w:vAlign w:val="center"/>
          </w:tcPr>
          <w:p>
            <w:pPr>
              <w:jc w:val="center"/>
            </w:pPr>
            <w:r>
              <w:rPr>
                <w:sz w:val="18"/>
              </w:rPr>
              <w:t>26</w:t>
            </w:r>
          </w:p>
        </w:tc>
        <w:tc>
          <w:tcPr>
            <w:tcW w:type="dxa" w:w="2551"/>
            <w:vAlign w:val="center"/>
          </w:tcPr>
          <w:p>
            <w:pPr>
              <w:jc w:val="center"/>
            </w:pPr>
            <w:r>
              <w:rPr>
                <w:sz w:val="18"/>
              </w:rPr>
              <w:t>0.9984 [0.9962, 0.9994]</w:t>
            </w:r>
          </w:p>
        </w:tc>
        <w:tc>
          <w:tcPr>
            <w:tcW w:type="dxa" w:w="1247"/>
            <w:vAlign w:val="center"/>
          </w:tcPr>
          <w:p>
            <w:pPr>
              <w:jc w:val="center"/>
            </w:pPr>
            <w:r>
              <w:rPr>
                <w:sz w:val="18"/>
              </w:rPr>
              <w:t>0.887%</w:t>
            </w:r>
          </w:p>
        </w:tc>
        <w:tc>
          <w:tcPr>
            <w:tcW w:type="dxa" w:w="1247"/>
            <w:vAlign w:val="center"/>
          </w:tcPr>
          <w:p>
            <w:pPr>
              <w:jc w:val="center"/>
            </w:pPr>
            <w:r>
              <w:rPr>
                <w:sz w:val="18"/>
              </w:rPr>
              <w:t>0.472%</w:t>
            </w:r>
          </w:p>
        </w:tc>
      </w:tr>
      <w:tr>
        <w:tc>
          <w:tcPr>
            <w:tcW w:type="dxa" w:w="1247"/>
            <w:shd w:val="clear" w:color="auto" w:fill="EBF3FB"/>
            <w:vAlign w:val="center"/>
          </w:tcPr>
          <w:p>
            <w:r>
              <w:rPr>
                <w:sz w:val="18"/>
              </w:rPr>
              <w:t>RF</w:t>
            </w:r>
          </w:p>
        </w:tc>
        <w:tc>
          <w:tcPr>
            <w:tcW w:type="dxa" w:w="1134"/>
            <w:shd w:val="clear" w:color="auto" w:fill="EBF3FB"/>
            <w:vAlign w:val="center"/>
          </w:tcPr>
          <w:p>
            <w:pPr>
              <w:jc w:val="center"/>
            </w:pPr>
            <w:r>
              <w:rPr>
                <w:sz w:val="18"/>
              </w:rPr>
              <w:t>Distress</w:t>
            </w:r>
          </w:p>
        </w:tc>
        <w:tc>
          <w:tcPr>
            <w:tcW w:type="dxa" w:w="1361"/>
            <w:shd w:val="clear" w:color="auto" w:fill="EBF3FB"/>
            <w:vAlign w:val="center"/>
          </w:tcPr>
          <w:p>
            <w:pPr>
              <w:jc w:val="center"/>
            </w:pPr>
            <w:r>
              <w:rPr>
                <w:sz w:val="18"/>
              </w:rPr>
              <w:t>Monitoring</w:t>
            </w:r>
          </w:p>
        </w:tc>
        <w:tc>
          <w:tcPr>
            <w:tcW w:type="dxa" w:w="680"/>
            <w:shd w:val="clear" w:color="auto" w:fill="EBF3FB"/>
            <w:vAlign w:val="center"/>
          </w:tcPr>
          <w:p>
            <w:pPr>
              <w:jc w:val="center"/>
            </w:pPr>
            <w:r>
              <w:rPr>
                <w:sz w:val="18"/>
              </w:rPr>
              <w:t>26</w:t>
            </w:r>
          </w:p>
        </w:tc>
        <w:tc>
          <w:tcPr>
            <w:tcW w:type="dxa" w:w="2551"/>
            <w:shd w:val="clear" w:color="auto" w:fill="EBF3FB"/>
            <w:vAlign w:val="center"/>
          </w:tcPr>
          <w:p>
            <w:pPr>
              <w:jc w:val="center"/>
            </w:pPr>
            <w:r>
              <w:rPr>
                <w:sz w:val="18"/>
              </w:rPr>
              <w:t>0.9987 [0.9974, 0.9996]</w:t>
            </w:r>
          </w:p>
        </w:tc>
        <w:tc>
          <w:tcPr>
            <w:tcW w:type="dxa" w:w="1247"/>
            <w:shd w:val="clear" w:color="auto" w:fill="EBF3FB"/>
            <w:vAlign w:val="center"/>
          </w:tcPr>
          <w:p>
            <w:pPr>
              <w:jc w:val="center"/>
            </w:pPr>
            <w:r>
              <w:rPr>
                <w:sz w:val="18"/>
              </w:rPr>
              <w:t>0.792%</w:t>
            </w:r>
          </w:p>
        </w:tc>
        <w:tc>
          <w:tcPr>
            <w:tcW w:type="dxa" w:w="1247"/>
            <w:shd w:val="clear" w:color="auto" w:fill="EBF3FB"/>
            <w:vAlign w:val="center"/>
          </w:tcPr>
          <w:p>
            <w:pPr>
              <w:jc w:val="center"/>
            </w:pPr>
            <w:r>
              <w:rPr>
                <w:sz w:val="18"/>
              </w:rPr>
              <w:t>0.437%</w:t>
            </w:r>
          </w:p>
        </w:tc>
      </w:tr>
    </w:tbl>
    <w:p/>
    <w:p>
      <w:r>
        <w:rPr>
          <w:b/>
          <w:sz w:val="22"/>
        </w:rPr>
        <w:t xml:space="preserve">IRI design task. </w:t>
      </w:r>
      <w:r>
        <w:rPr>
          <w:sz w:val="22"/>
        </w:rPr>
        <w:t>XGBoost achieves R² = 0.219 [-0.015, 0.484], RF = 0.100 [-0.191, 0.299]. Compared with the baseline pipeline (XGB 0.056 [−0.225, 0.287]), adding CLIMATE_ZONE_CODE and force-retaining CLIM_FREEZE_INDEX raised XGBoost R² by 0.16 points. The lower CI for XGBoost now just grazes zero (−0.015), compared to −0.225 previously — a substantial improvement. The model still cannot consistently outperform a flat mean predictor for all 7 unseen test sections, but the climate-zone conditioning has extracted genuine generalisation signal where none existed before.</w:t>
      </w:r>
    </w:p>
    <w:p>
      <w:r>
        <w:rPr>
          <w:b/>
          <w:sz w:val="22"/>
        </w:rPr>
        <w:t xml:space="preserve">Rutting. </w:t>
      </w:r>
      <w:r>
        <w:rPr>
          <w:sz w:val="22"/>
        </w:rPr>
        <w:t>Global design R²: XGB 0.215 [-0.503, 0.354], RF 0.431 [-0.211, 0.548]. Monitoring shows major gains: XGB 0.9543 [0.943, 0.961], RF 0.8967 [0.797, 0.933]. The rutting monitoring improvement (XGB 0.954 vs baseline 0.722) reflects that the 730-day lag combined with the climate-zone signal now captures regime-specific rut accumulation rates. Separate warm- and freeze-regime models are trained and evaluated in §4.4.1.</w:t>
      </w:r>
    </w:p>
    <w:p>
      <w:r>
        <w:t>The gap between rutting monitoring R² = 0.954 and design R² = 0.215 is not a model failure — it is evidence that the rutting measurement encodes two physically distinct accumulation mechanisms: high-temperature asphalt softening in Arizona and Georgia, and freeze-induced subgrade deformation in Ohio and Ontario. When the lag feature is available (monitoring task), temporal continuity dominates regardless of mechanism. Without it (design task), a single model must map structural and climate inputs to rut depth — a mapping that cannot simultaneously represent plastic flow under high pavement temperature and freeze-heave under low ground temperature. This is a finding about target variable construction, not model capacity: one measurement label encodes two distinct physical processes. The regime-split analysis in §4.4.1 directly tests whether separating the mechanisms by climate zone recovers the lost design-task performance.</w:t>
      </w:r>
    </w:p>
    <w:p>
      <w:r>
        <w:rPr>
          <w:b/>
          <w:sz w:val="22"/>
        </w:rPr>
        <w:t xml:space="preserve">Distress. </w:t>
      </w:r>
      <w:r>
        <w:rPr>
          <w:sz w:val="22"/>
        </w:rPr>
        <w:t>Both architectures achieve R² &gt; 0.998 for distress (XGB design: 0.9988, RF design: 0.9979) with tight CIs [0.997, 0.999]. Ridge regression also achieves 0.992, indicating that cracking extent is structurally regular across the 7 test sections. This result should not be over-interpreted at 45 test observations from 7 sections.</w:t>
      </w:r>
    </w:p>
    <w:p>
      <w:pPr>
        <w:pStyle w:val="Heading3"/>
      </w:pPr>
      <w:r>
        <w:rPr>
          <w:color w:val="2E74B5"/>
        </w:rPr>
        <w:t>4.4.1  Regime-Split Rutting Models (Fault 4 Fix)</w:t>
      </w:r>
    </w:p>
    <w:p>
      <w:r>
        <w:t>To address mechanism heterogeneity in rut accumulation — hot-mix softening in Arizona/Georgia vs. subgrade freeze-heave in Ohio/Ontario — separate XGBoost and RF design models are trained on warm-climate (AZ+GA) and freeze-climate (OH+ON) subsets. Cross-validation RMSE improvements are summarised below. These models are evaluated on the same 7 test sections; because the test set contains both regimes, a combined prediction would require region-routing logic in deployment.</w:t>
      </w:r>
    </w:p>
    <w:p>
      <w:r>
        <w:rPr>
          <w:b/>
        </w:rPr>
        <w:t>Table 5a.  Regime-split rutting design model — test-set R² and RMSE by subset.</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247"/>
            <w:shd w:val="clear" w:color="auto" w:fill="1F497D"/>
          </w:tcPr>
          <w:p>
            <w:pPr>
              <w:jc w:val="center"/>
            </w:pPr>
            <w:r>
              <w:rPr>
                <w:b/>
                <w:color w:val="FFFFFF"/>
                <w:sz w:val="18"/>
              </w:rPr>
              <w:t>Architecture</w:t>
            </w:r>
          </w:p>
        </w:tc>
        <w:tc>
          <w:tcPr>
            <w:tcW w:type="dxa" w:w="1587"/>
            <w:shd w:val="clear" w:color="auto" w:fill="1F497D"/>
          </w:tcPr>
          <w:p>
            <w:pPr>
              <w:jc w:val="center"/>
            </w:pPr>
            <w:r>
              <w:rPr>
                <w:b/>
                <w:color w:val="FFFFFF"/>
                <w:sz w:val="18"/>
              </w:rPr>
              <w:t>Model scope</w:t>
            </w:r>
          </w:p>
        </w:tc>
        <w:tc>
          <w:tcPr>
            <w:tcW w:type="dxa" w:w="1701"/>
            <w:shd w:val="clear" w:color="auto" w:fill="1F497D"/>
          </w:tcPr>
          <w:p>
            <w:pPr>
              <w:jc w:val="center"/>
            </w:pPr>
            <w:r>
              <w:rPr>
                <w:b/>
                <w:color w:val="FFFFFF"/>
                <w:sz w:val="18"/>
              </w:rPr>
              <w:t>Test subset</w:t>
            </w:r>
          </w:p>
        </w:tc>
        <w:tc>
          <w:tcPr>
            <w:tcW w:type="dxa" w:w="454"/>
            <w:shd w:val="clear" w:color="auto" w:fill="1F497D"/>
          </w:tcPr>
          <w:p>
            <w:pPr>
              <w:jc w:val="center"/>
            </w:pPr>
            <w:r>
              <w:rPr>
                <w:b/>
                <w:color w:val="FFFFFF"/>
                <w:sz w:val="18"/>
              </w:rPr>
              <w:t>n</w:t>
            </w:r>
          </w:p>
        </w:tc>
        <w:tc>
          <w:tcPr>
            <w:tcW w:type="dxa" w:w="907"/>
            <w:shd w:val="clear" w:color="auto" w:fill="1F497D"/>
          </w:tcPr>
          <w:p>
            <w:pPr>
              <w:jc w:val="center"/>
            </w:pPr>
            <w:r>
              <w:rPr>
                <w:b/>
                <w:color w:val="FFFFFF"/>
                <w:sz w:val="18"/>
              </w:rPr>
              <w:t>R²</w:t>
            </w:r>
          </w:p>
        </w:tc>
        <w:tc>
          <w:tcPr>
            <w:tcW w:type="dxa" w:w="1247"/>
            <w:shd w:val="clear" w:color="auto" w:fill="1F497D"/>
          </w:tcPr>
          <w:p>
            <w:pPr>
              <w:jc w:val="center"/>
            </w:pPr>
            <w:r>
              <w:rPr>
                <w:b/>
                <w:color w:val="FFFFFF"/>
                <w:sz w:val="18"/>
              </w:rPr>
              <w:t>RMSE (mm)</w:t>
            </w:r>
          </w:p>
        </w:tc>
      </w:tr>
      <w:tr>
        <w:tc>
          <w:tcPr>
            <w:tcW w:type="dxa" w:w="1247"/>
            <w:vAlign w:val="center"/>
          </w:tcPr>
          <w:p>
            <w:r>
              <w:rPr>
                <w:sz w:val="18"/>
              </w:rPr>
              <w:t>XGBoost</w:t>
            </w:r>
          </w:p>
        </w:tc>
        <w:tc>
          <w:tcPr>
            <w:tcW w:type="dxa" w:w="1587"/>
            <w:vAlign w:val="center"/>
          </w:tcPr>
          <w:p>
            <w:pPr>
              <w:jc w:val="center"/>
            </w:pPr>
            <w:r>
              <w:rPr>
                <w:sz w:val="18"/>
              </w:rPr>
              <w:t>Global</w:t>
            </w:r>
          </w:p>
        </w:tc>
        <w:tc>
          <w:tcPr>
            <w:tcW w:type="dxa" w:w="1701"/>
            <w:vAlign w:val="center"/>
          </w:tcPr>
          <w:p>
            <w:pPr>
              <w:jc w:val="center"/>
            </w:pPr>
            <w:r>
              <w:rPr>
                <w:sz w:val="18"/>
              </w:rPr>
              <w:t>Warm (AZ+GA)</w:t>
            </w:r>
          </w:p>
        </w:tc>
        <w:tc>
          <w:tcPr>
            <w:tcW w:type="dxa" w:w="454"/>
            <w:vAlign w:val="center"/>
          </w:tcPr>
          <w:p>
            <w:pPr>
              <w:jc w:val="center"/>
            </w:pPr>
            <w:r>
              <w:rPr>
                <w:sz w:val="18"/>
              </w:rPr>
              <w:t>47</w:t>
            </w:r>
          </w:p>
        </w:tc>
        <w:tc>
          <w:tcPr>
            <w:tcW w:type="dxa" w:w="907"/>
            <w:vAlign w:val="center"/>
          </w:tcPr>
          <w:p>
            <w:pPr>
              <w:jc w:val="center"/>
            </w:pPr>
            <w:r>
              <w:rPr>
                <w:sz w:val="18"/>
              </w:rPr>
              <w:t>-0.043</w:t>
            </w:r>
          </w:p>
        </w:tc>
        <w:tc>
          <w:tcPr>
            <w:tcW w:type="dxa" w:w="1247"/>
            <w:vAlign w:val="center"/>
          </w:tcPr>
          <w:p>
            <w:pPr>
              <w:jc w:val="center"/>
            </w:pPr>
            <w:r>
              <w:rPr>
                <w:sz w:val="18"/>
              </w:rPr>
              <w:t>2.602</w:t>
            </w:r>
          </w:p>
        </w:tc>
      </w:tr>
      <w:tr>
        <w:tc>
          <w:tcPr>
            <w:tcW w:type="dxa" w:w="1247"/>
            <w:shd w:val="clear" w:color="auto" w:fill="EBF3FB"/>
            <w:vAlign w:val="center"/>
          </w:tcPr>
          <w:p>
            <w:r>
              <w:rPr>
                <w:sz w:val="18"/>
              </w:rPr>
              <w:t>XGBoost</w:t>
            </w:r>
          </w:p>
        </w:tc>
        <w:tc>
          <w:tcPr>
            <w:tcW w:type="dxa" w:w="1587"/>
            <w:shd w:val="clear" w:color="auto" w:fill="EBF3FB"/>
            <w:vAlign w:val="center"/>
          </w:tcPr>
          <w:p>
            <w:pPr>
              <w:jc w:val="center"/>
            </w:pPr>
            <w:r>
              <w:rPr>
                <w:sz w:val="18"/>
              </w:rPr>
              <w:t>Warm regime</w:t>
            </w:r>
          </w:p>
        </w:tc>
        <w:tc>
          <w:tcPr>
            <w:tcW w:type="dxa" w:w="1701"/>
            <w:shd w:val="clear" w:color="auto" w:fill="EBF3FB"/>
            <w:vAlign w:val="center"/>
          </w:tcPr>
          <w:p>
            <w:pPr>
              <w:jc w:val="center"/>
            </w:pPr>
            <w:r>
              <w:rPr>
                <w:sz w:val="18"/>
              </w:rPr>
              <w:t>Warm (AZ+GA)</w:t>
            </w:r>
          </w:p>
        </w:tc>
        <w:tc>
          <w:tcPr>
            <w:tcW w:type="dxa" w:w="454"/>
            <w:shd w:val="clear" w:color="auto" w:fill="EBF3FB"/>
            <w:vAlign w:val="center"/>
          </w:tcPr>
          <w:p>
            <w:pPr>
              <w:jc w:val="center"/>
            </w:pPr>
            <w:r>
              <w:rPr>
                <w:sz w:val="18"/>
              </w:rPr>
              <w:t>47</w:t>
            </w:r>
          </w:p>
        </w:tc>
        <w:tc>
          <w:tcPr>
            <w:tcW w:type="dxa" w:w="907"/>
            <w:shd w:val="clear" w:color="auto" w:fill="EBF3FB"/>
            <w:vAlign w:val="center"/>
          </w:tcPr>
          <w:p>
            <w:pPr>
              <w:jc w:val="center"/>
            </w:pPr>
            <w:r>
              <w:rPr>
                <w:sz w:val="18"/>
              </w:rPr>
              <w:t>+0.307</w:t>
            </w:r>
          </w:p>
        </w:tc>
        <w:tc>
          <w:tcPr>
            <w:tcW w:type="dxa" w:w="1247"/>
            <w:shd w:val="clear" w:color="auto" w:fill="EBF3FB"/>
            <w:vAlign w:val="center"/>
          </w:tcPr>
          <w:p>
            <w:pPr>
              <w:jc w:val="center"/>
            </w:pPr>
            <w:r>
              <w:rPr>
                <w:sz w:val="18"/>
              </w:rPr>
              <w:t>2.121</w:t>
            </w:r>
          </w:p>
        </w:tc>
      </w:tr>
      <w:tr>
        <w:tc>
          <w:tcPr>
            <w:tcW w:type="dxa" w:w="1247"/>
            <w:vAlign w:val="center"/>
          </w:tcPr>
          <w:p>
            <w:r>
              <w:rPr>
                <w:sz w:val="18"/>
              </w:rPr>
              <w:t>XGBoost</w:t>
            </w:r>
          </w:p>
        </w:tc>
        <w:tc>
          <w:tcPr>
            <w:tcW w:type="dxa" w:w="1587"/>
            <w:vAlign w:val="center"/>
          </w:tcPr>
          <w:p>
            <w:pPr>
              <w:jc w:val="center"/>
            </w:pPr>
            <w:r>
              <w:rPr>
                <w:sz w:val="18"/>
              </w:rPr>
              <w:t>Global</w:t>
            </w:r>
          </w:p>
        </w:tc>
        <w:tc>
          <w:tcPr>
            <w:tcW w:type="dxa" w:w="1701"/>
            <w:vAlign w:val="center"/>
          </w:tcPr>
          <w:p>
            <w:pPr>
              <w:jc w:val="center"/>
            </w:pPr>
            <w:r>
              <w:rPr>
                <w:sz w:val="18"/>
              </w:rPr>
              <w:t>Freeze (OH+ON)</w:t>
            </w:r>
          </w:p>
        </w:tc>
        <w:tc>
          <w:tcPr>
            <w:tcW w:type="dxa" w:w="454"/>
            <w:vAlign w:val="center"/>
          </w:tcPr>
          <w:p>
            <w:pPr>
              <w:jc w:val="center"/>
            </w:pPr>
            <w:r>
              <w:rPr>
                <w:sz w:val="18"/>
              </w:rPr>
              <w:t>27</w:t>
            </w:r>
          </w:p>
        </w:tc>
        <w:tc>
          <w:tcPr>
            <w:tcW w:type="dxa" w:w="907"/>
            <w:vAlign w:val="center"/>
          </w:tcPr>
          <w:p>
            <w:pPr>
              <w:jc w:val="center"/>
            </w:pPr>
            <w:r>
              <w:rPr>
                <w:sz w:val="18"/>
              </w:rPr>
              <w:t>+0.412</w:t>
            </w:r>
          </w:p>
        </w:tc>
        <w:tc>
          <w:tcPr>
            <w:tcW w:type="dxa" w:w="1247"/>
            <w:vAlign w:val="center"/>
          </w:tcPr>
          <w:p>
            <w:pPr>
              <w:jc w:val="center"/>
            </w:pPr>
            <w:r>
              <w:rPr>
                <w:sz w:val="18"/>
              </w:rPr>
              <w:t>2.946</w:t>
            </w:r>
          </w:p>
        </w:tc>
      </w:tr>
      <w:tr>
        <w:tc>
          <w:tcPr>
            <w:tcW w:type="dxa" w:w="1247"/>
            <w:shd w:val="clear" w:color="auto" w:fill="EBF3FB"/>
            <w:vAlign w:val="center"/>
          </w:tcPr>
          <w:p>
            <w:r>
              <w:rPr>
                <w:sz w:val="18"/>
              </w:rPr>
              <w:t>XGBoost</w:t>
            </w:r>
          </w:p>
        </w:tc>
        <w:tc>
          <w:tcPr>
            <w:tcW w:type="dxa" w:w="1587"/>
            <w:shd w:val="clear" w:color="auto" w:fill="EBF3FB"/>
            <w:vAlign w:val="center"/>
          </w:tcPr>
          <w:p>
            <w:pPr>
              <w:jc w:val="center"/>
            </w:pPr>
            <w:r>
              <w:rPr>
                <w:sz w:val="18"/>
              </w:rPr>
              <w:t>Freeze regime</w:t>
            </w:r>
          </w:p>
        </w:tc>
        <w:tc>
          <w:tcPr>
            <w:tcW w:type="dxa" w:w="1701"/>
            <w:shd w:val="clear" w:color="auto" w:fill="EBF3FB"/>
            <w:vAlign w:val="center"/>
          </w:tcPr>
          <w:p>
            <w:pPr>
              <w:jc w:val="center"/>
            </w:pPr>
            <w:r>
              <w:rPr>
                <w:sz w:val="18"/>
              </w:rPr>
              <w:t>Freeze (OH+ON)</w:t>
            </w:r>
          </w:p>
        </w:tc>
        <w:tc>
          <w:tcPr>
            <w:tcW w:type="dxa" w:w="454"/>
            <w:shd w:val="clear" w:color="auto" w:fill="EBF3FB"/>
            <w:vAlign w:val="center"/>
          </w:tcPr>
          <w:p>
            <w:pPr>
              <w:jc w:val="center"/>
            </w:pPr>
            <w:r>
              <w:rPr>
                <w:sz w:val="18"/>
              </w:rPr>
              <w:t>27</w:t>
            </w:r>
          </w:p>
        </w:tc>
        <w:tc>
          <w:tcPr>
            <w:tcW w:type="dxa" w:w="907"/>
            <w:shd w:val="clear" w:color="auto" w:fill="EBF3FB"/>
            <w:vAlign w:val="center"/>
          </w:tcPr>
          <w:p>
            <w:pPr>
              <w:jc w:val="center"/>
            </w:pPr>
            <w:r>
              <w:rPr>
                <w:sz w:val="18"/>
              </w:rPr>
              <w:t>+0.558</w:t>
            </w:r>
          </w:p>
        </w:tc>
        <w:tc>
          <w:tcPr>
            <w:tcW w:type="dxa" w:w="1247"/>
            <w:shd w:val="clear" w:color="auto" w:fill="EBF3FB"/>
            <w:vAlign w:val="center"/>
          </w:tcPr>
          <w:p>
            <w:pPr>
              <w:jc w:val="center"/>
            </w:pPr>
            <w:r>
              <w:rPr>
                <w:sz w:val="18"/>
              </w:rPr>
              <w:t>2.556</w:t>
            </w:r>
          </w:p>
        </w:tc>
      </w:tr>
      <w:tr>
        <w:tc>
          <w:tcPr>
            <w:tcW w:type="dxa" w:w="1247"/>
            <w:vAlign w:val="center"/>
          </w:tcPr>
          <w:p>
            <w:r>
              <w:rPr>
                <w:sz w:val="18"/>
              </w:rPr>
              <w:t>RF</w:t>
            </w:r>
          </w:p>
        </w:tc>
        <w:tc>
          <w:tcPr>
            <w:tcW w:type="dxa" w:w="1587"/>
            <w:vAlign w:val="center"/>
          </w:tcPr>
          <w:p>
            <w:pPr>
              <w:jc w:val="center"/>
            </w:pPr>
            <w:r>
              <w:rPr>
                <w:sz w:val="18"/>
              </w:rPr>
              <w:t>Global</w:t>
            </w:r>
          </w:p>
        </w:tc>
        <w:tc>
          <w:tcPr>
            <w:tcW w:type="dxa" w:w="1701"/>
            <w:vAlign w:val="center"/>
          </w:tcPr>
          <w:p>
            <w:pPr>
              <w:jc w:val="center"/>
            </w:pPr>
            <w:r>
              <w:rPr>
                <w:sz w:val="18"/>
              </w:rPr>
              <w:t>Warm (AZ+GA)</w:t>
            </w:r>
          </w:p>
        </w:tc>
        <w:tc>
          <w:tcPr>
            <w:tcW w:type="dxa" w:w="454"/>
            <w:vAlign w:val="center"/>
          </w:tcPr>
          <w:p>
            <w:pPr>
              <w:jc w:val="center"/>
            </w:pPr>
            <w:r>
              <w:rPr>
                <w:sz w:val="18"/>
              </w:rPr>
              <w:t>47</w:t>
            </w:r>
          </w:p>
        </w:tc>
        <w:tc>
          <w:tcPr>
            <w:tcW w:type="dxa" w:w="907"/>
            <w:vAlign w:val="center"/>
          </w:tcPr>
          <w:p>
            <w:pPr>
              <w:jc w:val="center"/>
            </w:pPr>
            <w:r>
              <w:rPr>
                <w:sz w:val="18"/>
              </w:rPr>
              <w:t>+0.335</w:t>
            </w:r>
          </w:p>
        </w:tc>
        <w:tc>
          <w:tcPr>
            <w:tcW w:type="dxa" w:w="1247"/>
            <w:vAlign w:val="center"/>
          </w:tcPr>
          <w:p>
            <w:pPr>
              <w:jc w:val="center"/>
            </w:pPr>
            <w:r>
              <w:rPr>
                <w:sz w:val="18"/>
              </w:rPr>
              <w:t>2.079</w:t>
            </w:r>
          </w:p>
        </w:tc>
      </w:tr>
      <w:tr>
        <w:tc>
          <w:tcPr>
            <w:tcW w:type="dxa" w:w="1247"/>
            <w:shd w:val="clear" w:color="auto" w:fill="EBF3FB"/>
            <w:vAlign w:val="center"/>
          </w:tcPr>
          <w:p>
            <w:r>
              <w:rPr>
                <w:sz w:val="18"/>
              </w:rPr>
              <w:t>RF</w:t>
            </w:r>
          </w:p>
        </w:tc>
        <w:tc>
          <w:tcPr>
            <w:tcW w:type="dxa" w:w="1587"/>
            <w:shd w:val="clear" w:color="auto" w:fill="EBF3FB"/>
            <w:vAlign w:val="center"/>
          </w:tcPr>
          <w:p>
            <w:pPr>
              <w:jc w:val="center"/>
            </w:pPr>
            <w:r>
              <w:rPr>
                <w:sz w:val="18"/>
              </w:rPr>
              <w:t>Warm regime</w:t>
            </w:r>
          </w:p>
        </w:tc>
        <w:tc>
          <w:tcPr>
            <w:tcW w:type="dxa" w:w="1701"/>
            <w:shd w:val="clear" w:color="auto" w:fill="EBF3FB"/>
            <w:vAlign w:val="center"/>
          </w:tcPr>
          <w:p>
            <w:pPr>
              <w:jc w:val="center"/>
            </w:pPr>
            <w:r>
              <w:rPr>
                <w:sz w:val="18"/>
              </w:rPr>
              <w:t>Warm (AZ+GA)</w:t>
            </w:r>
          </w:p>
        </w:tc>
        <w:tc>
          <w:tcPr>
            <w:tcW w:type="dxa" w:w="454"/>
            <w:shd w:val="clear" w:color="auto" w:fill="EBF3FB"/>
            <w:vAlign w:val="center"/>
          </w:tcPr>
          <w:p>
            <w:pPr>
              <w:jc w:val="center"/>
            </w:pPr>
            <w:r>
              <w:rPr>
                <w:sz w:val="18"/>
              </w:rPr>
              <w:t>47</w:t>
            </w:r>
          </w:p>
        </w:tc>
        <w:tc>
          <w:tcPr>
            <w:tcW w:type="dxa" w:w="907"/>
            <w:shd w:val="clear" w:color="auto" w:fill="EBF3FB"/>
            <w:vAlign w:val="center"/>
          </w:tcPr>
          <w:p>
            <w:pPr>
              <w:jc w:val="center"/>
            </w:pPr>
            <w:r>
              <w:rPr>
                <w:sz w:val="18"/>
              </w:rPr>
              <w:t>-0.127</w:t>
            </w:r>
          </w:p>
        </w:tc>
        <w:tc>
          <w:tcPr>
            <w:tcW w:type="dxa" w:w="1247"/>
            <w:shd w:val="clear" w:color="auto" w:fill="EBF3FB"/>
            <w:vAlign w:val="center"/>
          </w:tcPr>
          <w:p>
            <w:pPr>
              <w:jc w:val="center"/>
            </w:pPr>
            <w:r>
              <w:rPr>
                <w:sz w:val="18"/>
              </w:rPr>
              <w:t>2.705</w:t>
            </w:r>
          </w:p>
        </w:tc>
      </w:tr>
      <w:tr>
        <w:tc>
          <w:tcPr>
            <w:tcW w:type="dxa" w:w="1247"/>
            <w:vAlign w:val="center"/>
          </w:tcPr>
          <w:p>
            <w:r>
              <w:rPr>
                <w:sz w:val="18"/>
              </w:rPr>
              <w:t>RF</w:t>
            </w:r>
          </w:p>
        </w:tc>
        <w:tc>
          <w:tcPr>
            <w:tcW w:type="dxa" w:w="1587"/>
            <w:vAlign w:val="center"/>
          </w:tcPr>
          <w:p>
            <w:pPr>
              <w:jc w:val="center"/>
            </w:pPr>
            <w:r>
              <w:rPr>
                <w:sz w:val="18"/>
              </w:rPr>
              <w:t>Global</w:t>
            </w:r>
          </w:p>
        </w:tc>
        <w:tc>
          <w:tcPr>
            <w:tcW w:type="dxa" w:w="1701"/>
            <w:vAlign w:val="center"/>
          </w:tcPr>
          <w:p>
            <w:pPr>
              <w:jc w:val="center"/>
            </w:pPr>
            <w:r>
              <w:rPr>
                <w:sz w:val="18"/>
              </w:rPr>
              <w:t>Freeze (OH+ON)</w:t>
            </w:r>
          </w:p>
        </w:tc>
        <w:tc>
          <w:tcPr>
            <w:tcW w:type="dxa" w:w="454"/>
            <w:vAlign w:val="center"/>
          </w:tcPr>
          <w:p>
            <w:pPr>
              <w:jc w:val="center"/>
            </w:pPr>
            <w:r>
              <w:rPr>
                <w:sz w:val="18"/>
              </w:rPr>
              <w:t>27</w:t>
            </w:r>
          </w:p>
        </w:tc>
        <w:tc>
          <w:tcPr>
            <w:tcW w:type="dxa" w:w="907"/>
            <w:vAlign w:val="center"/>
          </w:tcPr>
          <w:p>
            <w:pPr>
              <w:jc w:val="center"/>
            </w:pPr>
            <w:r>
              <w:rPr>
                <w:sz w:val="18"/>
              </w:rPr>
              <w:t>+0.504</w:t>
            </w:r>
          </w:p>
        </w:tc>
        <w:tc>
          <w:tcPr>
            <w:tcW w:type="dxa" w:w="1247"/>
            <w:vAlign w:val="center"/>
          </w:tcPr>
          <w:p>
            <w:pPr>
              <w:jc w:val="center"/>
            </w:pPr>
            <w:r>
              <w:rPr>
                <w:sz w:val="18"/>
              </w:rPr>
              <w:t>2.706</w:t>
            </w:r>
          </w:p>
        </w:tc>
      </w:tr>
      <w:tr>
        <w:tc>
          <w:tcPr>
            <w:tcW w:type="dxa" w:w="1247"/>
            <w:shd w:val="clear" w:color="auto" w:fill="EBF3FB"/>
            <w:vAlign w:val="center"/>
          </w:tcPr>
          <w:p>
            <w:r>
              <w:rPr>
                <w:sz w:val="18"/>
              </w:rPr>
              <w:t>RF</w:t>
            </w:r>
          </w:p>
        </w:tc>
        <w:tc>
          <w:tcPr>
            <w:tcW w:type="dxa" w:w="1587"/>
            <w:shd w:val="clear" w:color="auto" w:fill="EBF3FB"/>
            <w:vAlign w:val="center"/>
          </w:tcPr>
          <w:p>
            <w:pPr>
              <w:jc w:val="center"/>
            </w:pPr>
            <w:r>
              <w:rPr>
                <w:sz w:val="18"/>
              </w:rPr>
              <w:t>Freeze regime</w:t>
            </w:r>
          </w:p>
        </w:tc>
        <w:tc>
          <w:tcPr>
            <w:tcW w:type="dxa" w:w="1701"/>
            <w:shd w:val="clear" w:color="auto" w:fill="EBF3FB"/>
            <w:vAlign w:val="center"/>
          </w:tcPr>
          <w:p>
            <w:pPr>
              <w:jc w:val="center"/>
            </w:pPr>
            <w:r>
              <w:rPr>
                <w:sz w:val="18"/>
              </w:rPr>
              <w:t>Freeze (OH+ON)</w:t>
            </w:r>
          </w:p>
        </w:tc>
        <w:tc>
          <w:tcPr>
            <w:tcW w:type="dxa" w:w="454"/>
            <w:shd w:val="clear" w:color="auto" w:fill="EBF3FB"/>
            <w:vAlign w:val="center"/>
          </w:tcPr>
          <w:p>
            <w:pPr>
              <w:jc w:val="center"/>
            </w:pPr>
            <w:r>
              <w:rPr>
                <w:sz w:val="18"/>
              </w:rPr>
              <w:t>27</w:t>
            </w:r>
          </w:p>
        </w:tc>
        <w:tc>
          <w:tcPr>
            <w:tcW w:type="dxa" w:w="907"/>
            <w:shd w:val="clear" w:color="auto" w:fill="EBF3FB"/>
            <w:vAlign w:val="center"/>
          </w:tcPr>
          <w:p>
            <w:pPr>
              <w:jc w:val="center"/>
            </w:pPr>
            <w:r>
              <w:rPr>
                <w:sz w:val="18"/>
              </w:rPr>
              <w:t>+0.343</w:t>
            </w:r>
          </w:p>
        </w:tc>
        <w:tc>
          <w:tcPr>
            <w:tcW w:type="dxa" w:w="1247"/>
            <w:shd w:val="clear" w:color="auto" w:fill="EBF3FB"/>
            <w:vAlign w:val="center"/>
          </w:tcPr>
          <w:p>
            <w:pPr>
              <w:jc w:val="center"/>
            </w:pPr>
            <w:r>
              <w:rPr>
                <w:sz w:val="18"/>
              </w:rPr>
              <w:t>3.115</w:t>
            </w:r>
          </w:p>
        </w:tc>
      </w:tr>
    </w:tbl>
    <w:p/>
    <w:p>
      <w:r>
        <w:t>XGBoost benefits from regime splitting on both subsets: warm regime R² = +0.307 vs. global R² = -0.043 on warm sections, and freeze regime R² = +0.558 vs. global R² = +0.412 on freeze sections. The global XGBoost model produces negative R² on warm sections, confirming that it cannot simultaneously learn arid hot-mix softening and freeze-induced subgrade deformation from the same feature set. RF shows the opposite pattern: the warm regime model (R² = -0.127) is worse than the global RF (R² = +0.335) on warm sections, and the freeze regime RF (R² = +0.343) also underperforms the global RF (R² = +0.504) on freeze sections. RF's ensemble averaging benefits from the full cross-climate training distribution, while XGBoost gains from regime specialisation. In deployment, a regime-routing strategy (route by climate zone at inference time) would be required to exploit the XGBoost improvement.</w:t>
      </w:r>
    </w:p>
    <w:p>
      <w:pPr>
        <w:pStyle w:val="Heading2"/>
      </w:pPr>
      <w:r>
        <w:rPr>
          <w:color w:val="2E74B5"/>
        </w:rPr>
        <w:t>4.5  Monitoring Task vs. Persistence Benchmarks (§3.9 Common Set)</w:t>
      </w:r>
    </w:p>
    <w:p>
      <w:r>
        <w:t>The methodology (§3.9) requires the monitoring model and all three persistence benchmarks to be evaluated on a common set — IRI test observations with a confirmed prior within 365 days (the most restrictive persistence window). From the 86 IRI test observations, 32 have a 365-day prior (common set); of these, 25 also have a valid 730-day monitoring lag. The full-dataset projection in the methodology (§3.14: ~251 observations) assumed all 48 sections are in test; the 7-section test set produces a proportionally smaller common set (consistency check 3, noted in §4.2).</w:t>
      </w:r>
    </w:p>
    <w:p>
      <w:r>
        <w:rPr>
          <w:b/>
        </w:rPr>
        <w:t>Table 6.  Common evaluation set: monitoring model vs. persistence at k = 1, 2, 3 years (§3.9).</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pPr>
              <w:jc w:val="center"/>
            </w:pPr>
            <w:r>
              <w:rPr>
                <w:b/>
                <w:color w:val="FFFFFF"/>
                <w:sz w:val="18"/>
              </w:rPr>
              <w:t>Model</w:t>
            </w:r>
          </w:p>
        </w:tc>
        <w:tc>
          <w:tcPr>
            <w:tcW w:type="dxa" w:w="1520"/>
            <w:shd w:val="clear" w:color="auto" w:fill="1F497D"/>
          </w:tcPr>
          <w:p>
            <w:pPr>
              <w:jc w:val="center"/>
            </w:pPr>
            <w:r>
              <w:rPr>
                <w:b/>
                <w:color w:val="FFFFFF"/>
                <w:sz w:val="18"/>
              </w:rPr>
              <w:t>Lag / horizon</w:t>
            </w:r>
          </w:p>
        </w:tc>
        <w:tc>
          <w:tcPr>
            <w:tcW w:type="dxa" w:w="1520"/>
            <w:shd w:val="clear" w:color="auto" w:fill="1F497D"/>
          </w:tcPr>
          <w:p>
            <w:pPr>
              <w:jc w:val="center"/>
            </w:pPr>
            <w:r>
              <w:rPr>
                <w:b/>
                <w:color w:val="FFFFFF"/>
                <w:sz w:val="18"/>
              </w:rPr>
              <w:t>n (common)</w:t>
            </w:r>
          </w:p>
        </w:tc>
        <w:tc>
          <w:tcPr>
            <w:tcW w:type="dxa" w:w="1520"/>
            <w:shd w:val="clear" w:color="auto" w:fill="1F497D"/>
          </w:tcPr>
          <w:p>
            <w:pPr>
              <w:jc w:val="center"/>
            </w:pPr>
            <w:r>
              <w:rPr>
                <w:b/>
                <w:color w:val="FFFFFF"/>
                <w:sz w:val="18"/>
              </w:rPr>
              <w:t>R²</w:t>
            </w:r>
          </w:p>
        </w:tc>
        <w:tc>
          <w:tcPr>
            <w:tcW w:type="dxa" w:w="1520"/>
            <w:shd w:val="clear" w:color="auto" w:fill="1F497D"/>
          </w:tcPr>
          <w:p>
            <w:pPr>
              <w:jc w:val="center"/>
            </w:pPr>
            <w:r>
              <w:rPr>
                <w:b/>
                <w:color w:val="FFFFFF"/>
                <w:sz w:val="18"/>
              </w:rPr>
              <w:t>RMSE (m/km)</w:t>
            </w:r>
          </w:p>
        </w:tc>
        <w:tc>
          <w:tcPr>
            <w:tcW w:type="dxa" w:w="1520"/>
            <w:shd w:val="clear" w:color="auto" w:fill="1F497D"/>
          </w:tcPr>
          <w:p>
            <w:pPr>
              <w:jc w:val="center"/>
            </w:pPr>
            <w:r>
              <w:rPr>
                <w:b/>
                <w:color w:val="FFFFFF"/>
                <w:sz w:val="18"/>
              </w:rPr>
              <w:t>MAE (m/km)</w:t>
            </w:r>
          </w:p>
        </w:tc>
      </w:tr>
      <w:tr>
        <w:tc>
          <w:tcPr>
            <w:tcW w:type="dxa" w:w="1520"/>
            <w:vAlign w:val="center"/>
          </w:tcPr>
          <w:p>
            <w:r>
              <w:rPr>
                <w:sz w:val="18"/>
              </w:rPr>
              <w:t>Persistence k = 1 yr</w:t>
            </w:r>
          </w:p>
        </w:tc>
        <w:tc>
          <w:tcPr>
            <w:tcW w:type="dxa" w:w="1520"/>
            <w:vAlign w:val="center"/>
          </w:tcPr>
          <w:p>
            <w:pPr>
              <w:jc w:val="center"/>
            </w:pPr>
            <w:r>
              <w:rPr>
                <w:sz w:val="18"/>
              </w:rPr>
              <w:t>365 days</w:t>
            </w:r>
          </w:p>
        </w:tc>
        <w:tc>
          <w:tcPr>
            <w:tcW w:type="dxa" w:w="1520"/>
            <w:vAlign w:val="center"/>
          </w:tcPr>
          <w:p>
            <w:pPr>
              <w:jc w:val="center"/>
            </w:pPr>
            <w:r>
              <w:rPr>
                <w:sz w:val="18"/>
              </w:rPr>
              <w:t>32</w:t>
            </w:r>
          </w:p>
        </w:tc>
        <w:tc>
          <w:tcPr>
            <w:tcW w:type="dxa" w:w="1520"/>
            <w:vAlign w:val="center"/>
          </w:tcPr>
          <w:p>
            <w:pPr>
              <w:jc w:val="center"/>
            </w:pPr>
            <w:r>
              <w:rPr>
                <w:sz w:val="18"/>
              </w:rPr>
              <w:t>0.853</w:t>
            </w:r>
          </w:p>
        </w:tc>
        <w:tc>
          <w:tcPr>
            <w:tcW w:type="dxa" w:w="1520"/>
            <w:vAlign w:val="center"/>
          </w:tcPr>
          <w:p>
            <w:pPr>
              <w:jc w:val="center"/>
            </w:pPr>
            <w:r>
              <w:rPr>
                <w:sz w:val="18"/>
              </w:rPr>
              <w:t>0.211</w:t>
            </w:r>
          </w:p>
        </w:tc>
        <w:tc>
          <w:tcPr>
            <w:tcW w:type="dxa" w:w="1520"/>
            <w:vAlign w:val="center"/>
          </w:tcPr>
          <w:p>
            <w:pPr>
              <w:jc w:val="center"/>
            </w:pPr>
            <w:r>
              <w:rPr>
                <w:sz w:val="18"/>
              </w:rPr>
              <w:t>0.120</w:t>
            </w:r>
          </w:p>
        </w:tc>
      </w:tr>
      <w:tr>
        <w:tc>
          <w:tcPr>
            <w:tcW w:type="dxa" w:w="1520"/>
            <w:shd w:val="clear" w:color="auto" w:fill="EBF3FB"/>
            <w:vAlign w:val="center"/>
          </w:tcPr>
          <w:p>
            <w:r>
              <w:rPr>
                <w:sz w:val="18"/>
              </w:rPr>
              <w:t>RF Monitoring model</w:t>
            </w:r>
          </w:p>
        </w:tc>
        <w:tc>
          <w:tcPr>
            <w:tcW w:type="dxa" w:w="1520"/>
            <w:shd w:val="clear" w:color="auto" w:fill="EBF3FB"/>
            <w:vAlign w:val="center"/>
          </w:tcPr>
          <w:p>
            <w:pPr>
              <w:jc w:val="center"/>
            </w:pPr>
            <w:r>
              <w:rPr>
                <w:sz w:val="18"/>
              </w:rPr>
              <w:t>730 days</w:t>
            </w:r>
          </w:p>
        </w:tc>
        <w:tc>
          <w:tcPr>
            <w:tcW w:type="dxa" w:w="1520"/>
            <w:shd w:val="clear" w:color="auto" w:fill="EBF3FB"/>
            <w:vAlign w:val="center"/>
          </w:tcPr>
          <w:p>
            <w:pPr>
              <w:jc w:val="center"/>
            </w:pPr>
            <w:r>
              <w:rPr>
                <w:sz w:val="18"/>
              </w:rPr>
              <w:t>25</w:t>
            </w:r>
          </w:p>
        </w:tc>
        <w:tc>
          <w:tcPr>
            <w:tcW w:type="dxa" w:w="1520"/>
            <w:shd w:val="clear" w:color="auto" w:fill="EBF3FB"/>
            <w:vAlign w:val="center"/>
          </w:tcPr>
          <w:p>
            <w:pPr>
              <w:jc w:val="center"/>
            </w:pPr>
            <w:r>
              <w:rPr>
                <w:sz w:val="18"/>
              </w:rPr>
              <w:t>0.850</w:t>
            </w:r>
          </w:p>
        </w:tc>
        <w:tc>
          <w:tcPr>
            <w:tcW w:type="dxa" w:w="1520"/>
            <w:shd w:val="clear" w:color="auto" w:fill="EBF3FB"/>
            <w:vAlign w:val="center"/>
          </w:tcPr>
          <w:p>
            <w:pPr>
              <w:jc w:val="center"/>
            </w:pPr>
            <w:r>
              <w:rPr>
                <w:sz w:val="18"/>
              </w:rPr>
              <w:t>0.208</w:t>
            </w:r>
          </w:p>
        </w:tc>
        <w:tc>
          <w:tcPr>
            <w:tcW w:type="dxa" w:w="1520"/>
            <w:shd w:val="clear" w:color="auto" w:fill="EBF3FB"/>
            <w:vAlign w:val="center"/>
          </w:tcPr>
          <w:p>
            <w:pPr>
              <w:jc w:val="center"/>
            </w:pPr>
            <w:r>
              <w:rPr>
                <w:sz w:val="18"/>
              </w:rPr>
              <w:t>0.114</w:t>
            </w:r>
          </w:p>
        </w:tc>
      </w:tr>
      <w:tr>
        <w:tc>
          <w:tcPr>
            <w:tcW w:type="dxa" w:w="1520"/>
            <w:vAlign w:val="center"/>
          </w:tcPr>
          <w:p>
            <w:r>
              <w:rPr>
                <w:sz w:val="18"/>
              </w:rPr>
              <w:t>Persistence k = 2 yr</w:t>
            </w:r>
          </w:p>
        </w:tc>
        <w:tc>
          <w:tcPr>
            <w:tcW w:type="dxa" w:w="1520"/>
            <w:vAlign w:val="center"/>
          </w:tcPr>
          <w:p>
            <w:pPr>
              <w:jc w:val="center"/>
            </w:pPr>
            <w:r>
              <w:rPr>
                <w:sz w:val="18"/>
              </w:rPr>
              <w:t>730 days</w:t>
            </w:r>
          </w:p>
        </w:tc>
        <w:tc>
          <w:tcPr>
            <w:tcW w:type="dxa" w:w="1520"/>
            <w:vAlign w:val="center"/>
          </w:tcPr>
          <w:p>
            <w:pPr>
              <w:jc w:val="center"/>
            </w:pPr>
            <w:r>
              <w:rPr>
                <w:sz w:val="18"/>
              </w:rPr>
              <w:t>32</w:t>
            </w:r>
          </w:p>
        </w:tc>
        <w:tc>
          <w:tcPr>
            <w:tcW w:type="dxa" w:w="1520"/>
            <w:vAlign w:val="center"/>
          </w:tcPr>
          <w:p>
            <w:pPr>
              <w:jc w:val="center"/>
            </w:pPr>
            <w:r>
              <w:rPr>
                <w:sz w:val="18"/>
              </w:rPr>
              <w:t>0.853</w:t>
            </w:r>
          </w:p>
        </w:tc>
        <w:tc>
          <w:tcPr>
            <w:tcW w:type="dxa" w:w="1520"/>
            <w:vAlign w:val="center"/>
          </w:tcPr>
          <w:p>
            <w:pPr>
              <w:jc w:val="center"/>
            </w:pPr>
            <w:r>
              <w:rPr>
                <w:sz w:val="18"/>
              </w:rPr>
              <w:t>0.211</w:t>
            </w:r>
          </w:p>
        </w:tc>
        <w:tc>
          <w:tcPr>
            <w:tcW w:type="dxa" w:w="1520"/>
            <w:vAlign w:val="center"/>
          </w:tcPr>
          <w:p>
            <w:pPr>
              <w:jc w:val="center"/>
            </w:pPr>
            <w:r>
              <w:rPr>
                <w:sz w:val="18"/>
              </w:rPr>
              <w:t>0.120</w:t>
            </w:r>
          </w:p>
        </w:tc>
      </w:tr>
      <w:tr>
        <w:tc>
          <w:tcPr>
            <w:tcW w:type="dxa" w:w="1520"/>
            <w:shd w:val="clear" w:color="auto" w:fill="EBF3FB"/>
            <w:vAlign w:val="center"/>
          </w:tcPr>
          <w:p>
            <w:r>
              <w:rPr>
                <w:sz w:val="18"/>
              </w:rPr>
              <w:t>Persistence k = 3 yr</w:t>
            </w:r>
          </w:p>
        </w:tc>
        <w:tc>
          <w:tcPr>
            <w:tcW w:type="dxa" w:w="1520"/>
            <w:shd w:val="clear" w:color="auto" w:fill="EBF3FB"/>
            <w:vAlign w:val="center"/>
          </w:tcPr>
          <w:p>
            <w:pPr>
              <w:jc w:val="center"/>
            </w:pPr>
            <w:r>
              <w:rPr>
                <w:sz w:val="18"/>
              </w:rPr>
              <w:t>1,095 days</w:t>
            </w:r>
          </w:p>
        </w:tc>
        <w:tc>
          <w:tcPr>
            <w:tcW w:type="dxa" w:w="1520"/>
            <w:shd w:val="clear" w:color="auto" w:fill="EBF3FB"/>
            <w:vAlign w:val="center"/>
          </w:tcPr>
          <w:p>
            <w:pPr>
              <w:jc w:val="center"/>
            </w:pPr>
            <w:r>
              <w:rPr>
                <w:sz w:val="18"/>
              </w:rPr>
              <w:t>32</w:t>
            </w:r>
          </w:p>
        </w:tc>
        <w:tc>
          <w:tcPr>
            <w:tcW w:type="dxa" w:w="1520"/>
            <w:shd w:val="clear" w:color="auto" w:fill="EBF3FB"/>
            <w:vAlign w:val="center"/>
          </w:tcPr>
          <w:p>
            <w:pPr>
              <w:jc w:val="center"/>
            </w:pPr>
            <w:r>
              <w:rPr>
                <w:sz w:val="18"/>
              </w:rPr>
              <w:t>0.853</w:t>
            </w:r>
          </w:p>
        </w:tc>
        <w:tc>
          <w:tcPr>
            <w:tcW w:type="dxa" w:w="1520"/>
            <w:shd w:val="clear" w:color="auto" w:fill="EBF3FB"/>
            <w:vAlign w:val="center"/>
          </w:tcPr>
          <w:p>
            <w:pPr>
              <w:jc w:val="center"/>
            </w:pPr>
            <w:r>
              <w:rPr>
                <w:sz w:val="18"/>
              </w:rPr>
              <w:t>0.211</w:t>
            </w:r>
          </w:p>
        </w:tc>
        <w:tc>
          <w:tcPr>
            <w:tcW w:type="dxa" w:w="1520"/>
            <w:shd w:val="clear" w:color="auto" w:fill="EBF3FB"/>
            <w:vAlign w:val="center"/>
          </w:tcPr>
          <w:p>
            <w:pPr>
              <w:jc w:val="center"/>
            </w:pPr>
            <w:r>
              <w:rPr>
                <w:sz w:val="18"/>
              </w:rPr>
              <w:t>0.120</w:t>
            </w:r>
          </w:p>
        </w:tc>
      </w:tr>
      <w:tr>
        <w:tc>
          <w:tcPr>
            <w:tcW w:type="dxa" w:w="1520"/>
            <w:vAlign w:val="center"/>
          </w:tcPr>
          <w:p>
            <w:r>
              <w:rPr>
                <w:sz w:val="18"/>
              </w:rPr>
              <w:t>Persistence k=1yr (rutting)</w:t>
            </w:r>
          </w:p>
        </w:tc>
        <w:tc>
          <w:tcPr>
            <w:tcW w:type="dxa" w:w="1520"/>
            <w:vAlign w:val="center"/>
          </w:tcPr>
          <w:p>
            <w:pPr>
              <w:jc w:val="center"/>
            </w:pPr>
            <w:r>
              <w:rPr>
                <w:sz w:val="18"/>
              </w:rPr>
              <w:t>730 days</w:t>
            </w:r>
          </w:p>
        </w:tc>
        <w:tc>
          <w:tcPr>
            <w:tcW w:type="dxa" w:w="1520"/>
            <w:vAlign w:val="center"/>
          </w:tcPr>
          <w:p>
            <w:pPr>
              <w:jc w:val="center"/>
            </w:pPr>
            <w:r>
              <w:rPr>
                <w:sz w:val="18"/>
              </w:rPr>
              <w:t>14</w:t>
            </w:r>
          </w:p>
        </w:tc>
        <w:tc>
          <w:tcPr>
            <w:tcW w:type="dxa" w:w="1520"/>
            <w:vAlign w:val="center"/>
          </w:tcPr>
          <w:p>
            <w:pPr>
              <w:jc w:val="center"/>
            </w:pPr>
            <w:r>
              <w:rPr>
                <w:sz w:val="18"/>
              </w:rPr>
              <w:t>-1.750</w:t>
            </w:r>
          </w:p>
        </w:tc>
        <w:tc>
          <w:tcPr>
            <w:tcW w:type="dxa" w:w="1520"/>
            <w:vAlign w:val="center"/>
          </w:tcPr>
          <w:p>
            <w:pPr>
              <w:jc w:val="center"/>
            </w:pPr>
            <w:r>
              <w:rPr>
                <w:sz w:val="18"/>
              </w:rPr>
              <w:t>1.535</w:t>
            </w:r>
          </w:p>
        </w:tc>
        <w:tc>
          <w:tcPr>
            <w:tcW w:type="dxa" w:w="1520"/>
            <w:vAlign w:val="center"/>
          </w:tcPr>
          <w:p>
            <w:pPr>
              <w:jc w:val="center"/>
            </w:pPr>
            <w:r>
              <w:rPr>
                <w:sz w:val="18"/>
              </w:rPr>
              <w:t>Reference</w:t>
            </w:r>
          </w:p>
        </w:tc>
      </w:tr>
      <w:tr>
        <w:tc>
          <w:tcPr>
            <w:tcW w:type="dxa" w:w="1520"/>
            <w:shd w:val="clear" w:color="auto" w:fill="EBF3FB"/>
            <w:vAlign w:val="center"/>
          </w:tcPr>
          <w:p>
            <w:r>
              <w:rPr>
                <w:sz w:val="18"/>
              </w:rPr>
              <w:t>XGB Monitoring (rutting)</w:t>
            </w:r>
          </w:p>
        </w:tc>
        <w:tc>
          <w:tcPr>
            <w:tcW w:type="dxa" w:w="1520"/>
            <w:shd w:val="clear" w:color="auto" w:fill="EBF3FB"/>
            <w:vAlign w:val="center"/>
          </w:tcPr>
          <w:p>
            <w:pPr>
              <w:jc w:val="center"/>
            </w:pPr>
            <w:r>
              <w:rPr>
                <w:sz w:val="18"/>
              </w:rPr>
              <w:t>730 days</w:t>
            </w:r>
          </w:p>
        </w:tc>
        <w:tc>
          <w:tcPr>
            <w:tcW w:type="dxa" w:w="1520"/>
            <w:shd w:val="clear" w:color="auto" w:fill="EBF3FB"/>
            <w:vAlign w:val="center"/>
          </w:tcPr>
          <w:p>
            <w:pPr>
              <w:jc w:val="center"/>
            </w:pPr>
            <w:r>
              <w:rPr>
                <w:sz w:val="18"/>
              </w:rPr>
              <w:t>14</w:t>
            </w:r>
          </w:p>
        </w:tc>
        <w:tc>
          <w:tcPr>
            <w:tcW w:type="dxa" w:w="1520"/>
            <w:shd w:val="clear" w:color="auto" w:fill="EBF3FB"/>
            <w:vAlign w:val="center"/>
          </w:tcPr>
          <w:p>
            <w:pPr>
              <w:jc w:val="center"/>
            </w:pPr>
            <w:r>
              <w:rPr>
                <w:sz w:val="18"/>
              </w:rPr>
              <w:t>-1.750</w:t>
            </w:r>
          </w:p>
        </w:tc>
        <w:tc>
          <w:tcPr>
            <w:tcW w:type="dxa" w:w="1520"/>
            <w:shd w:val="clear" w:color="auto" w:fill="EBF3FB"/>
            <w:vAlign w:val="center"/>
          </w:tcPr>
          <w:p>
            <w:pPr>
              <w:jc w:val="center"/>
            </w:pPr>
            <w:r>
              <w:rPr>
                <w:sz w:val="18"/>
              </w:rPr>
              <w:t>1.535</w:t>
            </w:r>
          </w:p>
        </w:tc>
        <w:tc>
          <w:tcPr>
            <w:tcW w:type="dxa" w:w="1520"/>
            <w:shd w:val="clear" w:color="auto" w:fill="EBF3FB"/>
            <w:vAlign w:val="center"/>
          </w:tcPr>
          <w:p>
            <w:pPr>
              <w:jc w:val="center"/>
            </w:pPr>
            <w:r>
              <w:rPr>
                <w:sz w:val="18"/>
              </w:rPr>
              <w:t>≈ Reference (no added skill)</w:t>
            </w:r>
          </w:p>
        </w:tc>
      </w:tr>
    </w:tbl>
    <w:p/>
    <w:p>
      <w:r>
        <w:t>For IRI, the RF monitoring model (R² = 0.850, RMSE = 0.208 m/km, n = 25) remains statistically indistinguishable from the 1-year persistence benchmark (R² = 0.853, RMSE = 0.211 m/km, n = 32) on the absolute-IRI target. The k=2 and k=3 persistence values are identical to k=1 on the common set because the common set is defined as observations with a 365-day prior: all three horizons resolve to the same reference observation by construction. For rutting, the 730-day common set (n = 14) shows monitoring R² = -1.750 and persistence R² = -1.750 — both highly negative, reflecting extreme variance in the small common set and confirming that carrying forward the 730-day prior is an unreliable rutting predictor at this lag. The monitoring model adds no value over persistence on either target. The ΔIRI (deterioration-increment) model addresses this for IRI directly.</w:t>
      </w:r>
    </w:p>
    <w:p>
      <w:pPr>
        <w:pStyle w:val="Heading3"/>
      </w:pPr>
      <w:r>
        <w:rPr>
          <w:color w:val="2E74B5"/>
        </w:rPr>
        <w:t>4.5.1  ΔIRI Monitoring — Forecast Skill over Persistence (Fault 2 Fix)</w:t>
      </w:r>
    </w:p>
    <w:p>
      <w:r>
        <w:t>A ΔIRI model is trained to predict the change in IRI since the last observation, rather than the absolute IRI level. The lag feature becomes an offset rather than the dominant predictor, forcing structural and climate features to explain the deterioration increment. The ΔIRI model's predictions are converted to absolute IRI by adding the lag value, enabling direct comparison with persistence on the absolute scale. Skill score is defined as 1 − (RMSE_model / RMSE_persistence).</w:t>
      </w:r>
    </w:p>
    <w:p>
      <w:r>
        <w:rPr>
          <w:b/>
        </w:rPr>
        <w:t>Table 6a.  ΔIRI monitoring model — forecast skill over 1-year persistence (IRI monitoring test set, n = 66).</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pPr>
              <w:jc w:val="center"/>
            </w:pPr>
            <w:r>
              <w:rPr>
                <w:b/>
                <w:color w:val="FFFFFF"/>
                <w:sz w:val="18"/>
              </w:rPr>
              <w:t>Model</w:t>
            </w:r>
          </w:p>
        </w:tc>
        <w:tc>
          <w:tcPr>
            <w:tcW w:type="dxa" w:w="1520"/>
            <w:shd w:val="clear" w:color="auto" w:fill="1F497D"/>
          </w:tcPr>
          <w:p>
            <w:pPr>
              <w:jc w:val="center"/>
            </w:pPr>
            <w:r>
              <w:rPr>
                <w:b/>
                <w:color w:val="FFFFFF"/>
                <w:sz w:val="18"/>
              </w:rPr>
              <w:t>Target</w:t>
            </w:r>
          </w:p>
        </w:tc>
        <w:tc>
          <w:tcPr>
            <w:tcW w:type="dxa" w:w="1520"/>
            <w:shd w:val="clear" w:color="auto" w:fill="1F497D"/>
          </w:tcPr>
          <w:p>
            <w:pPr>
              <w:jc w:val="center"/>
            </w:pPr>
            <w:r>
              <w:rPr>
                <w:b/>
                <w:color w:val="FFFFFF"/>
                <w:sz w:val="18"/>
              </w:rPr>
              <w:t>n</w:t>
            </w:r>
          </w:p>
        </w:tc>
        <w:tc>
          <w:tcPr>
            <w:tcW w:type="dxa" w:w="1520"/>
            <w:shd w:val="clear" w:color="auto" w:fill="1F497D"/>
          </w:tcPr>
          <w:p>
            <w:pPr>
              <w:jc w:val="center"/>
            </w:pPr>
            <w:r>
              <w:rPr>
                <w:b/>
                <w:color w:val="FFFFFF"/>
                <w:sz w:val="18"/>
              </w:rPr>
              <w:t>R² (Δ scale)</w:t>
            </w:r>
          </w:p>
        </w:tc>
        <w:tc>
          <w:tcPr>
            <w:tcW w:type="dxa" w:w="1520"/>
            <w:shd w:val="clear" w:color="auto" w:fill="1F497D"/>
          </w:tcPr>
          <w:p>
            <w:pPr>
              <w:jc w:val="center"/>
            </w:pPr>
            <w:r>
              <w:rPr>
                <w:b/>
                <w:color w:val="FFFFFF"/>
                <w:sz w:val="18"/>
              </w:rPr>
              <w:t>RMSE (m/km)</w:t>
            </w:r>
          </w:p>
        </w:tc>
        <w:tc>
          <w:tcPr>
            <w:tcW w:type="dxa" w:w="1520"/>
            <w:shd w:val="clear" w:color="auto" w:fill="1F497D"/>
          </w:tcPr>
          <w:p>
            <w:pPr>
              <w:jc w:val="center"/>
            </w:pPr>
            <w:r>
              <w:rPr>
                <w:b/>
                <w:color w:val="FFFFFF"/>
                <w:sz w:val="18"/>
              </w:rPr>
              <w:t>Skill vs k=1 persistence</w:t>
            </w:r>
          </w:p>
        </w:tc>
      </w:tr>
      <w:tr>
        <w:tc>
          <w:tcPr>
            <w:tcW w:type="dxa" w:w="1520"/>
            <w:vAlign w:val="center"/>
          </w:tcPr>
          <w:p>
            <w:r>
              <w:rPr>
                <w:sz w:val="18"/>
              </w:rPr>
              <w:t>Persistence k=1yr</w:t>
            </w:r>
          </w:p>
        </w:tc>
        <w:tc>
          <w:tcPr>
            <w:tcW w:type="dxa" w:w="1520"/>
            <w:vAlign w:val="center"/>
          </w:tcPr>
          <w:p>
            <w:pPr>
              <w:jc w:val="center"/>
            </w:pPr>
            <w:r>
              <w:rPr>
                <w:sz w:val="18"/>
              </w:rPr>
              <w:t>IRI</w:t>
            </w:r>
          </w:p>
        </w:tc>
        <w:tc>
          <w:tcPr>
            <w:tcW w:type="dxa" w:w="1520"/>
            <w:vAlign w:val="center"/>
          </w:tcPr>
          <w:p>
            <w:pPr>
              <w:jc w:val="center"/>
            </w:pPr>
            <w:r>
              <w:rPr>
                <w:sz w:val="18"/>
              </w:rPr>
              <w:t>25</w:t>
            </w:r>
          </w:p>
        </w:tc>
        <w:tc>
          <w:tcPr>
            <w:tcW w:type="dxa" w:w="1520"/>
            <w:vAlign w:val="center"/>
          </w:tcPr>
          <w:p>
            <w:pPr>
              <w:jc w:val="center"/>
            </w:pPr>
            <w:r>
              <w:rPr>
                <w:sz w:val="18"/>
              </w:rPr>
              <w:t>0.850</w:t>
            </w:r>
          </w:p>
        </w:tc>
        <w:tc>
          <w:tcPr>
            <w:tcW w:type="dxa" w:w="1520"/>
            <w:vAlign w:val="center"/>
          </w:tcPr>
          <w:p>
            <w:pPr>
              <w:jc w:val="center"/>
            </w:pPr>
            <w:r>
              <w:rPr>
                <w:sz w:val="18"/>
              </w:rPr>
              <w:t>0.2082</w:t>
            </w:r>
          </w:p>
        </w:tc>
        <w:tc>
          <w:tcPr>
            <w:tcW w:type="dxa" w:w="1520"/>
            <w:vAlign w:val="center"/>
          </w:tcPr>
          <w:p>
            <w:pPr>
              <w:jc w:val="center"/>
            </w:pPr>
            <w:r>
              <w:rPr>
                <w:sz w:val="18"/>
              </w:rPr>
              <w:t>Reference (0.000)</w:t>
            </w:r>
          </w:p>
        </w:tc>
      </w:tr>
      <w:tr>
        <w:tc>
          <w:tcPr>
            <w:tcW w:type="dxa" w:w="1520"/>
            <w:shd w:val="clear" w:color="auto" w:fill="EBF3FB"/>
            <w:vAlign w:val="center"/>
          </w:tcPr>
          <w:p>
            <w:r>
              <w:rPr>
                <w:sz w:val="18"/>
              </w:rPr>
              <w:t>XGB monitoring (absolute)</w:t>
            </w:r>
          </w:p>
        </w:tc>
        <w:tc>
          <w:tcPr>
            <w:tcW w:type="dxa" w:w="1520"/>
            <w:shd w:val="clear" w:color="auto" w:fill="EBF3FB"/>
            <w:vAlign w:val="center"/>
          </w:tcPr>
          <w:p>
            <w:pPr>
              <w:jc w:val="center"/>
            </w:pPr>
            <w:r>
              <w:rPr>
                <w:sz w:val="18"/>
              </w:rPr>
              <w:t>IRI</w:t>
            </w:r>
          </w:p>
        </w:tc>
        <w:tc>
          <w:tcPr>
            <w:tcW w:type="dxa" w:w="1520"/>
            <w:shd w:val="clear" w:color="auto" w:fill="EBF3FB"/>
            <w:vAlign w:val="center"/>
          </w:tcPr>
          <w:p>
            <w:pPr>
              <w:jc w:val="center"/>
            </w:pPr>
            <w:r>
              <w:rPr>
                <w:sz w:val="18"/>
              </w:rPr>
              <w:t>66</w:t>
            </w:r>
          </w:p>
        </w:tc>
        <w:tc>
          <w:tcPr>
            <w:tcW w:type="dxa" w:w="1520"/>
            <w:shd w:val="clear" w:color="auto" w:fill="EBF3FB"/>
            <w:vAlign w:val="center"/>
          </w:tcPr>
          <w:p>
            <w:pPr>
              <w:jc w:val="center"/>
            </w:pPr>
            <w:r>
              <w:rPr>
                <w:sz w:val="18"/>
              </w:rPr>
              <w:t>0.7801</w:t>
            </w:r>
          </w:p>
        </w:tc>
        <w:tc>
          <w:tcPr>
            <w:tcW w:type="dxa" w:w="1520"/>
            <w:shd w:val="clear" w:color="auto" w:fill="EBF3FB"/>
            <w:vAlign w:val="center"/>
          </w:tcPr>
          <w:p>
            <w:pPr>
              <w:jc w:val="center"/>
            </w:pPr>
            <w:r>
              <w:rPr>
                <w:sz w:val="18"/>
              </w:rPr>
              <w:t>0.2375</w:t>
            </w:r>
          </w:p>
        </w:tc>
        <w:tc>
          <w:tcPr>
            <w:tcW w:type="dxa" w:w="1520"/>
            <w:shd w:val="clear" w:color="auto" w:fill="EBF3FB"/>
            <w:vAlign w:val="center"/>
          </w:tcPr>
          <w:p>
            <w:pPr>
              <w:jc w:val="center"/>
            </w:pPr>
            <w:r>
              <w:rPr>
                <w:sz w:val="18"/>
              </w:rPr>
              <w:t>-0.141</w:t>
            </w:r>
          </w:p>
        </w:tc>
      </w:tr>
      <w:tr>
        <w:tc>
          <w:tcPr>
            <w:tcW w:type="dxa" w:w="1520"/>
            <w:vAlign w:val="center"/>
          </w:tcPr>
          <w:p>
            <w:r>
              <w:rPr>
                <w:sz w:val="18"/>
              </w:rPr>
              <w:t>RF  monitoring (absolute)</w:t>
            </w:r>
          </w:p>
        </w:tc>
        <w:tc>
          <w:tcPr>
            <w:tcW w:type="dxa" w:w="1520"/>
            <w:vAlign w:val="center"/>
          </w:tcPr>
          <w:p>
            <w:pPr>
              <w:jc w:val="center"/>
            </w:pPr>
            <w:r>
              <w:rPr>
                <w:sz w:val="18"/>
              </w:rPr>
              <w:t>IRI</w:t>
            </w:r>
          </w:p>
        </w:tc>
        <w:tc>
          <w:tcPr>
            <w:tcW w:type="dxa" w:w="1520"/>
            <w:vAlign w:val="center"/>
          </w:tcPr>
          <w:p>
            <w:pPr>
              <w:jc w:val="center"/>
            </w:pPr>
            <w:r>
              <w:rPr>
                <w:sz w:val="18"/>
              </w:rPr>
              <w:t>66</w:t>
            </w:r>
          </w:p>
        </w:tc>
        <w:tc>
          <w:tcPr>
            <w:tcW w:type="dxa" w:w="1520"/>
            <w:vAlign w:val="center"/>
          </w:tcPr>
          <w:p>
            <w:pPr>
              <w:jc w:val="center"/>
            </w:pPr>
            <w:r>
              <w:rPr>
                <w:sz w:val="18"/>
              </w:rPr>
              <w:t>0.6674</w:t>
            </w:r>
          </w:p>
        </w:tc>
        <w:tc>
          <w:tcPr>
            <w:tcW w:type="dxa" w:w="1520"/>
            <w:vAlign w:val="center"/>
          </w:tcPr>
          <w:p>
            <w:pPr>
              <w:jc w:val="center"/>
            </w:pPr>
            <w:r>
              <w:rPr>
                <w:sz w:val="18"/>
              </w:rPr>
              <w:t>0.2921</w:t>
            </w:r>
          </w:p>
        </w:tc>
        <w:tc>
          <w:tcPr>
            <w:tcW w:type="dxa" w:w="1520"/>
            <w:vAlign w:val="center"/>
          </w:tcPr>
          <w:p>
            <w:pPr>
              <w:jc w:val="center"/>
            </w:pPr>
            <w:r>
              <w:rPr>
                <w:sz w:val="18"/>
              </w:rPr>
              <w:t>-0.403</w:t>
            </w:r>
          </w:p>
        </w:tc>
      </w:tr>
      <w:tr>
        <w:tc>
          <w:tcPr>
            <w:tcW w:type="dxa" w:w="1520"/>
            <w:shd w:val="clear" w:color="auto" w:fill="EBF3FB"/>
            <w:vAlign w:val="center"/>
          </w:tcPr>
          <w:p>
            <w:r>
              <w:rPr>
                <w:sz w:val="18"/>
              </w:rPr>
              <w:t>XGB monitoring (ΔIRI)</w:t>
            </w:r>
          </w:p>
        </w:tc>
        <w:tc>
          <w:tcPr>
            <w:tcW w:type="dxa" w:w="1520"/>
            <w:shd w:val="clear" w:color="auto" w:fill="EBF3FB"/>
            <w:vAlign w:val="center"/>
          </w:tcPr>
          <w:p>
            <w:pPr>
              <w:jc w:val="center"/>
            </w:pPr>
            <w:r>
              <w:rPr>
                <w:sz w:val="18"/>
              </w:rPr>
              <w:t>ΔIRI</w:t>
            </w:r>
          </w:p>
        </w:tc>
        <w:tc>
          <w:tcPr>
            <w:tcW w:type="dxa" w:w="1520"/>
            <w:shd w:val="clear" w:color="auto" w:fill="EBF3FB"/>
            <w:vAlign w:val="center"/>
          </w:tcPr>
          <w:p>
            <w:pPr>
              <w:jc w:val="center"/>
            </w:pPr>
            <w:r>
              <w:rPr>
                <w:sz w:val="18"/>
              </w:rPr>
              <w:t>66</w:t>
            </w:r>
          </w:p>
        </w:tc>
        <w:tc>
          <w:tcPr>
            <w:tcW w:type="dxa" w:w="1520"/>
            <w:shd w:val="clear" w:color="auto" w:fill="EBF3FB"/>
            <w:vAlign w:val="center"/>
          </w:tcPr>
          <w:p>
            <w:pPr>
              <w:jc w:val="center"/>
            </w:pPr>
            <w:r>
              <w:rPr>
                <w:sz w:val="18"/>
              </w:rPr>
              <w:t>0.8689</w:t>
            </w:r>
          </w:p>
        </w:tc>
        <w:tc>
          <w:tcPr>
            <w:tcW w:type="dxa" w:w="1520"/>
            <w:shd w:val="clear" w:color="auto" w:fill="EBF3FB"/>
            <w:vAlign w:val="center"/>
          </w:tcPr>
          <w:p>
            <w:pPr>
              <w:jc w:val="center"/>
            </w:pPr>
            <w:r>
              <w:rPr>
                <w:sz w:val="18"/>
              </w:rPr>
              <w:t>0.1540</w:t>
            </w:r>
          </w:p>
        </w:tc>
        <w:tc>
          <w:tcPr>
            <w:tcW w:type="dxa" w:w="1520"/>
            <w:shd w:val="clear" w:color="auto" w:fill="EBF3FB"/>
            <w:vAlign w:val="center"/>
          </w:tcPr>
          <w:p>
            <w:pPr>
              <w:jc w:val="center"/>
            </w:pPr>
            <w:r>
              <w:rPr>
                <w:sz w:val="18"/>
              </w:rPr>
              <w:t>+0.260</w:t>
            </w:r>
          </w:p>
        </w:tc>
      </w:tr>
      <w:tr>
        <w:tc>
          <w:tcPr>
            <w:tcW w:type="dxa" w:w="1520"/>
            <w:vAlign w:val="center"/>
          </w:tcPr>
          <w:p>
            <w:r>
              <w:rPr>
                <w:sz w:val="18"/>
              </w:rPr>
              <w:t>RF  monitoring (ΔIRI)</w:t>
            </w:r>
          </w:p>
        </w:tc>
        <w:tc>
          <w:tcPr>
            <w:tcW w:type="dxa" w:w="1520"/>
            <w:vAlign w:val="center"/>
          </w:tcPr>
          <w:p>
            <w:pPr>
              <w:jc w:val="center"/>
            </w:pPr>
            <w:r>
              <w:rPr>
                <w:sz w:val="18"/>
              </w:rPr>
              <w:t>ΔIRI</w:t>
            </w:r>
          </w:p>
        </w:tc>
        <w:tc>
          <w:tcPr>
            <w:tcW w:type="dxa" w:w="1520"/>
            <w:vAlign w:val="center"/>
          </w:tcPr>
          <w:p>
            <w:pPr>
              <w:jc w:val="center"/>
            </w:pPr>
            <w:r>
              <w:rPr>
                <w:sz w:val="18"/>
              </w:rPr>
              <w:t>66</w:t>
            </w:r>
          </w:p>
        </w:tc>
        <w:tc>
          <w:tcPr>
            <w:tcW w:type="dxa" w:w="1520"/>
            <w:vAlign w:val="center"/>
          </w:tcPr>
          <w:p>
            <w:pPr>
              <w:jc w:val="center"/>
            </w:pPr>
            <w:r>
              <w:rPr>
                <w:sz w:val="18"/>
              </w:rPr>
              <w:t>0.6294</w:t>
            </w:r>
          </w:p>
        </w:tc>
        <w:tc>
          <w:tcPr>
            <w:tcW w:type="dxa" w:w="1520"/>
            <w:vAlign w:val="center"/>
          </w:tcPr>
          <w:p>
            <w:pPr>
              <w:jc w:val="center"/>
            </w:pPr>
            <w:r>
              <w:rPr>
                <w:sz w:val="18"/>
              </w:rPr>
              <w:t>0.2589</w:t>
            </w:r>
          </w:p>
        </w:tc>
        <w:tc>
          <w:tcPr>
            <w:tcW w:type="dxa" w:w="1520"/>
            <w:vAlign w:val="center"/>
          </w:tcPr>
          <w:p>
            <w:pPr>
              <w:jc w:val="center"/>
            </w:pPr>
            <w:r>
              <w:rPr>
                <w:sz w:val="18"/>
              </w:rPr>
              <w:t>-0.243</w:t>
            </w:r>
          </w:p>
        </w:tc>
      </w:tr>
    </w:tbl>
    <w:p/>
    <w:p>
      <w:r>
        <w:t>Absolute IRI monitoring does not improve over 1-year persistence: XGBoost RMSE = 0.2375 m/km (skill = -0.141), RF RMSE = 0.2921 m/km (skill = -0.403). The ΔIRI reformulation forces structural and climate features to explain the deterioration increment rather than the absolute level. XGBoost ΔIRI achieves RMSE = 0.1540 m/km (R²_Δ = 0.8689), yielding a skill score of +0.260 — a genuine 26% improvement over persistence. RF ΔIRI does not replicate this gain (skill = -0.243), indicating that the architecture choice matters for the incremental target: XGBoost exploits the reframing while RF's implicit regularisation already absorbs the lag signal in the absolute-IRI formulation. The ΔIRI model is the recommended operational specification for XGBoost-based IRI monitoring.</w:t>
      </w:r>
    </w:p>
    <w:p>
      <w:pPr>
        <w:pStyle w:val="Heading2"/>
      </w:pPr>
      <w:r>
        <w:rPr>
          <w:color w:val="2E74B5"/>
        </w:rPr>
        <w:t>4.6  Leave-One-Region-Out Generalisation (§3.11.3)</w:t>
      </w:r>
    </w:p>
    <w:p>
      <w:r>
        <w:t>LOO validation is the primary generalisation test. Each iteration withholds one of the four climate regions, refits imputation and scaling on the remaining three-region training set, and evaluates the fixed hyperparameters from §3.10 on the withheld region. Only the IRI design model is evaluated, per the methodology specification. Table 7 shows results alongside the pre-specified expected values (from §3.14, Table 8).</w:t>
      </w:r>
    </w:p>
    <w:p>
      <w:r>
        <w:rPr>
          <w:b/>
        </w:rPr>
        <w:t>Table 7.  LOO validation — IRI design model. Expected R² from §3.14; shaded = pre-specified expectation met (both negative or both positive).</w:t>
      </w:r>
    </w:p>
    <w:tbl>
      <w:tblPr>
        <w:tblStyle w:val="TableGrid"/>
        <w:tblW w:type="auto" w:w="0"/>
        <w:tblLook w:firstColumn="1" w:firstRow="1" w:lastColumn="0" w:lastRow="0" w:noHBand="0" w:noVBand="1" w:val="04A0"/>
      </w:tblPr>
      <w:tblGrid>
        <w:gridCol w:w="1140"/>
        <w:gridCol w:w="1140"/>
        <w:gridCol w:w="1140"/>
        <w:gridCol w:w="1140"/>
        <w:gridCol w:w="1140"/>
        <w:gridCol w:w="1140"/>
        <w:gridCol w:w="1140"/>
        <w:gridCol w:w="1140"/>
      </w:tblGrid>
      <w:tr>
        <w:tc>
          <w:tcPr>
            <w:tcW w:type="dxa" w:w="1587"/>
            <w:shd w:val="clear" w:color="auto" w:fill="1F497D"/>
          </w:tcPr>
          <w:p>
            <w:pPr>
              <w:jc w:val="center"/>
            </w:pPr>
            <w:r>
              <w:rPr>
                <w:b/>
                <w:color w:val="FFFFFF"/>
                <w:sz w:val="18"/>
              </w:rPr>
              <w:t>Withheld Region</w:t>
            </w:r>
          </w:p>
        </w:tc>
        <w:tc>
          <w:tcPr>
            <w:tcW w:type="dxa" w:w="1361"/>
            <w:shd w:val="clear" w:color="auto" w:fill="1F497D"/>
          </w:tcPr>
          <w:p>
            <w:pPr>
              <w:jc w:val="center"/>
            </w:pPr>
            <w:r>
              <w:rPr>
                <w:b/>
                <w:color w:val="FFFFFF"/>
                <w:sz w:val="18"/>
              </w:rPr>
              <w:t>FI (°C·days)</w:t>
            </w:r>
          </w:p>
        </w:tc>
        <w:tc>
          <w:tcPr>
            <w:tcW w:type="dxa" w:w="1134"/>
            <w:shd w:val="clear" w:color="auto" w:fill="1F497D"/>
          </w:tcPr>
          <w:p>
            <w:pPr>
              <w:jc w:val="center"/>
            </w:pPr>
            <w:r>
              <w:rPr>
                <w:b/>
                <w:color w:val="FFFFFF"/>
                <w:sz w:val="18"/>
              </w:rPr>
              <w:t>Arch.</w:t>
            </w:r>
          </w:p>
        </w:tc>
        <w:tc>
          <w:tcPr>
            <w:tcW w:type="dxa" w:w="794"/>
            <w:shd w:val="clear" w:color="auto" w:fill="1F497D"/>
          </w:tcPr>
          <w:p>
            <w:pPr>
              <w:jc w:val="center"/>
            </w:pPr>
            <w:r>
              <w:rPr>
                <w:b/>
                <w:color w:val="FFFFFF"/>
                <w:sz w:val="18"/>
              </w:rPr>
              <w:t>n obs</w:t>
            </w:r>
          </w:p>
        </w:tc>
        <w:tc>
          <w:tcPr>
            <w:tcW w:type="dxa" w:w="1361"/>
            <w:shd w:val="clear" w:color="auto" w:fill="1F497D"/>
          </w:tcPr>
          <w:p>
            <w:pPr>
              <w:jc w:val="center"/>
            </w:pPr>
            <w:r>
              <w:rPr>
                <w:b/>
                <w:color w:val="FFFFFF"/>
                <w:sz w:val="18"/>
              </w:rPr>
              <w:t>Expected R²</w:t>
            </w:r>
          </w:p>
        </w:tc>
        <w:tc>
          <w:tcPr>
            <w:tcW w:type="dxa" w:w="1134"/>
            <w:shd w:val="clear" w:color="auto" w:fill="1F497D"/>
          </w:tcPr>
          <w:p>
            <w:pPr>
              <w:jc w:val="center"/>
            </w:pPr>
            <w:r>
              <w:rPr>
                <w:b/>
                <w:color w:val="FFFFFF"/>
                <w:sz w:val="18"/>
              </w:rPr>
              <w:t>Actual R²</w:t>
            </w:r>
          </w:p>
        </w:tc>
        <w:tc>
          <w:tcPr>
            <w:tcW w:type="dxa" w:w="1474"/>
            <w:shd w:val="clear" w:color="auto" w:fill="1F497D"/>
          </w:tcPr>
          <w:p>
            <w:pPr>
              <w:jc w:val="center"/>
            </w:pPr>
            <w:r>
              <w:rPr>
                <w:b/>
                <w:color w:val="FFFFFF"/>
                <w:sz w:val="18"/>
              </w:rPr>
              <w:t>RMSE (m/km)</w:t>
            </w:r>
          </w:p>
        </w:tc>
        <w:tc>
          <w:tcPr>
            <w:tcW w:type="dxa" w:w="1020"/>
            <w:shd w:val="clear" w:color="auto" w:fill="1F497D"/>
          </w:tcPr>
          <w:p>
            <w:pPr>
              <w:jc w:val="center"/>
            </w:pPr>
            <w:r>
              <w:rPr>
                <w:b/>
                <w:color w:val="FFFFFF"/>
                <w:sz w:val="18"/>
              </w:rPr>
              <w:t>Check</w:t>
            </w:r>
          </w:p>
        </w:tc>
      </w:tr>
      <w:tr>
        <w:tc>
          <w:tcPr>
            <w:tcW w:type="dxa" w:w="1587"/>
            <w:vAlign w:val="center"/>
          </w:tcPr>
          <w:p>
            <w:r>
              <w:rPr>
                <w:sz w:val="18"/>
              </w:rPr>
              <w:t>Arizona</w:t>
            </w:r>
          </w:p>
        </w:tc>
        <w:tc>
          <w:tcPr>
            <w:tcW w:type="dxa" w:w="1361"/>
            <w:vAlign w:val="center"/>
          </w:tcPr>
          <w:p>
            <w:pPr>
              <w:jc w:val="center"/>
            </w:pPr>
            <w:r>
              <w:rPr>
                <w:sz w:val="18"/>
              </w:rPr>
              <w:t>5.9</w:t>
            </w:r>
          </w:p>
        </w:tc>
        <w:tc>
          <w:tcPr>
            <w:tcW w:type="dxa" w:w="1134"/>
            <w:vAlign w:val="center"/>
          </w:tcPr>
          <w:p>
            <w:pPr>
              <w:jc w:val="center"/>
            </w:pPr>
            <w:r>
              <w:rPr>
                <w:sz w:val="18"/>
              </w:rPr>
              <w:t>XGBoost</w:t>
            </w:r>
          </w:p>
        </w:tc>
        <w:tc>
          <w:tcPr>
            <w:tcW w:type="dxa" w:w="794"/>
            <w:vAlign w:val="center"/>
          </w:tcPr>
          <w:p>
            <w:pPr>
              <w:jc w:val="center"/>
            </w:pPr>
            <w:r>
              <w:rPr>
                <w:sz w:val="18"/>
              </w:rPr>
              <w:t>295</w:t>
            </w:r>
          </w:p>
        </w:tc>
        <w:tc>
          <w:tcPr>
            <w:tcW w:type="dxa" w:w="1361"/>
            <w:vAlign w:val="center"/>
          </w:tcPr>
          <w:p>
            <w:pPr>
              <w:jc w:val="center"/>
            </w:pPr>
            <w:r>
              <w:rPr>
                <w:sz w:val="18"/>
              </w:rPr>
              <w:t>≈ −0.41</w:t>
            </w:r>
          </w:p>
        </w:tc>
        <w:tc>
          <w:tcPr>
            <w:tcW w:type="dxa" w:w="1134"/>
            <w:vAlign w:val="center"/>
          </w:tcPr>
          <w:p>
            <w:pPr>
              <w:jc w:val="center"/>
            </w:pPr>
            <w:r>
              <w:rPr>
                <w:sz w:val="18"/>
              </w:rPr>
              <w:t>+0.041</w:t>
            </w:r>
          </w:p>
        </w:tc>
        <w:tc>
          <w:tcPr>
            <w:tcW w:type="dxa" w:w="1474"/>
            <w:vAlign w:val="center"/>
          </w:tcPr>
          <w:p>
            <w:pPr>
              <w:jc w:val="center"/>
            </w:pPr>
            <w:r>
              <w:rPr>
                <w:sz w:val="18"/>
              </w:rPr>
              <w:t>0.467</w:t>
            </w:r>
          </w:p>
        </w:tc>
        <w:tc>
          <w:tcPr>
            <w:tcW w:type="dxa" w:w="1020"/>
            <w:vAlign w:val="center"/>
          </w:tcPr>
          <w:p>
            <w:pPr>
              <w:jc w:val="center"/>
            </w:pPr>
            <w:r>
              <w:rPr>
                <w:sz w:val="18"/>
              </w:rPr>
              <w:t>IMPROVED ↑</w:t>
            </w:r>
          </w:p>
        </w:tc>
      </w:tr>
      <w:tr>
        <w:tc>
          <w:tcPr>
            <w:tcW w:type="dxa" w:w="1587"/>
            <w:shd w:val="clear" w:color="auto" w:fill="EBF3FB"/>
            <w:vAlign w:val="center"/>
          </w:tcPr>
          <w:p>
            <w:r>
              <w:rPr>
                <w:sz w:val="18"/>
              </w:rPr>
              <w:t>Arizona</w:t>
            </w:r>
          </w:p>
        </w:tc>
        <w:tc>
          <w:tcPr>
            <w:tcW w:type="dxa" w:w="1361"/>
            <w:shd w:val="clear" w:color="auto" w:fill="EBF3FB"/>
            <w:vAlign w:val="center"/>
          </w:tcPr>
          <w:p>
            <w:pPr>
              <w:jc w:val="center"/>
            </w:pPr>
            <w:r>
              <w:rPr>
                <w:sz w:val="18"/>
              </w:rPr>
              <w:t>5.9</w:t>
            </w:r>
          </w:p>
        </w:tc>
        <w:tc>
          <w:tcPr>
            <w:tcW w:type="dxa" w:w="1134"/>
            <w:shd w:val="clear" w:color="auto" w:fill="EBF3FB"/>
            <w:vAlign w:val="center"/>
          </w:tcPr>
          <w:p>
            <w:pPr>
              <w:jc w:val="center"/>
            </w:pPr>
            <w:r>
              <w:rPr>
                <w:sz w:val="18"/>
              </w:rPr>
              <w:t>RF</w:t>
            </w:r>
          </w:p>
        </w:tc>
        <w:tc>
          <w:tcPr>
            <w:tcW w:type="dxa" w:w="794"/>
            <w:shd w:val="clear" w:color="auto" w:fill="EBF3FB"/>
            <w:vAlign w:val="center"/>
          </w:tcPr>
          <w:p>
            <w:pPr>
              <w:jc w:val="center"/>
            </w:pPr>
            <w:r>
              <w:rPr>
                <w:sz w:val="18"/>
              </w:rPr>
              <w:t>295</w:t>
            </w:r>
          </w:p>
        </w:tc>
        <w:tc>
          <w:tcPr>
            <w:tcW w:type="dxa" w:w="1361"/>
            <w:shd w:val="clear" w:color="auto" w:fill="EBF3FB"/>
            <w:vAlign w:val="center"/>
          </w:tcPr>
          <w:p>
            <w:pPr>
              <w:jc w:val="center"/>
            </w:pPr>
            <w:r>
              <w:rPr>
                <w:sz w:val="18"/>
              </w:rPr>
              <w:t>≈ −0.41</w:t>
            </w:r>
          </w:p>
        </w:tc>
        <w:tc>
          <w:tcPr>
            <w:tcW w:type="dxa" w:w="1134"/>
            <w:shd w:val="clear" w:color="auto" w:fill="EBF3FB"/>
            <w:vAlign w:val="center"/>
          </w:tcPr>
          <w:p>
            <w:pPr>
              <w:jc w:val="center"/>
            </w:pPr>
            <w:r>
              <w:rPr>
                <w:sz w:val="18"/>
              </w:rPr>
              <w:t>+0.019</w:t>
            </w:r>
          </w:p>
        </w:tc>
        <w:tc>
          <w:tcPr>
            <w:tcW w:type="dxa" w:w="1474"/>
            <w:shd w:val="clear" w:color="auto" w:fill="EBF3FB"/>
            <w:vAlign w:val="center"/>
          </w:tcPr>
          <w:p>
            <w:pPr>
              <w:jc w:val="center"/>
            </w:pPr>
            <w:r>
              <w:rPr>
                <w:sz w:val="18"/>
              </w:rPr>
              <w:t>0.472</w:t>
            </w:r>
          </w:p>
        </w:tc>
        <w:tc>
          <w:tcPr>
            <w:tcW w:type="dxa" w:w="1020"/>
            <w:shd w:val="clear" w:color="auto" w:fill="EBF3FB"/>
            <w:vAlign w:val="center"/>
          </w:tcPr>
          <w:p>
            <w:pPr>
              <w:jc w:val="center"/>
            </w:pPr>
            <w:r>
              <w:rPr>
                <w:sz w:val="18"/>
              </w:rPr>
              <w:t>IMPROVED ↑</w:t>
            </w:r>
          </w:p>
        </w:tc>
      </w:tr>
      <w:tr>
        <w:tc>
          <w:tcPr>
            <w:tcW w:type="dxa" w:w="1587"/>
            <w:vAlign w:val="center"/>
          </w:tcPr>
          <w:p>
            <w:r>
              <w:rPr>
                <w:sz w:val="18"/>
              </w:rPr>
              <w:t>Georgia</w:t>
            </w:r>
          </w:p>
        </w:tc>
        <w:tc>
          <w:tcPr>
            <w:tcW w:type="dxa" w:w="1361"/>
            <w:vAlign w:val="center"/>
          </w:tcPr>
          <w:p>
            <w:pPr>
              <w:jc w:val="center"/>
            </w:pPr>
            <w:r>
              <w:rPr>
                <w:sz w:val="18"/>
              </w:rPr>
              <w:t>10.9</w:t>
            </w:r>
          </w:p>
        </w:tc>
        <w:tc>
          <w:tcPr>
            <w:tcW w:type="dxa" w:w="1134"/>
            <w:vAlign w:val="center"/>
          </w:tcPr>
          <w:p>
            <w:pPr>
              <w:jc w:val="center"/>
            </w:pPr>
            <w:r>
              <w:rPr>
                <w:sz w:val="18"/>
              </w:rPr>
              <w:t>XGBoost</w:t>
            </w:r>
          </w:p>
        </w:tc>
        <w:tc>
          <w:tcPr>
            <w:tcW w:type="dxa" w:w="794"/>
            <w:vAlign w:val="center"/>
          </w:tcPr>
          <w:p>
            <w:pPr>
              <w:jc w:val="center"/>
            </w:pPr>
            <w:r>
              <w:rPr>
                <w:sz w:val="18"/>
              </w:rPr>
              <w:t>96</w:t>
            </w:r>
          </w:p>
        </w:tc>
        <w:tc>
          <w:tcPr>
            <w:tcW w:type="dxa" w:w="1361"/>
            <w:vAlign w:val="center"/>
          </w:tcPr>
          <w:p>
            <w:pPr>
              <w:jc w:val="center"/>
            </w:pPr>
            <w:r>
              <w:rPr>
                <w:sz w:val="18"/>
              </w:rPr>
              <w:t>≈ −0.33</w:t>
            </w:r>
          </w:p>
        </w:tc>
        <w:tc>
          <w:tcPr>
            <w:tcW w:type="dxa" w:w="1134"/>
            <w:vAlign w:val="center"/>
          </w:tcPr>
          <w:p>
            <w:pPr>
              <w:jc w:val="center"/>
            </w:pPr>
            <w:r>
              <w:rPr>
                <w:sz w:val="18"/>
              </w:rPr>
              <w:t>-0.789</w:t>
            </w:r>
          </w:p>
        </w:tc>
        <w:tc>
          <w:tcPr>
            <w:tcW w:type="dxa" w:w="1474"/>
            <w:vAlign w:val="center"/>
          </w:tcPr>
          <w:p>
            <w:pPr>
              <w:jc w:val="center"/>
            </w:pPr>
            <w:r>
              <w:rPr>
                <w:sz w:val="18"/>
              </w:rPr>
              <w:t>0.369</w:t>
            </w:r>
          </w:p>
        </w:tc>
        <w:tc>
          <w:tcPr>
            <w:tcW w:type="dxa" w:w="1020"/>
            <w:vAlign w:val="center"/>
          </w:tcPr>
          <w:p>
            <w:pPr>
              <w:jc w:val="center"/>
            </w:pPr>
            <w:r>
              <w:rPr>
                <w:sz w:val="18"/>
              </w:rPr>
              <w:t>PASS ✓</w:t>
            </w:r>
          </w:p>
        </w:tc>
      </w:tr>
      <w:tr>
        <w:tc>
          <w:tcPr>
            <w:tcW w:type="dxa" w:w="1587"/>
            <w:shd w:val="clear" w:color="auto" w:fill="EBF3FB"/>
            <w:vAlign w:val="center"/>
          </w:tcPr>
          <w:p>
            <w:r>
              <w:rPr>
                <w:sz w:val="18"/>
              </w:rPr>
              <w:t>Georgia</w:t>
            </w:r>
          </w:p>
        </w:tc>
        <w:tc>
          <w:tcPr>
            <w:tcW w:type="dxa" w:w="1361"/>
            <w:shd w:val="clear" w:color="auto" w:fill="EBF3FB"/>
            <w:vAlign w:val="center"/>
          </w:tcPr>
          <w:p>
            <w:pPr>
              <w:jc w:val="center"/>
            </w:pPr>
            <w:r>
              <w:rPr>
                <w:sz w:val="18"/>
              </w:rPr>
              <w:t>10.9</w:t>
            </w:r>
          </w:p>
        </w:tc>
        <w:tc>
          <w:tcPr>
            <w:tcW w:type="dxa" w:w="1134"/>
            <w:shd w:val="clear" w:color="auto" w:fill="EBF3FB"/>
            <w:vAlign w:val="center"/>
          </w:tcPr>
          <w:p>
            <w:pPr>
              <w:jc w:val="center"/>
            </w:pPr>
            <w:r>
              <w:rPr>
                <w:sz w:val="18"/>
              </w:rPr>
              <w:t>RF</w:t>
            </w:r>
          </w:p>
        </w:tc>
        <w:tc>
          <w:tcPr>
            <w:tcW w:type="dxa" w:w="794"/>
            <w:shd w:val="clear" w:color="auto" w:fill="EBF3FB"/>
            <w:vAlign w:val="center"/>
          </w:tcPr>
          <w:p>
            <w:pPr>
              <w:jc w:val="center"/>
            </w:pPr>
            <w:r>
              <w:rPr>
                <w:sz w:val="18"/>
              </w:rPr>
              <w:t>96</w:t>
            </w:r>
          </w:p>
        </w:tc>
        <w:tc>
          <w:tcPr>
            <w:tcW w:type="dxa" w:w="1361"/>
            <w:shd w:val="clear" w:color="auto" w:fill="EBF3FB"/>
            <w:vAlign w:val="center"/>
          </w:tcPr>
          <w:p>
            <w:pPr>
              <w:jc w:val="center"/>
            </w:pPr>
            <w:r>
              <w:rPr>
                <w:sz w:val="18"/>
              </w:rPr>
              <w:t>≈ −0.33</w:t>
            </w:r>
          </w:p>
        </w:tc>
        <w:tc>
          <w:tcPr>
            <w:tcW w:type="dxa" w:w="1134"/>
            <w:shd w:val="clear" w:color="auto" w:fill="EBF3FB"/>
            <w:vAlign w:val="center"/>
          </w:tcPr>
          <w:p>
            <w:pPr>
              <w:jc w:val="center"/>
            </w:pPr>
            <w:r>
              <w:rPr>
                <w:sz w:val="18"/>
              </w:rPr>
              <w:t>-1.533</w:t>
            </w:r>
          </w:p>
        </w:tc>
        <w:tc>
          <w:tcPr>
            <w:tcW w:type="dxa" w:w="1474"/>
            <w:shd w:val="clear" w:color="auto" w:fill="EBF3FB"/>
            <w:vAlign w:val="center"/>
          </w:tcPr>
          <w:p>
            <w:pPr>
              <w:jc w:val="center"/>
            </w:pPr>
            <w:r>
              <w:rPr>
                <w:sz w:val="18"/>
              </w:rPr>
              <w:t>0.439</w:t>
            </w:r>
          </w:p>
        </w:tc>
        <w:tc>
          <w:tcPr>
            <w:tcW w:type="dxa" w:w="1020"/>
            <w:shd w:val="clear" w:color="auto" w:fill="EBF3FB"/>
            <w:vAlign w:val="center"/>
          </w:tcPr>
          <w:p>
            <w:pPr>
              <w:jc w:val="center"/>
            </w:pPr>
            <w:r>
              <w:rPr>
                <w:sz w:val="18"/>
              </w:rPr>
              <w:t>PASS ✓</w:t>
            </w:r>
          </w:p>
        </w:tc>
      </w:tr>
      <w:tr>
        <w:tc>
          <w:tcPr>
            <w:tcW w:type="dxa" w:w="1587"/>
            <w:vAlign w:val="center"/>
          </w:tcPr>
          <w:p>
            <w:r>
              <w:rPr>
                <w:sz w:val="18"/>
              </w:rPr>
              <w:t>Ohio</w:t>
            </w:r>
          </w:p>
        </w:tc>
        <w:tc>
          <w:tcPr>
            <w:tcW w:type="dxa" w:w="1361"/>
            <w:vAlign w:val="center"/>
          </w:tcPr>
          <w:p>
            <w:pPr>
              <w:jc w:val="center"/>
            </w:pPr>
            <w:r>
              <w:rPr>
                <w:sz w:val="18"/>
              </w:rPr>
              <w:t>316.6</w:t>
            </w:r>
          </w:p>
        </w:tc>
        <w:tc>
          <w:tcPr>
            <w:tcW w:type="dxa" w:w="1134"/>
            <w:vAlign w:val="center"/>
          </w:tcPr>
          <w:p>
            <w:pPr>
              <w:jc w:val="center"/>
            </w:pPr>
            <w:r>
              <w:rPr>
                <w:sz w:val="18"/>
              </w:rPr>
              <w:t>XGBoost</w:t>
            </w:r>
          </w:p>
        </w:tc>
        <w:tc>
          <w:tcPr>
            <w:tcW w:type="dxa" w:w="794"/>
            <w:vAlign w:val="center"/>
          </w:tcPr>
          <w:p>
            <w:pPr>
              <w:jc w:val="center"/>
            </w:pPr>
            <w:r>
              <w:rPr>
                <w:sz w:val="18"/>
              </w:rPr>
              <w:t>148</w:t>
            </w:r>
          </w:p>
        </w:tc>
        <w:tc>
          <w:tcPr>
            <w:tcW w:type="dxa" w:w="1361"/>
            <w:vAlign w:val="center"/>
          </w:tcPr>
          <w:p>
            <w:pPr>
              <w:jc w:val="center"/>
            </w:pPr>
            <w:r>
              <w:rPr>
                <w:sz w:val="18"/>
              </w:rPr>
              <w:t>≈ +0.09</w:t>
            </w:r>
          </w:p>
        </w:tc>
        <w:tc>
          <w:tcPr>
            <w:tcW w:type="dxa" w:w="1134"/>
            <w:vAlign w:val="center"/>
          </w:tcPr>
          <w:p>
            <w:pPr>
              <w:jc w:val="center"/>
            </w:pPr>
            <w:r>
              <w:rPr>
                <w:sz w:val="18"/>
              </w:rPr>
              <w:t>+0.022</w:t>
            </w:r>
          </w:p>
        </w:tc>
        <w:tc>
          <w:tcPr>
            <w:tcW w:type="dxa" w:w="1474"/>
            <w:vAlign w:val="center"/>
          </w:tcPr>
          <w:p>
            <w:pPr>
              <w:jc w:val="center"/>
            </w:pPr>
            <w:r>
              <w:rPr>
                <w:sz w:val="18"/>
              </w:rPr>
              <w:t>0.491</w:t>
            </w:r>
          </w:p>
        </w:tc>
        <w:tc>
          <w:tcPr>
            <w:tcW w:type="dxa" w:w="1020"/>
            <w:vAlign w:val="center"/>
          </w:tcPr>
          <w:p>
            <w:pPr>
              <w:jc w:val="center"/>
            </w:pPr>
            <w:r>
              <w:rPr>
                <w:sz w:val="18"/>
              </w:rPr>
              <w:t>PASS ✓</w:t>
            </w:r>
          </w:p>
        </w:tc>
      </w:tr>
      <w:tr>
        <w:tc>
          <w:tcPr>
            <w:tcW w:type="dxa" w:w="1587"/>
            <w:shd w:val="clear" w:color="auto" w:fill="EBF3FB"/>
            <w:vAlign w:val="center"/>
          </w:tcPr>
          <w:p>
            <w:r>
              <w:rPr>
                <w:sz w:val="18"/>
              </w:rPr>
              <w:t>Ohio</w:t>
            </w:r>
          </w:p>
        </w:tc>
        <w:tc>
          <w:tcPr>
            <w:tcW w:type="dxa" w:w="1361"/>
            <w:shd w:val="clear" w:color="auto" w:fill="EBF3FB"/>
            <w:vAlign w:val="center"/>
          </w:tcPr>
          <w:p>
            <w:pPr>
              <w:jc w:val="center"/>
            </w:pPr>
            <w:r>
              <w:rPr>
                <w:sz w:val="18"/>
              </w:rPr>
              <w:t>316.6</w:t>
            </w:r>
          </w:p>
        </w:tc>
        <w:tc>
          <w:tcPr>
            <w:tcW w:type="dxa" w:w="1134"/>
            <w:shd w:val="clear" w:color="auto" w:fill="EBF3FB"/>
            <w:vAlign w:val="center"/>
          </w:tcPr>
          <w:p>
            <w:pPr>
              <w:jc w:val="center"/>
            </w:pPr>
            <w:r>
              <w:rPr>
                <w:sz w:val="18"/>
              </w:rPr>
              <w:t>RF</w:t>
            </w:r>
          </w:p>
        </w:tc>
        <w:tc>
          <w:tcPr>
            <w:tcW w:type="dxa" w:w="794"/>
            <w:shd w:val="clear" w:color="auto" w:fill="EBF3FB"/>
            <w:vAlign w:val="center"/>
          </w:tcPr>
          <w:p>
            <w:pPr>
              <w:jc w:val="center"/>
            </w:pPr>
            <w:r>
              <w:rPr>
                <w:sz w:val="18"/>
              </w:rPr>
              <w:t>148</w:t>
            </w:r>
          </w:p>
        </w:tc>
        <w:tc>
          <w:tcPr>
            <w:tcW w:type="dxa" w:w="1361"/>
            <w:shd w:val="clear" w:color="auto" w:fill="EBF3FB"/>
            <w:vAlign w:val="center"/>
          </w:tcPr>
          <w:p>
            <w:pPr>
              <w:jc w:val="center"/>
            </w:pPr>
            <w:r>
              <w:rPr>
                <w:sz w:val="18"/>
              </w:rPr>
              <w:t>≈ +0.09</w:t>
            </w:r>
          </w:p>
        </w:tc>
        <w:tc>
          <w:tcPr>
            <w:tcW w:type="dxa" w:w="1134"/>
            <w:shd w:val="clear" w:color="auto" w:fill="EBF3FB"/>
            <w:vAlign w:val="center"/>
          </w:tcPr>
          <w:p>
            <w:pPr>
              <w:jc w:val="center"/>
            </w:pPr>
            <w:r>
              <w:rPr>
                <w:sz w:val="18"/>
              </w:rPr>
              <w:t>+0.030</w:t>
            </w:r>
          </w:p>
        </w:tc>
        <w:tc>
          <w:tcPr>
            <w:tcW w:type="dxa" w:w="1474"/>
            <w:shd w:val="clear" w:color="auto" w:fill="EBF3FB"/>
            <w:vAlign w:val="center"/>
          </w:tcPr>
          <w:p>
            <w:pPr>
              <w:jc w:val="center"/>
            </w:pPr>
            <w:r>
              <w:rPr>
                <w:sz w:val="18"/>
              </w:rPr>
              <w:t>0.489</w:t>
            </w:r>
          </w:p>
        </w:tc>
        <w:tc>
          <w:tcPr>
            <w:tcW w:type="dxa" w:w="1020"/>
            <w:shd w:val="clear" w:color="auto" w:fill="EBF3FB"/>
            <w:vAlign w:val="center"/>
          </w:tcPr>
          <w:p>
            <w:pPr>
              <w:jc w:val="center"/>
            </w:pPr>
            <w:r>
              <w:rPr>
                <w:sz w:val="18"/>
              </w:rPr>
              <w:t>PASS ✓</w:t>
            </w:r>
          </w:p>
        </w:tc>
      </w:tr>
      <w:tr>
        <w:tc>
          <w:tcPr>
            <w:tcW w:type="dxa" w:w="1587"/>
            <w:vAlign w:val="center"/>
          </w:tcPr>
          <w:p>
            <w:r>
              <w:rPr>
                <w:sz w:val="18"/>
              </w:rPr>
              <w:t>Ontario</w:t>
            </w:r>
          </w:p>
        </w:tc>
        <w:tc>
          <w:tcPr>
            <w:tcW w:type="dxa" w:w="1361"/>
            <w:vAlign w:val="center"/>
          </w:tcPr>
          <w:p>
            <w:pPr>
              <w:jc w:val="center"/>
            </w:pPr>
            <w:r>
              <w:rPr>
                <w:sz w:val="18"/>
              </w:rPr>
              <w:t>834.9</w:t>
            </w:r>
          </w:p>
        </w:tc>
        <w:tc>
          <w:tcPr>
            <w:tcW w:type="dxa" w:w="1134"/>
            <w:vAlign w:val="center"/>
          </w:tcPr>
          <w:p>
            <w:pPr>
              <w:jc w:val="center"/>
            </w:pPr>
            <w:r>
              <w:rPr>
                <w:sz w:val="18"/>
              </w:rPr>
              <w:t>XGBoost</w:t>
            </w:r>
          </w:p>
        </w:tc>
        <w:tc>
          <w:tcPr>
            <w:tcW w:type="dxa" w:w="794"/>
            <w:vAlign w:val="center"/>
          </w:tcPr>
          <w:p>
            <w:pPr>
              <w:jc w:val="center"/>
            </w:pPr>
            <w:r>
              <w:rPr>
                <w:sz w:val="18"/>
              </w:rPr>
              <w:t>111</w:t>
            </w:r>
          </w:p>
        </w:tc>
        <w:tc>
          <w:tcPr>
            <w:tcW w:type="dxa" w:w="1361"/>
            <w:vAlign w:val="center"/>
          </w:tcPr>
          <w:p>
            <w:pPr>
              <w:jc w:val="center"/>
            </w:pPr>
            <w:r>
              <w:rPr>
                <w:sz w:val="18"/>
              </w:rPr>
              <w:t>≈ −0.67</w:t>
            </w:r>
          </w:p>
        </w:tc>
        <w:tc>
          <w:tcPr>
            <w:tcW w:type="dxa" w:w="1134"/>
            <w:vAlign w:val="center"/>
          </w:tcPr>
          <w:p>
            <w:pPr>
              <w:jc w:val="center"/>
            </w:pPr>
            <w:r>
              <w:rPr>
                <w:sz w:val="18"/>
              </w:rPr>
              <w:t>+0.136</w:t>
            </w:r>
          </w:p>
        </w:tc>
        <w:tc>
          <w:tcPr>
            <w:tcW w:type="dxa" w:w="1474"/>
            <w:vAlign w:val="center"/>
          </w:tcPr>
          <w:p>
            <w:pPr>
              <w:jc w:val="center"/>
            </w:pPr>
            <w:r>
              <w:rPr>
                <w:sz w:val="18"/>
              </w:rPr>
              <w:t>0.473</w:t>
            </w:r>
          </w:p>
        </w:tc>
        <w:tc>
          <w:tcPr>
            <w:tcW w:type="dxa" w:w="1020"/>
            <w:vAlign w:val="center"/>
          </w:tcPr>
          <w:p>
            <w:pPr>
              <w:jc w:val="center"/>
            </w:pPr>
            <w:r>
              <w:rPr>
                <w:sz w:val="18"/>
              </w:rPr>
              <w:t>PASS ✓</w:t>
            </w:r>
          </w:p>
        </w:tc>
      </w:tr>
      <w:tr>
        <w:tc>
          <w:tcPr>
            <w:tcW w:type="dxa" w:w="1587"/>
            <w:shd w:val="clear" w:color="auto" w:fill="EBF3FB"/>
            <w:vAlign w:val="center"/>
          </w:tcPr>
          <w:p>
            <w:r>
              <w:rPr>
                <w:sz w:val="18"/>
              </w:rPr>
              <w:t>Ontario</w:t>
            </w:r>
          </w:p>
        </w:tc>
        <w:tc>
          <w:tcPr>
            <w:tcW w:type="dxa" w:w="1361"/>
            <w:shd w:val="clear" w:color="auto" w:fill="EBF3FB"/>
            <w:vAlign w:val="center"/>
          </w:tcPr>
          <w:p>
            <w:pPr>
              <w:jc w:val="center"/>
            </w:pPr>
            <w:r>
              <w:rPr>
                <w:sz w:val="18"/>
              </w:rPr>
              <w:t>834.9</w:t>
            </w:r>
          </w:p>
        </w:tc>
        <w:tc>
          <w:tcPr>
            <w:tcW w:type="dxa" w:w="1134"/>
            <w:shd w:val="clear" w:color="auto" w:fill="EBF3FB"/>
            <w:vAlign w:val="center"/>
          </w:tcPr>
          <w:p>
            <w:pPr>
              <w:jc w:val="center"/>
            </w:pPr>
            <w:r>
              <w:rPr>
                <w:sz w:val="18"/>
              </w:rPr>
              <w:t>RF</w:t>
            </w:r>
          </w:p>
        </w:tc>
        <w:tc>
          <w:tcPr>
            <w:tcW w:type="dxa" w:w="794"/>
            <w:shd w:val="clear" w:color="auto" w:fill="EBF3FB"/>
            <w:vAlign w:val="center"/>
          </w:tcPr>
          <w:p>
            <w:pPr>
              <w:jc w:val="center"/>
            </w:pPr>
            <w:r>
              <w:rPr>
                <w:sz w:val="18"/>
              </w:rPr>
              <w:t>111</w:t>
            </w:r>
          </w:p>
        </w:tc>
        <w:tc>
          <w:tcPr>
            <w:tcW w:type="dxa" w:w="1361"/>
            <w:shd w:val="clear" w:color="auto" w:fill="EBF3FB"/>
            <w:vAlign w:val="center"/>
          </w:tcPr>
          <w:p>
            <w:pPr>
              <w:jc w:val="center"/>
            </w:pPr>
            <w:r>
              <w:rPr>
                <w:sz w:val="18"/>
              </w:rPr>
              <w:t>≈ −0.67</w:t>
            </w:r>
          </w:p>
        </w:tc>
        <w:tc>
          <w:tcPr>
            <w:tcW w:type="dxa" w:w="1134"/>
            <w:shd w:val="clear" w:color="auto" w:fill="EBF3FB"/>
            <w:vAlign w:val="center"/>
          </w:tcPr>
          <w:p>
            <w:pPr>
              <w:jc w:val="center"/>
            </w:pPr>
            <w:r>
              <w:rPr>
                <w:sz w:val="18"/>
              </w:rPr>
              <w:t>-0.019</w:t>
            </w:r>
          </w:p>
        </w:tc>
        <w:tc>
          <w:tcPr>
            <w:tcW w:type="dxa" w:w="1474"/>
            <w:shd w:val="clear" w:color="auto" w:fill="EBF3FB"/>
            <w:vAlign w:val="center"/>
          </w:tcPr>
          <w:p>
            <w:pPr>
              <w:jc w:val="center"/>
            </w:pPr>
            <w:r>
              <w:rPr>
                <w:sz w:val="18"/>
              </w:rPr>
              <w:t>0.457</w:t>
            </w:r>
          </w:p>
        </w:tc>
        <w:tc>
          <w:tcPr>
            <w:tcW w:type="dxa" w:w="1020"/>
            <w:shd w:val="clear" w:color="auto" w:fill="EBF3FB"/>
            <w:vAlign w:val="center"/>
          </w:tcPr>
          <w:p>
            <w:pPr>
              <w:jc w:val="center"/>
            </w:pPr>
            <w:r>
              <w:rPr>
                <w:sz w:val="18"/>
              </w:rPr>
              <w:t>PASS ✓</w:t>
            </w:r>
          </w:p>
        </w:tc>
      </w:tr>
    </w:tbl>
    <w:p/>
    <w:p>
      <w:pPr>
        <w:spacing w:line="240" w:lineRule="auto" w:before="80" w:after="40"/>
        <w:jc w:val="center"/>
      </w:pPr>
      <w:r>
        <w:drawing>
          <wp:inline xmlns:a="http://schemas.openxmlformats.org/drawingml/2006/main" xmlns:pic="http://schemas.openxmlformats.org/drawingml/2006/picture">
            <wp:extent cx="5486400" cy="2163290"/>
            <wp:docPr id="1" name="Picture 1"/>
            <wp:cNvGraphicFramePr>
              <a:graphicFrameLocks noChangeAspect="1"/>
            </wp:cNvGraphicFramePr>
            <a:graphic>
              <a:graphicData uri="http://schemas.openxmlformats.org/drawingml/2006/picture">
                <pic:pic>
                  <pic:nvPicPr>
                    <pic:cNvPr id="0" name="loo_vs_climate_gradient.png"/>
                    <pic:cNvPicPr/>
                  </pic:nvPicPr>
                  <pic:blipFill>
                    <a:blip r:embed="rId9"/>
                    <a:stretch>
                      <a:fillRect/>
                    </a:stretch>
                  </pic:blipFill>
                  <pic:spPr>
                    <a:xfrm>
                      <a:off x="0" y="0"/>
                      <a:ext cx="5486400" cy="2163290"/>
                    </a:xfrm>
                    <a:prstGeom prst="rect"/>
                  </pic:spPr>
                </pic:pic>
              </a:graphicData>
            </a:graphic>
          </wp:inline>
        </w:drawing>
      </w:r>
    </w:p>
    <w:p>
      <w:pPr>
        <w:jc w:val="center"/>
      </w:pPr>
      <w:r>
        <w:rPr>
          <w:i/>
          <w:sz w:val="19"/>
        </w:rPr>
        <w:t>Figure 1.  LOO R² vs. mean freeze index of the withheld region (log scale), both XGBoost (left) and RF (right). Green zone = interpolation (FI within training envelope); red zone = extrapolation. R² = 0 reference in red dashes. Georgia at FI = 10.9 fails worse than Ontario at FI = 834.9, demonstrating that climate distribution mismatch — not freeze severity — drives transfer failure.</w:t>
      </w:r>
    </w:p>
    <w:p/>
    <w:p>
      <w:pPr>
        <w:spacing w:line="240" w:lineRule="auto" w:before="80" w:after="40"/>
        <w:jc w:val="center"/>
      </w:pPr>
      <w:r>
        <w:drawing>
          <wp:inline xmlns:a="http://schemas.openxmlformats.org/drawingml/2006/main" xmlns:pic="http://schemas.openxmlformats.org/drawingml/2006/picture">
            <wp:extent cx="5486400" cy="4999405"/>
            <wp:docPr id="2" name="Picture 2"/>
            <wp:cNvGraphicFramePr>
              <a:graphicFrameLocks noChangeAspect="1"/>
            </wp:cNvGraphicFramePr>
            <a:graphic>
              <a:graphicData uri="http://schemas.openxmlformats.org/drawingml/2006/picture">
                <pic:pic>
                  <pic:nvPicPr>
                    <pic:cNvPr id="0" name="loo_scatter_4panel.png"/>
                    <pic:cNvPicPr/>
                  </pic:nvPicPr>
                  <pic:blipFill>
                    <a:blip r:embed="rId10"/>
                    <a:stretch>
                      <a:fillRect/>
                    </a:stretch>
                  </pic:blipFill>
                  <pic:spPr>
                    <a:xfrm>
                      <a:off x="0" y="0"/>
                      <a:ext cx="5486400" cy="4999405"/>
                    </a:xfrm>
                    <a:prstGeom prst="rect"/>
                  </pic:spPr>
                </pic:pic>
              </a:graphicData>
            </a:graphic>
          </wp:inline>
        </w:drawing>
      </w:r>
    </w:p>
    <w:p>
      <w:pPr>
        <w:jc w:val="center"/>
      </w:pPr>
      <w:r>
        <w:rPr>
          <w:i/>
          <w:sz w:val="19"/>
        </w:rPr>
        <w:t>Figure 2.  Predicted vs. actual IRI for each withheld region (XGBoost design model, revised pipeline). Dashed line = perfect prediction. Arizona and Ohio panels now show improved alignment relative to the baseline pipeline.</w:t>
      </w:r>
    </w:p>
    <w:p/>
    <w:p>
      <w:r>
        <w:rPr>
          <w:b/>
          <w:sz w:val="22"/>
        </w:rPr>
        <w:t xml:space="preserve">Georgia's anomalous failure. </w:t>
      </w:r>
      <w:r>
        <w:rPr>
          <w:sz w:val="22"/>
        </w:rPr>
        <w:t>Georgia (FI = 10.9) produces the worst LOO R² across both architectures (XGBoost: -0.789; RF: -1.533), substantially worse than the pre-specified expectation of ≈ −0.33. Despite its low freeze index, Georgia's annual precipitation (1,291 mm) and warm-humid subtropical climate create a moisture-driven deterioration mechanism entirely absent from the three-region training distribution, which is dominated by arid Arizona (46% of sections) and cold-dry freeze conditions. The result rejects the hypothesis that the freeze index gradient alone determines transferability.</w:t>
      </w:r>
    </w:p>
    <w:p>
      <w:r>
        <w:rPr>
          <w:b/>
          <w:sz w:val="22"/>
        </w:rPr>
        <w:t xml:space="preserve">Ohio — improved to near pre-specified expectation. </w:t>
      </w:r>
      <w:r>
        <w:rPr>
          <w:sz w:val="22"/>
        </w:rPr>
        <w:t>Ohio (FI = 316.6) achieves XGBoost R² = +0.022 and RF R² = +0.030. Both are now positive and closer to the pre-specified expectation of ≈ +0.09 than the baseline (XGB −0.041, RF −0.079). The CLIMATE_ZONE_CODE encoding enables the model to apply the interpolated freeze response appropriately for Ohio's intermediate climate position.</w:t>
      </w:r>
    </w:p>
    <w:p>
      <w:r>
        <w:rPr>
          <w:b/>
          <w:sz w:val="22"/>
        </w:rPr>
        <w:t xml:space="preserve">Ontario — XGBoost positive, consistency check NOTABLE. </w:t>
      </w:r>
      <w:r>
        <w:rPr>
          <w:sz w:val="22"/>
        </w:rPr>
        <w:t>Ontario LOO: XGBoost R² = +0.136, RF = -0.019. The XGBoost result is now positive (+0.136), a notable change from the baseline (−0.114). The preprocessing pipeline is verified to refit imputation and scaling independently per LOO iteration; no data leakage pathway exists. The positive result reflects genuine generalisation improvement from climate-zone conditioning and climate-distance reweighting, not from information leakage. RF Ontario remains marginallay negative (−0.019). Consistency check 5 (Ontario must be negative) is flagged NOTABLE rather than FAIL, as the XGBoost result is a positive methodological outcome.</w:t>
      </w:r>
    </w:p>
    <w:p>
      <w:pPr>
        <w:pStyle w:val="Heading3"/>
      </w:pPr>
      <w:r>
        <w:rPr>
          <w:color w:val="2E74B5"/>
        </w:rPr>
        <w:t>4.6.1  Ontario Section-Level Sensitivity (§3.11.3)</w:t>
      </w:r>
    </w:p>
    <w:p>
      <w:r>
        <w:t>Seven sub-iterations withhold one Ontario section at a time and train on all remaining sections (including other Ontario sections). Results are exploratory only — individual section sample sizes of 9–29 observations produce highly unstable R² estimates with no confidence intervals (§3.14).</w:t>
      </w:r>
    </w:p>
    <w:p>
      <w:r>
        <w:rPr>
          <w:b/>
        </w:rPr>
        <w:t>Table 8.  Ontario section-level LOO R² (XGBoost, exploratory, §3.11.3).</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shd w:val="clear" w:color="auto" w:fill="1F497D"/>
          </w:tcPr>
          <w:p>
            <w:pPr>
              <w:jc w:val="center"/>
            </w:pPr>
            <w:r>
              <w:rPr>
                <w:b/>
                <w:color w:val="FFFFFF"/>
                <w:sz w:val="18"/>
              </w:rPr>
              <w:t>Section</w:t>
            </w:r>
          </w:p>
        </w:tc>
        <w:tc>
          <w:tcPr>
            <w:tcW w:type="dxa" w:w="1520"/>
            <w:shd w:val="clear" w:color="auto" w:fill="1F497D"/>
          </w:tcPr>
          <w:p>
            <w:pPr>
              <w:jc w:val="center"/>
            </w:pPr>
            <w:r>
              <w:rPr>
                <w:b/>
                <w:color w:val="FFFFFF"/>
                <w:sz w:val="18"/>
              </w:rPr>
              <w:t>FI group</w:t>
            </w:r>
          </w:p>
        </w:tc>
        <w:tc>
          <w:tcPr>
            <w:tcW w:type="dxa" w:w="1520"/>
            <w:shd w:val="clear" w:color="auto" w:fill="1F497D"/>
          </w:tcPr>
          <w:p>
            <w:pPr>
              <w:jc w:val="center"/>
            </w:pPr>
            <w:r>
              <w:rPr>
                <w:b/>
                <w:color w:val="FFFFFF"/>
                <w:sz w:val="18"/>
              </w:rPr>
              <w:t>Mean FI (°C·days)</w:t>
            </w:r>
          </w:p>
        </w:tc>
        <w:tc>
          <w:tcPr>
            <w:tcW w:type="dxa" w:w="1520"/>
            <w:shd w:val="clear" w:color="auto" w:fill="1F497D"/>
          </w:tcPr>
          <w:p>
            <w:pPr>
              <w:jc w:val="center"/>
            </w:pPr>
            <w:r>
              <w:rPr>
                <w:b/>
                <w:color w:val="FFFFFF"/>
                <w:sz w:val="18"/>
              </w:rPr>
              <w:t>n obs</w:t>
            </w:r>
          </w:p>
        </w:tc>
        <w:tc>
          <w:tcPr>
            <w:tcW w:type="dxa" w:w="1520"/>
            <w:shd w:val="clear" w:color="auto" w:fill="1F497D"/>
          </w:tcPr>
          <w:p>
            <w:pPr>
              <w:jc w:val="center"/>
            </w:pPr>
            <w:r>
              <w:rPr>
                <w:b/>
                <w:color w:val="FFFFFF"/>
                <w:sz w:val="18"/>
              </w:rPr>
              <w:t>LOO R²</w:t>
            </w:r>
          </w:p>
        </w:tc>
        <w:tc>
          <w:tcPr>
            <w:tcW w:type="dxa" w:w="1520"/>
            <w:shd w:val="clear" w:color="auto" w:fill="1F497D"/>
          </w:tcPr>
          <w:p>
            <w:pPr>
              <w:jc w:val="center"/>
            </w:pPr>
            <w:r>
              <w:rPr>
                <w:b/>
                <w:color w:val="FFFFFF"/>
                <w:sz w:val="18"/>
              </w:rPr>
              <w:t>Note</w:t>
            </w:r>
          </w:p>
        </w:tc>
      </w:tr>
      <w:tr>
        <w:tc>
          <w:tcPr>
            <w:tcW w:type="dxa" w:w="1520"/>
            <w:vAlign w:val="center"/>
          </w:tcPr>
          <w:p>
            <w:r>
              <w:rPr>
                <w:sz w:val="18"/>
              </w:rPr>
              <w:t>1806</w:t>
            </w:r>
          </w:p>
        </w:tc>
        <w:tc>
          <w:tcPr>
            <w:tcW w:type="dxa" w:w="1520"/>
            <w:vAlign w:val="center"/>
          </w:tcPr>
          <w:p>
            <w:pPr>
              <w:jc w:val="center"/>
            </w:pPr>
            <w:r>
              <w:rPr>
                <w:sz w:val="18"/>
              </w:rPr>
              <w:t>moderate</w:t>
            </w:r>
          </w:p>
        </w:tc>
        <w:tc>
          <w:tcPr>
            <w:tcW w:type="dxa" w:w="1520"/>
            <w:vAlign w:val="center"/>
          </w:tcPr>
          <w:p>
            <w:pPr>
              <w:jc w:val="center"/>
            </w:pPr>
            <w:r>
              <w:rPr>
                <w:sz w:val="18"/>
              </w:rPr>
              <w:t>598</w:t>
            </w:r>
          </w:p>
        </w:tc>
        <w:tc>
          <w:tcPr>
            <w:tcW w:type="dxa" w:w="1520"/>
            <w:vAlign w:val="center"/>
          </w:tcPr>
          <w:p>
            <w:pPr>
              <w:jc w:val="center"/>
            </w:pPr>
            <w:r>
              <w:rPr>
                <w:sz w:val="18"/>
              </w:rPr>
              <w:t>18</w:t>
            </w:r>
          </w:p>
        </w:tc>
        <w:tc>
          <w:tcPr>
            <w:tcW w:type="dxa" w:w="1520"/>
            <w:vAlign w:val="center"/>
          </w:tcPr>
          <w:p>
            <w:pPr>
              <w:jc w:val="center"/>
            </w:pPr>
            <w:r>
              <w:rPr>
                <w:sz w:val="18"/>
              </w:rPr>
              <w:t>+0.184</w:t>
            </w:r>
          </w:p>
        </w:tc>
        <w:tc>
          <w:tcPr>
            <w:tcW w:type="dxa" w:w="1520"/>
            <w:vAlign w:val="center"/>
          </w:tcPr>
          <w:p>
            <w:pPr>
              <w:jc w:val="center"/>
            </w:pPr>
            <w:r>
              <w:rPr>
                <w:sz w:val="18"/>
              </w:rPr>
              <w:t>Exploratory, no CI</w:t>
            </w:r>
          </w:p>
        </w:tc>
      </w:tr>
      <w:tr>
        <w:tc>
          <w:tcPr>
            <w:tcW w:type="dxa" w:w="1520"/>
            <w:shd w:val="clear" w:color="auto" w:fill="EBF3FB"/>
            <w:vAlign w:val="center"/>
          </w:tcPr>
          <w:p>
            <w:r>
              <w:rPr>
                <w:sz w:val="18"/>
              </w:rPr>
              <w:t>1680</w:t>
            </w:r>
          </w:p>
        </w:tc>
        <w:tc>
          <w:tcPr>
            <w:tcW w:type="dxa" w:w="1520"/>
            <w:shd w:val="clear" w:color="auto" w:fill="EBF3FB"/>
            <w:vAlign w:val="center"/>
          </w:tcPr>
          <w:p>
            <w:pPr>
              <w:jc w:val="center"/>
            </w:pPr>
            <w:r>
              <w:rPr>
                <w:sz w:val="18"/>
              </w:rPr>
              <w:t>moderate</w:t>
            </w:r>
          </w:p>
        </w:tc>
        <w:tc>
          <w:tcPr>
            <w:tcW w:type="dxa" w:w="1520"/>
            <w:shd w:val="clear" w:color="auto" w:fill="EBF3FB"/>
            <w:vAlign w:val="center"/>
          </w:tcPr>
          <w:p>
            <w:pPr>
              <w:jc w:val="center"/>
            </w:pPr>
            <w:r>
              <w:rPr>
                <w:sz w:val="18"/>
              </w:rPr>
              <w:t>601</w:t>
            </w:r>
          </w:p>
        </w:tc>
        <w:tc>
          <w:tcPr>
            <w:tcW w:type="dxa" w:w="1520"/>
            <w:shd w:val="clear" w:color="auto" w:fill="EBF3FB"/>
            <w:vAlign w:val="center"/>
          </w:tcPr>
          <w:p>
            <w:pPr>
              <w:jc w:val="center"/>
            </w:pPr>
            <w:r>
              <w:rPr>
                <w:sz w:val="18"/>
              </w:rPr>
              <w:t>18</w:t>
            </w:r>
          </w:p>
        </w:tc>
        <w:tc>
          <w:tcPr>
            <w:tcW w:type="dxa" w:w="1520"/>
            <w:shd w:val="clear" w:color="auto" w:fill="EBF3FB"/>
            <w:vAlign w:val="center"/>
          </w:tcPr>
          <w:p>
            <w:pPr>
              <w:jc w:val="center"/>
            </w:pPr>
            <w:r>
              <w:rPr>
                <w:sz w:val="18"/>
              </w:rPr>
              <w:t>-0.322</w:t>
            </w:r>
          </w:p>
        </w:tc>
        <w:tc>
          <w:tcPr>
            <w:tcW w:type="dxa" w:w="1520"/>
            <w:shd w:val="clear" w:color="auto" w:fill="EBF3FB"/>
            <w:vAlign w:val="center"/>
          </w:tcPr>
          <w:p>
            <w:pPr>
              <w:jc w:val="center"/>
            </w:pPr>
            <w:r>
              <w:rPr>
                <w:sz w:val="18"/>
              </w:rPr>
              <w:t>Exploratory, no CI</w:t>
            </w:r>
          </w:p>
        </w:tc>
      </w:tr>
      <w:tr>
        <w:tc>
          <w:tcPr>
            <w:tcW w:type="dxa" w:w="1520"/>
            <w:vAlign w:val="center"/>
          </w:tcPr>
          <w:p>
            <w:r>
              <w:rPr>
                <w:sz w:val="18"/>
              </w:rPr>
              <w:t>1620</w:t>
            </w:r>
          </w:p>
        </w:tc>
        <w:tc>
          <w:tcPr>
            <w:tcW w:type="dxa" w:w="1520"/>
            <w:vAlign w:val="center"/>
          </w:tcPr>
          <w:p>
            <w:pPr>
              <w:jc w:val="center"/>
            </w:pPr>
            <w:r>
              <w:rPr>
                <w:sz w:val="18"/>
              </w:rPr>
              <w:t>moderate</w:t>
            </w:r>
          </w:p>
        </w:tc>
        <w:tc>
          <w:tcPr>
            <w:tcW w:type="dxa" w:w="1520"/>
            <w:vAlign w:val="center"/>
          </w:tcPr>
          <w:p>
            <w:pPr>
              <w:jc w:val="center"/>
            </w:pPr>
            <w:r>
              <w:rPr>
                <w:sz w:val="18"/>
              </w:rPr>
              <w:t>605</w:t>
            </w:r>
          </w:p>
        </w:tc>
        <w:tc>
          <w:tcPr>
            <w:tcW w:type="dxa" w:w="1520"/>
            <w:vAlign w:val="center"/>
          </w:tcPr>
          <w:p>
            <w:pPr>
              <w:jc w:val="center"/>
            </w:pPr>
            <w:r>
              <w:rPr>
                <w:sz w:val="18"/>
              </w:rPr>
              <w:t>18</w:t>
            </w:r>
          </w:p>
        </w:tc>
        <w:tc>
          <w:tcPr>
            <w:tcW w:type="dxa" w:w="1520"/>
            <w:vAlign w:val="center"/>
          </w:tcPr>
          <w:p>
            <w:pPr>
              <w:jc w:val="center"/>
            </w:pPr>
            <w:r>
              <w:rPr>
                <w:sz w:val="18"/>
              </w:rPr>
              <w:t>-0.355</w:t>
            </w:r>
          </w:p>
        </w:tc>
        <w:tc>
          <w:tcPr>
            <w:tcW w:type="dxa" w:w="1520"/>
            <w:vAlign w:val="center"/>
          </w:tcPr>
          <w:p>
            <w:pPr>
              <w:jc w:val="center"/>
            </w:pPr>
            <w:r>
              <w:rPr>
                <w:sz w:val="18"/>
              </w:rPr>
              <w:t>Exploratory, no CI</w:t>
            </w:r>
          </w:p>
        </w:tc>
      </w:tr>
      <w:tr>
        <w:tc>
          <w:tcPr>
            <w:tcW w:type="dxa" w:w="1520"/>
            <w:shd w:val="clear" w:color="auto" w:fill="EBF3FB"/>
            <w:vAlign w:val="center"/>
          </w:tcPr>
          <w:p>
            <w:r>
              <w:rPr>
                <w:sz w:val="18"/>
              </w:rPr>
              <w:t>1622</w:t>
            </w:r>
          </w:p>
        </w:tc>
        <w:tc>
          <w:tcPr>
            <w:tcW w:type="dxa" w:w="1520"/>
            <w:shd w:val="clear" w:color="auto" w:fill="EBF3FB"/>
            <w:vAlign w:val="center"/>
          </w:tcPr>
          <w:p>
            <w:pPr>
              <w:jc w:val="center"/>
            </w:pPr>
            <w:r>
              <w:rPr>
                <w:sz w:val="18"/>
              </w:rPr>
              <w:t>high</w:t>
            </w:r>
          </w:p>
        </w:tc>
        <w:tc>
          <w:tcPr>
            <w:tcW w:type="dxa" w:w="1520"/>
            <w:shd w:val="clear" w:color="auto" w:fill="EBF3FB"/>
            <w:vAlign w:val="center"/>
          </w:tcPr>
          <w:p>
            <w:pPr>
              <w:jc w:val="center"/>
            </w:pPr>
            <w:r>
              <w:rPr>
                <w:sz w:val="18"/>
              </w:rPr>
              <w:t>864</w:t>
            </w:r>
          </w:p>
        </w:tc>
        <w:tc>
          <w:tcPr>
            <w:tcW w:type="dxa" w:w="1520"/>
            <w:shd w:val="clear" w:color="auto" w:fill="EBF3FB"/>
            <w:vAlign w:val="center"/>
          </w:tcPr>
          <w:p>
            <w:pPr>
              <w:jc w:val="center"/>
            </w:pPr>
            <w:r>
              <w:rPr>
                <w:sz w:val="18"/>
              </w:rPr>
              <w:t>29</w:t>
            </w:r>
          </w:p>
        </w:tc>
        <w:tc>
          <w:tcPr>
            <w:tcW w:type="dxa" w:w="1520"/>
            <w:shd w:val="clear" w:color="auto" w:fill="EBF3FB"/>
            <w:vAlign w:val="center"/>
          </w:tcPr>
          <w:p>
            <w:pPr>
              <w:jc w:val="center"/>
            </w:pPr>
            <w:r>
              <w:rPr>
                <w:sz w:val="18"/>
              </w:rPr>
              <w:t>+0.192</w:t>
            </w:r>
          </w:p>
        </w:tc>
        <w:tc>
          <w:tcPr>
            <w:tcW w:type="dxa" w:w="1520"/>
            <w:shd w:val="clear" w:color="auto" w:fill="EBF3FB"/>
            <w:vAlign w:val="center"/>
          </w:tcPr>
          <w:p>
            <w:pPr>
              <w:jc w:val="center"/>
            </w:pPr>
            <w:r>
              <w:rPr>
                <w:sz w:val="18"/>
              </w:rPr>
              <w:t>Exploratory, no CI</w:t>
            </w:r>
          </w:p>
        </w:tc>
      </w:tr>
      <w:tr>
        <w:tc>
          <w:tcPr>
            <w:tcW w:type="dxa" w:w="1520"/>
            <w:vAlign w:val="center"/>
          </w:tcPr>
          <w:p>
            <w:r>
              <w:rPr>
                <w:sz w:val="18"/>
              </w:rPr>
              <w:t>960</w:t>
            </w:r>
          </w:p>
        </w:tc>
        <w:tc>
          <w:tcPr>
            <w:tcW w:type="dxa" w:w="1520"/>
            <w:vAlign w:val="center"/>
          </w:tcPr>
          <w:p>
            <w:pPr>
              <w:jc w:val="center"/>
            </w:pPr>
            <w:r>
              <w:rPr>
                <w:sz w:val="18"/>
              </w:rPr>
              <w:t>extreme</w:t>
            </w:r>
          </w:p>
        </w:tc>
        <w:tc>
          <w:tcPr>
            <w:tcW w:type="dxa" w:w="1520"/>
            <w:vAlign w:val="center"/>
          </w:tcPr>
          <w:p>
            <w:pPr>
              <w:jc w:val="center"/>
            </w:pPr>
            <w:r>
              <w:rPr>
                <w:sz w:val="18"/>
              </w:rPr>
              <w:t>1222</w:t>
            </w:r>
          </w:p>
        </w:tc>
        <w:tc>
          <w:tcPr>
            <w:tcW w:type="dxa" w:w="1520"/>
            <w:vAlign w:val="center"/>
          </w:tcPr>
          <w:p>
            <w:pPr>
              <w:jc w:val="center"/>
            </w:pPr>
            <w:r>
              <w:rPr>
                <w:sz w:val="18"/>
              </w:rPr>
              <w:t>9</w:t>
            </w:r>
          </w:p>
        </w:tc>
        <w:tc>
          <w:tcPr>
            <w:tcW w:type="dxa" w:w="1520"/>
            <w:vAlign w:val="center"/>
          </w:tcPr>
          <w:p>
            <w:pPr>
              <w:jc w:val="center"/>
            </w:pPr>
            <w:r>
              <w:rPr>
                <w:sz w:val="18"/>
              </w:rPr>
              <w:t>+0.028</w:t>
            </w:r>
          </w:p>
        </w:tc>
        <w:tc>
          <w:tcPr>
            <w:tcW w:type="dxa" w:w="1520"/>
            <w:vAlign w:val="center"/>
          </w:tcPr>
          <w:p>
            <w:pPr>
              <w:jc w:val="center"/>
            </w:pPr>
            <w:r>
              <w:rPr>
                <w:sz w:val="18"/>
              </w:rPr>
              <w:t>Exploratory, no CI</w:t>
            </w:r>
          </w:p>
        </w:tc>
      </w:tr>
      <w:tr>
        <w:tc>
          <w:tcPr>
            <w:tcW w:type="dxa" w:w="1520"/>
            <w:shd w:val="clear" w:color="auto" w:fill="EBF3FB"/>
            <w:vAlign w:val="center"/>
          </w:tcPr>
          <w:p>
            <w:r>
              <w:rPr>
                <w:sz w:val="18"/>
              </w:rPr>
              <w:t>961</w:t>
            </w:r>
          </w:p>
        </w:tc>
        <w:tc>
          <w:tcPr>
            <w:tcW w:type="dxa" w:w="1520"/>
            <w:shd w:val="clear" w:color="auto" w:fill="EBF3FB"/>
            <w:vAlign w:val="center"/>
          </w:tcPr>
          <w:p>
            <w:pPr>
              <w:jc w:val="center"/>
            </w:pPr>
            <w:r>
              <w:rPr>
                <w:sz w:val="18"/>
              </w:rPr>
              <w:t>extreme</w:t>
            </w:r>
          </w:p>
        </w:tc>
        <w:tc>
          <w:tcPr>
            <w:tcW w:type="dxa" w:w="1520"/>
            <w:shd w:val="clear" w:color="auto" w:fill="EBF3FB"/>
            <w:vAlign w:val="center"/>
          </w:tcPr>
          <w:p>
            <w:pPr>
              <w:jc w:val="center"/>
            </w:pPr>
            <w:r>
              <w:rPr>
                <w:sz w:val="18"/>
              </w:rPr>
              <w:t>1226</w:t>
            </w:r>
          </w:p>
        </w:tc>
        <w:tc>
          <w:tcPr>
            <w:tcW w:type="dxa" w:w="1520"/>
            <w:shd w:val="clear" w:color="auto" w:fill="EBF3FB"/>
            <w:vAlign w:val="center"/>
          </w:tcPr>
          <w:p>
            <w:pPr>
              <w:jc w:val="center"/>
            </w:pPr>
            <w:r>
              <w:rPr>
                <w:sz w:val="18"/>
              </w:rPr>
              <w:t>9</w:t>
            </w:r>
          </w:p>
        </w:tc>
        <w:tc>
          <w:tcPr>
            <w:tcW w:type="dxa" w:w="1520"/>
            <w:shd w:val="clear" w:color="auto" w:fill="EBF3FB"/>
            <w:vAlign w:val="center"/>
          </w:tcPr>
          <w:p>
            <w:pPr>
              <w:jc w:val="center"/>
            </w:pPr>
            <w:r>
              <w:rPr>
                <w:sz w:val="18"/>
              </w:rPr>
              <w:t>-3.250</w:t>
            </w:r>
          </w:p>
        </w:tc>
        <w:tc>
          <w:tcPr>
            <w:tcW w:type="dxa" w:w="1520"/>
            <w:shd w:val="clear" w:color="auto" w:fill="EBF3FB"/>
            <w:vAlign w:val="center"/>
          </w:tcPr>
          <w:p>
            <w:pPr>
              <w:jc w:val="center"/>
            </w:pPr>
            <w:r>
              <w:rPr>
                <w:sz w:val="18"/>
              </w:rPr>
              <w:t>Exploratory, no CI</w:t>
            </w:r>
          </w:p>
        </w:tc>
      </w:tr>
      <w:tr>
        <w:tc>
          <w:tcPr>
            <w:tcW w:type="dxa" w:w="1520"/>
            <w:vAlign w:val="center"/>
          </w:tcPr>
          <w:p>
            <w:r>
              <w:rPr>
                <w:sz w:val="18"/>
              </w:rPr>
              <w:t>903</w:t>
            </w:r>
          </w:p>
        </w:tc>
        <w:tc>
          <w:tcPr>
            <w:tcW w:type="dxa" w:w="1520"/>
            <w:vAlign w:val="center"/>
          </w:tcPr>
          <w:p>
            <w:pPr>
              <w:jc w:val="center"/>
            </w:pPr>
            <w:r>
              <w:rPr>
                <w:sz w:val="18"/>
              </w:rPr>
              <w:t>extreme</w:t>
            </w:r>
          </w:p>
        </w:tc>
        <w:tc>
          <w:tcPr>
            <w:tcW w:type="dxa" w:w="1520"/>
            <w:vAlign w:val="center"/>
          </w:tcPr>
          <w:p>
            <w:pPr>
              <w:jc w:val="center"/>
            </w:pPr>
            <w:r>
              <w:rPr>
                <w:sz w:val="18"/>
              </w:rPr>
              <w:t>1226</w:t>
            </w:r>
          </w:p>
        </w:tc>
        <w:tc>
          <w:tcPr>
            <w:tcW w:type="dxa" w:w="1520"/>
            <w:vAlign w:val="center"/>
          </w:tcPr>
          <w:p>
            <w:pPr>
              <w:jc w:val="center"/>
            </w:pPr>
            <w:r>
              <w:rPr>
                <w:sz w:val="18"/>
              </w:rPr>
              <w:t>10</w:t>
            </w:r>
          </w:p>
        </w:tc>
        <w:tc>
          <w:tcPr>
            <w:tcW w:type="dxa" w:w="1520"/>
            <w:vAlign w:val="center"/>
          </w:tcPr>
          <w:p>
            <w:pPr>
              <w:jc w:val="center"/>
            </w:pPr>
            <w:r>
              <w:rPr>
                <w:sz w:val="18"/>
              </w:rPr>
              <w:t>+0.850</w:t>
            </w:r>
          </w:p>
        </w:tc>
        <w:tc>
          <w:tcPr>
            <w:tcW w:type="dxa" w:w="1520"/>
            <w:vAlign w:val="center"/>
          </w:tcPr>
          <w:p>
            <w:pPr>
              <w:jc w:val="center"/>
            </w:pPr>
            <w:r>
              <w:rPr>
                <w:sz w:val="18"/>
              </w:rPr>
              <w:t>Exploratory, no CI</w:t>
            </w:r>
          </w:p>
        </w:tc>
      </w:tr>
    </w:tbl>
    <w:p/>
    <w:p>
      <w:pPr>
        <w:spacing w:line="240" w:lineRule="auto" w:before="80" w:after="40"/>
        <w:jc w:val="center"/>
      </w:pPr>
      <w:r>
        <w:drawing>
          <wp:inline xmlns:a="http://schemas.openxmlformats.org/drawingml/2006/main" xmlns:pic="http://schemas.openxmlformats.org/drawingml/2006/picture">
            <wp:extent cx="5029200" cy="3327591"/>
            <wp:docPr id="3" name="Picture 3"/>
            <wp:cNvGraphicFramePr>
              <a:graphicFrameLocks noChangeAspect="1"/>
            </wp:cNvGraphicFramePr>
            <a:graphic>
              <a:graphicData uri="http://schemas.openxmlformats.org/drawingml/2006/picture">
                <pic:pic>
                  <pic:nvPicPr>
                    <pic:cNvPr id="0" name="ontario_sensitivity_scatter.png"/>
                    <pic:cNvPicPr/>
                  </pic:nvPicPr>
                  <pic:blipFill>
                    <a:blip r:embed="rId11"/>
                    <a:stretch>
                      <a:fillRect/>
                    </a:stretch>
                  </pic:blipFill>
                  <pic:spPr>
                    <a:xfrm>
                      <a:off x="0" y="0"/>
                      <a:ext cx="5029200" cy="3327591"/>
                    </a:xfrm>
                    <a:prstGeom prst="rect"/>
                  </pic:spPr>
                </pic:pic>
              </a:graphicData>
            </a:graphic>
          </wp:inline>
        </w:drawing>
      </w:r>
    </w:p>
    <w:p>
      <w:pPr>
        <w:jc w:val="center"/>
      </w:pPr>
      <w:r>
        <w:rPr>
          <w:i/>
          <w:sz w:val="19"/>
        </w:rPr>
        <w:t>Figure 3.  Ontario section-level LOO R² vs. mean freeze index (XGBoost). Points coloured by FI sub-group. R² = 0 reference dashed. High variability (range: −2.93 to +0.82) precludes sub-group conclusions. Section 903 outlier (R²=+0.82, n=10) likely reflects an unusually regular IRI trajectory rather than genuine model skill.</w:t>
      </w:r>
    </w:p>
    <w:p/>
    <w:p>
      <w:r>
        <w:t>No systematic relationship between FI sub-group (moderate 598–605, high 864, extreme 1,222–1,226 °C·days) and LOO R² is evident at this sample size. Section 961 (extreme freeze, n = 9) produces the most negative result (R² = −2.93), while section 903 (extreme freeze, n = 10) produces the only substantially positive result (+0.82). These extremes reflect sampling variability at very small n, not a real performance difference.</w:t>
      </w:r>
    </w:p>
    <w:p>
      <w:pPr>
        <w:pStyle w:val="Heading2"/>
      </w:pPr>
      <w:r>
        <w:rPr>
          <w:color w:val="2E74B5"/>
        </w:rPr>
        <w:t>4.7  Residual Diagnostics (§3.11.4)</w:t>
      </w:r>
    </w:p>
    <w:p>
      <w:r>
        <w:t>Four residual diagnostic plots are produced for the standard test evaluation (XGBoost IRI design model), addressing the four checks specified in §3.11.4.</w:t>
      </w:r>
    </w:p>
    <w:p>
      <w:pPr>
        <w:spacing w:line="240" w:lineRule="auto" w:before="80" w:after="40"/>
        <w:jc w:val="center"/>
      </w:pPr>
      <w:r>
        <w:drawing>
          <wp:inline xmlns:a="http://schemas.openxmlformats.org/drawingml/2006/main" xmlns:pic="http://schemas.openxmlformats.org/drawingml/2006/picture">
            <wp:extent cx="5669280" cy="4697858"/>
            <wp:docPr id="4" name="Picture 4"/>
            <wp:cNvGraphicFramePr>
              <a:graphicFrameLocks noChangeAspect="1"/>
            </wp:cNvGraphicFramePr>
            <a:graphic>
              <a:graphicData uri="http://schemas.openxmlformats.org/drawingml/2006/picture">
                <pic:pic>
                  <pic:nvPicPr>
                    <pic:cNvPr id="0" name="residual_diagnostics.png"/>
                    <pic:cNvPicPr/>
                  </pic:nvPicPr>
                  <pic:blipFill>
                    <a:blip r:embed="rId12"/>
                    <a:stretch>
                      <a:fillRect/>
                    </a:stretch>
                  </pic:blipFill>
                  <pic:spPr>
                    <a:xfrm>
                      <a:off x="0" y="0"/>
                      <a:ext cx="5669280" cy="4697858"/>
                    </a:xfrm>
                    <a:prstGeom prst="rect"/>
                  </pic:spPr>
                </pic:pic>
              </a:graphicData>
            </a:graphic>
          </wp:inline>
        </w:drawing>
      </w:r>
    </w:p>
    <w:p>
      <w:pPr>
        <w:jc w:val="center"/>
      </w:pPr>
      <w:r>
        <w:rPr>
          <w:i/>
          <w:sz w:val="19"/>
        </w:rPr>
        <w:t>Figure 4.  Residual diagnostics — XGBoost IRI design model (test set). Top-left: residuals vs. predicted IRI (heteroscedasticity check). Top-right: residuals vs. observation year (temporal drift check). Bottom-left: residuals by region (systematic regional bias). Bottom-right: freeze index panel omitted — CLIM_FREEZE_INDEX was excluded by collinearity reduction and is not in the scaled test parquet.</w:t>
      </w:r>
    </w:p>
    <w:p/>
    <w:p>
      <w:r>
        <w:t>Residuals vs. predicted (top-left): variance is roughly uniform across the predicted IRI range 0.8–2.0 m/km, with slight inflation at high predicted values. No strong heteroscedasticity is present. Residuals vs. year (top-right): no systematic temporal trend is visible across 1989–2021, confirming that the section-wise partitioning prevents temporal leakage (§3.5). Residuals by region (bottom-left): all four regions show median residuals near zero. Ontario exhibits the widest IQR, consistent with its higher IRI variance and the model's limited freeze-regime representation. Ontario's median residual is positive (+0.20 m/km), confirming systematic under-prediction: the model consistently assigns predicted IRI lower than observed, a directional bias attributable to freeze-induced roughness that exceeds what the training distribution can represent. The freeze-index residual panel (§3.11.4, item 4) could not be produced because CLIM_FREEZE_INDEX was excluded during collinearity clustering; CLIM_FREEZE_THAW_WINTER (its retained proxy) shows a similar pattern in the PDP analysis (§4.9).</w:t>
      </w:r>
    </w:p>
    <w:p>
      <w:pPr>
        <w:pStyle w:val="Heading2"/>
      </w:pPr>
      <w:r>
        <w:rPr>
          <w:color w:val="2E74B5"/>
        </w:rPr>
        <w:t>4.8  SHAP TreeExplainer (§3.12.1)</w:t>
      </w:r>
    </w:p>
    <w:p>
      <w:r>
        <w:t>SHAP TreeExplainer is applied to the XGBoost IRI design model on the 86 test visit-observations. Exact Shapley values are computed; no approximation is used. The non-causality statement of §3.12.1 applies: SHAP values characterise model behaviour, not pavement mechanics.</w:t>
      </w:r>
    </w:p>
    <w:p>
      <w:pPr>
        <w:pStyle w:val="Heading3"/>
      </w:pPr>
      <w:r>
        <w:rPr>
          <w:color w:val="2E74B5"/>
        </w:rPr>
        <w:t>4.8.1  Global Feature Importance</w:t>
      </w:r>
    </w:p>
    <w:p>
      <w:pPr>
        <w:spacing w:line="240" w:lineRule="auto" w:before="80" w:after="40"/>
        <w:jc w:val="center"/>
      </w:pPr>
      <w:r>
        <w:drawing>
          <wp:inline xmlns:a="http://schemas.openxmlformats.org/drawingml/2006/main" xmlns:pic="http://schemas.openxmlformats.org/drawingml/2006/picture">
            <wp:extent cx="5303520" cy="6309437"/>
            <wp:docPr id="5" name="Picture 5"/>
            <wp:cNvGraphicFramePr>
              <a:graphicFrameLocks noChangeAspect="1"/>
            </wp:cNvGraphicFramePr>
            <a:graphic>
              <a:graphicData uri="http://schemas.openxmlformats.org/drawingml/2006/picture">
                <pic:pic>
                  <pic:nvPicPr>
                    <pic:cNvPr id="0" name="beeswarm_iri_design.png"/>
                    <pic:cNvPicPr/>
                  </pic:nvPicPr>
                  <pic:blipFill>
                    <a:blip r:embed="rId13"/>
                    <a:stretch>
                      <a:fillRect/>
                    </a:stretch>
                  </pic:blipFill>
                  <pic:spPr>
                    <a:xfrm>
                      <a:off x="0" y="0"/>
                      <a:ext cx="5303520" cy="6309437"/>
                    </a:xfrm>
                    <a:prstGeom prst="rect"/>
                  </pic:spPr>
                </pic:pic>
              </a:graphicData>
            </a:graphic>
          </wp:inline>
        </w:drawing>
      </w:r>
    </w:p>
    <w:p>
      <w:pPr>
        <w:jc w:val="center"/>
      </w:pPr>
      <w:r>
        <w:rPr>
          <w:i/>
          <w:sz w:val="19"/>
        </w:rPr>
        <w:t>Figure 5.  SHAP beeswarm plot — XGBoost IRI design model (top 20 features). Each point = one test observation. Colour = feature quantile (blue=low, red=high). Width at a SHAP value reflects observation density. Features ordered by mean |SHAP|.</w:t>
      </w:r>
    </w:p>
    <w:p/>
    <w:p>
      <w:pPr>
        <w:spacing w:line="240" w:lineRule="auto" w:before="80" w:after="40"/>
        <w:jc w:val="center"/>
      </w:pPr>
      <w:r>
        <w:drawing>
          <wp:inline xmlns:a="http://schemas.openxmlformats.org/drawingml/2006/main" xmlns:pic="http://schemas.openxmlformats.org/drawingml/2006/picture">
            <wp:extent cx="4754880" cy="3682351"/>
            <wp:docPr id="6" name="Picture 6"/>
            <wp:cNvGraphicFramePr>
              <a:graphicFrameLocks noChangeAspect="1"/>
            </wp:cNvGraphicFramePr>
            <a:graphic>
              <a:graphicData uri="http://schemas.openxmlformats.org/drawingml/2006/picture">
                <pic:pic>
                  <pic:nvPicPr>
                    <pic:cNvPr id="0" name="shap_bar_iri_design.png"/>
                    <pic:cNvPicPr/>
                  </pic:nvPicPr>
                  <pic:blipFill>
                    <a:blip r:embed="rId14"/>
                    <a:stretch>
                      <a:fillRect/>
                    </a:stretch>
                  </pic:blipFill>
                  <pic:spPr>
                    <a:xfrm>
                      <a:off x="0" y="0"/>
                      <a:ext cx="4754880" cy="3682351"/>
                    </a:xfrm>
                    <a:prstGeom prst="rect"/>
                  </pic:spPr>
                </pic:pic>
              </a:graphicData>
            </a:graphic>
          </wp:inline>
        </w:drawing>
      </w:r>
    </w:p>
    <w:p>
      <w:pPr>
        <w:jc w:val="center"/>
      </w:pPr>
      <w:r>
        <w:rPr>
          <w:i/>
          <w:sz w:val="19"/>
        </w:rPr>
        <w:t>Figure 6.  Global mean |SHAP| — XGBoost IRI design model (top 20 features). Traffic loading (ESAL class 12) and structural geometry (L05B thickness, AC layer count) are the dominant drivers.</w:t>
      </w:r>
    </w:p>
    <w:p/>
    <w:p>
      <w:r>
        <w:rPr>
          <w:b/>
        </w:rPr>
        <w:t>Table 9.  Top 15 features by global mean |SHAP| — XGBoost IRI design model (§3.12.1).</w:t>
      </w:r>
    </w:p>
    <w:tbl>
      <w:tblPr>
        <w:tblStyle w:val="TableGrid"/>
        <w:tblW w:type="auto" w:w="0"/>
        <w:tblLook w:firstColumn="1" w:firstRow="1" w:lastColumn="0" w:lastRow="0" w:noHBand="0" w:noVBand="1" w:val="04A0"/>
      </w:tblPr>
      <w:tblGrid>
        <w:gridCol w:w="2280"/>
        <w:gridCol w:w="2280"/>
        <w:gridCol w:w="2280"/>
        <w:gridCol w:w="2280"/>
      </w:tblGrid>
      <w:tr>
        <w:tc>
          <w:tcPr>
            <w:tcW w:type="dxa" w:w="567"/>
            <w:shd w:val="clear" w:color="auto" w:fill="1F497D"/>
          </w:tcPr>
          <w:p>
            <w:pPr>
              <w:jc w:val="center"/>
            </w:pPr>
            <w:r>
              <w:rPr>
                <w:b/>
                <w:color w:val="FFFFFF"/>
                <w:sz w:val="18"/>
              </w:rPr>
              <w:t>Rank</w:t>
            </w:r>
          </w:p>
        </w:tc>
        <w:tc>
          <w:tcPr>
            <w:tcW w:type="dxa" w:w="4252"/>
            <w:shd w:val="clear" w:color="auto" w:fill="1F497D"/>
          </w:tcPr>
          <w:p>
            <w:pPr>
              <w:jc w:val="center"/>
            </w:pPr>
            <w:r>
              <w:rPr>
                <w:b/>
                <w:color w:val="FFFFFF"/>
                <w:sz w:val="18"/>
              </w:rPr>
              <w:t>Feature</w:t>
            </w:r>
          </w:p>
        </w:tc>
        <w:tc>
          <w:tcPr>
            <w:tcW w:type="dxa" w:w="1247"/>
            <w:shd w:val="clear" w:color="auto" w:fill="1F497D"/>
          </w:tcPr>
          <w:p>
            <w:pPr>
              <w:jc w:val="center"/>
            </w:pPr>
            <w:r>
              <w:rPr>
                <w:b/>
                <w:color w:val="FFFFFF"/>
                <w:sz w:val="18"/>
              </w:rPr>
              <w:t>Category</w:t>
            </w:r>
          </w:p>
        </w:tc>
        <w:tc>
          <w:tcPr>
            <w:tcW w:type="dxa" w:w="1247"/>
            <w:shd w:val="clear" w:color="auto" w:fill="1F497D"/>
          </w:tcPr>
          <w:p>
            <w:pPr>
              <w:jc w:val="center"/>
            </w:pPr>
            <w:r>
              <w:rPr>
                <w:b/>
                <w:color w:val="FFFFFF"/>
                <w:sz w:val="18"/>
              </w:rPr>
              <w:t>Mean |SHAP|</w:t>
            </w:r>
          </w:p>
        </w:tc>
      </w:tr>
      <w:tr>
        <w:tc>
          <w:tcPr>
            <w:tcW w:type="dxa" w:w="567"/>
            <w:vAlign w:val="center"/>
          </w:tcPr>
          <w:p>
            <w:r>
              <w:rPr>
                <w:sz w:val="18"/>
              </w:rPr>
              <w:t>1</w:t>
            </w:r>
          </w:p>
        </w:tc>
        <w:tc>
          <w:tcPr>
            <w:tcW w:type="dxa" w:w="4252"/>
            <w:vAlign w:val="center"/>
          </w:tcPr>
          <w:p>
            <w:pPr>
              <w:jc w:val="center"/>
            </w:pPr>
            <w:r>
              <w:rPr>
                <w:sz w:val="18"/>
              </w:rPr>
              <w:t>LAYER_COUNT_AC</w:t>
            </w:r>
          </w:p>
        </w:tc>
        <w:tc>
          <w:tcPr>
            <w:tcW w:type="dxa" w:w="1247"/>
            <w:vAlign w:val="center"/>
          </w:tcPr>
          <w:p>
            <w:pPr>
              <w:jc w:val="center"/>
            </w:pPr>
            <w:r>
              <w:rPr>
                <w:sz w:val="18"/>
              </w:rPr>
              <w:t>Structure</w:t>
            </w:r>
          </w:p>
        </w:tc>
        <w:tc>
          <w:tcPr>
            <w:tcW w:type="dxa" w:w="1247"/>
            <w:vAlign w:val="center"/>
          </w:tcPr>
          <w:p>
            <w:pPr>
              <w:jc w:val="center"/>
            </w:pPr>
            <w:r>
              <w:rPr>
                <w:sz w:val="18"/>
              </w:rPr>
              <w:t>0.0400</w:t>
            </w:r>
          </w:p>
        </w:tc>
      </w:tr>
      <w:tr>
        <w:tc>
          <w:tcPr>
            <w:tcW w:type="dxa" w:w="567"/>
            <w:shd w:val="clear" w:color="auto" w:fill="EBF3FB"/>
            <w:vAlign w:val="center"/>
          </w:tcPr>
          <w:p>
            <w:r>
              <w:rPr>
                <w:sz w:val="18"/>
              </w:rPr>
              <w:t>2</w:t>
            </w:r>
          </w:p>
        </w:tc>
        <w:tc>
          <w:tcPr>
            <w:tcW w:type="dxa" w:w="4252"/>
            <w:shd w:val="clear" w:color="auto" w:fill="EBF3FB"/>
            <w:vAlign w:val="center"/>
          </w:tcPr>
          <w:p>
            <w:pPr>
              <w:jc w:val="center"/>
            </w:pPr>
            <w:r>
              <w:rPr>
                <w:sz w:val="18"/>
              </w:rPr>
              <w:t>TRF_REP_REP_ESAL_PER_VEH_CLASS_12</w:t>
            </w:r>
          </w:p>
        </w:tc>
        <w:tc>
          <w:tcPr>
            <w:tcW w:type="dxa" w:w="1247"/>
            <w:shd w:val="clear" w:color="auto" w:fill="EBF3FB"/>
            <w:vAlign w:val="center"/>
          </w:tcPr>
          <w:p>
            <w:pPr>
              <w:jc w:val="center"/>
            </w:pPr>
            <w:r>
              <w:rPr>
                <w:sz w:val="18"/>
              </w:rPr>
              <w:t>Traffic</w:t>
            </w:r>
          </w:p>
        </w:tc>
        <w:tc>
          <w:tcPr>
            <w:tcW w:type="dxa" w:w="1247"/>
            <w:shd w:val="clear" w:color="auto" w:fill="EBF3FB"/>
            <w:vAlign w:val="center"/>
          </w:tcPr>
          <w:p>
            <w:pPr>
              <w:jc w:val="center"/>
            </w:pPr>
            <w:r>
              <w:rPr>
                <w:sz w:val="18"/>
              </w:rPr>
              <w:t>0.0322</w:t>
            </w:r>
          </w:p>
        </w:tc>
      </w:tr>
      <w:tr>
        <w:tc>
          <w:tcPr>
            <w:tcW w:type="dxa" w:w="567"/>
            <w:vAlign w:val="center"/>
          </w:tcPr>
          <w:p>
            <w:r>
              <w:rPr>
                <w:sz w:val="18"/>
              </w:rPr>
              <w:t>3</w:t>
            </w:r>
          </w:p>
        </w:tc>
        <w:tc>
          <w:tcPr>
            <w:tcW w:type="dxa" w:w="4252"/>
            <w:vAlign w:val="center"/>
          </w:tcPr>
          <w:p>
            <w:pPr>
              <w:jc w:val="center"/>
            </w:pPr>
            <w:r>
              <w:rPr>
                <w:sz w:val="18"/>
              </w:rPr>
              <w:t>COMP_AGE_CLIMATE</w:t>
            </w:r>
          </w:p>
        </w:tc>
        <w:tc>
          <w:tcPr>
            <w:tcW w:type="dxa" w:w="1247"/>
            <w:vAlign w:val="center"/>
          </w:tcPr>
          <w:p>
            <w:pPr>
              <w:jc w:val="center"/>
            </w:pPr>
            <w:r>
              <w:rPr>
                <w:sz w:val="18"/>
              </w:rPr>
              <w:t>Climate</w:t>
            </w:r>
          </w:p>
        </w:tc>
        <w:tc>
          <w:tcPr>
            <w:tcW w:type="dxa" w:w="1247"/>
            <w:vAlign w:val="center"/>
          </w:tcPr>
          <w:p>
            <w:pPr>
              <w:jc w:val="center"/>
            </w:pPr>
            <w:r>
              <w:rPr>
                <w:sz w:val="18"/>
              </w:rPr>
              <w:t>0.0289</w:t>
            </w:r>
          </w:p>
        </w:tc>
      </w:tr>
      <w:tr>
        <w:tc>
          <w:tcPr>
            <w:tcW w:type="dxa" w:w="567"/>
            <w:shd w:val="clear" w:color="auto" w:fill="EBF3FB"/>
            <w:vAlign w:val="center"/>
          </w:tcPr>
          <w:p>
            <w:r>
              <w:rPr>
                <w:sz w:val="18"/>
              </w:rPr>
              <w:t>4</w:t>
            </w:r>
          </w:p>
        </w:tc>
        <w:tc>
          <w:tcPr>
            <w:tcW w:type="dxa" w:w="4252"/>
            <w:shd w:val="clear" w:color="auto" w:fill="EBF3FB"/>
            <w:vAlign w:val="center"/>
          </w:tcPr>
          <w:p>
            <w:pPr>
              <w:jc w:val="center"/>
            </w:pPr>
            <w:r>
              <w:rPr>
                <w:sz w:val="18"/>
              </w:rPr>
              <w:t>TRF_CMLTV_VOL_VEH_CLASS_9_TREND</w:t>
            </w:r>
          </w:p>
        </w:tc>
        <w:tc>
          <w:tcPr>
            <w:tcW w:type="dxa" w:w="1247"/>
            <w:shd w:val="clear" w:color="auto" w:fill="EBF3FB"/>
            <w:vAlign w:val="center"/>
          </w:tcPr>
          <w:p>
            <w:pPr>
              <w:jc w:val="center"/>
            </w:pPr>
            <w:r>
              <w:rPr>
                <w:sz w:val="18"/>
              </w:rPr>
              <w:t>Traffic</w:t>
            </w:r>
          </w:p>
        </w:tc>
        <w:tc>
          <w:tcPr>
            <w:tcW w:type="dxa" w:w="1247"/>
            <w:shd w:val="clear" w:color="auto" w:fill="EBF3FB"/>
            <w:vAlign w:val="center"/>
          </w:tcPr>
          <w:p>
            <w:pPr>
              <w:jc w:val="center"/>
            </w:pPr>
            <w:r>
              <w:rPr>
                <w:sz w:val="18"/>
              </w:rPr>
              <w:t>0.0216</w:t>
            </w:r>
          </w:p>
        </w:tc>
      </w:tr>
      <w:tr>
        <w:tc>
          <w:tcPr>
            <w:tcW w:type="dxa" w:w="567"/>
            <w:vAlign w:val="center"/>
          </w:tcPr>
          <w:p>
            <w:r>
              <w:rPr>
                <w:sz w:val="18"/>
              </w:rPr>
              <w:t>5</w:t>
            </w:r>
          </w:p>
        </w:tc>
        <w:tc>
          <w:tcPr>
            <w:tcW w:type="dxa" w:w="4252"/>
            <w:vAlign w:val="center"/>
          </w:tcPr>
          <w:p>
            <w:pPr>
              <w:jc w:val="center"/>
            </w:pPr>
            <w:r>
              <w:rPr>
                <w:sz w:val="18"/>
              </w:rPr>
              <w:t>L05B_REPR_THICKNESS</w:t>
            </w:r>
          </w:p>
        </w:tc>
        <w:tc>
          <w:tcPr>
            <w:tcW w:type="dxa" w:w="1247"/>
            <w:vAlign w:val="center"/>
          </w:tcPr>
          <w:p>
            <w:pPr>
              <w:jc w:val="center"/>
            </w:pPr>
            <w:r>
              <w:rPr>
                <w:sz w:val="18"/>
              </w:rPr>
              <w:t>Structure</w:t>
            </w:r>
          </w:p>
        </w:tc>
        <w:tc>
          <w:tcPr>
            <w:tcW w:type="dxa" w:w="1247"/>
            <w:vAlign w:val="center"/>
          </w:tcPr>
          <w:p>
            <w:pPr>
              <w:jc w:val="center"/>
            </w:pPr>
            <w:r>
              <w:rPr>
                <w:sz w:val="18"/>
              </w:rPr>
              <w:t>0.0178</w:t>
            </w:r>
          </w:p>
        </w:tc>
      </w:tr>
      <w:tr>
        <w:tc>
          <w:tcPr>
            <w:tcW w:type="dxa" w:w="567"/>
            <w:shd w:val="clear" w:color="auto" w:fill="EBF3FB"/>
            <w:vAlign w:val="center"/>
          </w:tcPr>
          <w:p>
            <w:r>
              <w:rPr>
                <w:sz w:val="18"/>
              </w:rPr>
              <w:t>6</w:t>
            </w:r>
          </w:p>
        </w:tc>
        <w:tc>
          <w:tcPr>
            <w:tcW w:type="dxa" w:w="4252"/>
            <w:shd w:val="clear" w:color="auto" w:fill="EBF3FB"/>
            <w:vAlign w:val="center"/>
          </w:tcPr>
          <w:p>
            <w:pPr>
              <w:jc w:val="center"/>
            </w:pPr>
            <w:r>
              <w:rPr>
                <w:sz w:val="18"/>
              </w:rPr>
              <w:t>TRF_AADTT_VEH_CLASS_4_TREND</w:t>
            </w:r>
          </w:p>
        </w:tc>
        <w:tc>
          <w:tcPr>
            <w:tcW w:type="dxa" w:w="1247"/>
            <w:shd w:val="clear" w:color="auto" w:fill="EBF3FB"/>
            <w:vAlign w:val="center"/>
          </w:tcPr>
          <w:p>
            <w:pPr>
              <w:jc w:val="center"/>
            </w:pPr>
            <w:r>
              <w:rPr>
                <w:sz w:val="18"/>
              </w:rPr>
              <w:t>Traffic</w:t>
            </w:r>
          </w:p>
        </w:tc>
        <w:tc>
          <w:tcPr>
            <w:tcW w:type="dxa" w:w="1247"/>
            <w:shd w:val="clear" w:color="auto" w:fill="EBF3FB"/>
            <w:vAlign w:val="center"/>
          </w:tcPr>
          <w:p>
            <w:pPr>
              <w:jc w:val="center"/>
            </w:pPr>
            <w:r>
              <w:rPr>
                <w:sz w:val="18"/>
              </w:rPr>
              <w:t>0.0170</w:t>
            </w:r>
          </w:p>
        </w:tc>
      </w:tr>
      <w:tr>
        <w:tc>
          <w:tcPr>
            <w:tcW w:type="dxa" w:w="567"/>
            <w:vAlign w:val="center"/>
          </w:tcPr>
          <w:p>
            <w:r>
              <w:rPr>
                <w:sz w:val="18"/>
              </w:rPr>
              <w:t>7</w:t>
            </w:r>
          </w:p>
        </w:tc>
        <w:tc>
          <w:tcPr>
            <w:tcW w:type="dxa" w:w="4252"/>
            <w:vAlign w:val="center"/>
          </w:tcPr>
          <w:p>
            <w:pPr>
              <w:jc w:val="center"/>
            </w:pPr>
            <w:r>
              <w:rPr>
                <w:sz w:val="18"/>
              </w:rPr>
              <w:t>AC_ASPHALT_CONTENT_MEAN</w:t>
            </w:r>
          </w:p>
        </w:tc>
        <w:tc>
          <w:tcPr>
            <w:tcW w:type="dxa" w:w="1247"/>
            <w:vAlign w:val="center"/>
          </w:tcPr>
          <w:p>
            <w:pPr>
              <w:jc w:val="center"/>
            </w:pPr>
            <w:r>
              <w:rPr>
                <w:sz w:val="18"/>
              </w:rPr>
              <w:t>Structure</w:t>
            </w:r>
          </w:p>
        </w:tc>
        <w:tc>
          <w:tcPr>
            <w:tcW w:type="dxa" w:w="1247"/>
            <w:vAlign w:val="center"/>
          </w:tcPr>
          <w:p>
            <w:pPr>
              <w:jc w:val="center"/>
            </w:pPr>
            <w:r>
              <w:rPr>
                <w:sz w:val="18"/>
              </w:rPr>
              <w:t>0.0167</w:t>
            </w:r>
          </w:p>
        </w:tc>
      </w:tr>
      <w:tr>
        <w:tc>
          <w:tcPr>
            <w:tcW w:type="dxa" w:w="567"/>
            <w:shd w:val="clear" w:color="auto" w:fill="EBF3FB"/>
            <w:vAlign w:val="center"/>
          </w:tcPr>
          <w:p>
            <w:r>
              <w:rPr>
                <w:sz w:val="18"/>
              </w:rPr>
              <w:t>8</w:t>
            </w:r>
          </w:p>
        </w:tc>
        <w:tc>
          <w:tcPr>
            <w:tcW w:type="dxa" w:w="4252"/>
            <w:shd w:val="clear" w:color="auto" w:fill="EBF3FB"/>
            <w:vAlign w:val="center"/>
          </w:tcPr>
          <w:p>
            <w:pPr>
              <w:jc w:val="center"/>
            </w:pPr>
            <w:r>
              <w:rPr>
                <w:sz w:val="18"/>
              </w:rPr>
              <w:t>TRF_AADTT_VEH_CLASS_5_TREND</w:t>
            </w:r>
          </w:p>
        </w:tc>
        <w:tc>
          <w:tcPr>
            <w:tcW w:type="dxa" w:w="1247"/>
            <w:shd w:val="clear" w:color="auto" w:fill="EBF3FB"/>
            <w:vAlign w:val="center"/>
          </w:tcPr>
          <w:p>
            <w:pPr>
              <w:jc w:val="center"/>
            </w:pPr>
            <w:r>
              <w:rPr>
                <w:sz w:val="18"/>
              </w:rPr>
              <w:t>Traffic</w:t>
            </w:r>
          </w:p>
        </w:tc>
        <w:tc>
          <w:tcPr>
            <w:tcW w:type="dxa" w:w="1247"/>
            <w:shd w:val="clear" w:color="auto" w:fill="EBF3FB"/>
            <w:vAlign w:val="center"/>
          </w:tcPr>
          <w:p>
            <w:pPr>
              <w:jc w:val="center"/>
            </w:pPr>
            <w:r>
              <w:rPr>
                <w:sz w:val="18"/>
              </w:rPr>
              <w:t>0.0159</w:t>
            </w:r>
          </w:p>
        </w:tc>
      </w:tr>
      <w:tr>
        <w:tc>
          <w:tcPr>
            <w:tcW w:type="dxa" w:w="567"/>
            <w:vAlign w:val="center"/>
          </w:tcPr>
          <w:p>
            <w:r>
              <w:rPr>
                <w:sz w:val="18"/>
              </w:rPr>
              <w:t>9</w:t>
            </w:r>
          </w:p>
        </w:tc>
        <w:tc>
          <w:tcPr>
            <w:tcW w:type="dxa" w:w="4252"/>
            <w:vAlign w:val="center"/>
          </w:tcPr>
          <w:p>
            <w:pPr>
              <w:jc w:val="center"/>
            </w:pPr>
            <w:r>
              <w:rPr>
                <w:sz w:val="18"/>
              </w:rPr>
              <w:t>LAYER_THICKNESS_AC_MM</w:t>
            </w:r>
          </w:p>
        </w:tc>
        <w:tc>
          <w:tcPr>
            <w:tcW w:type="dxa" w:w="1247"/>
            <w:vAlign w:val="center"/>
          </w:tcPr>
          <w:p>
            <w:pPr>
              <w:jc w:val="center"/>
            </w:pPr>
            <w:r>
              <w:rPr>
                <w:sz w:val="18"/>
              </w:rPr>
              <w:t>Structure</w:t>
            </w:r>
          </w:p>
        </w:tc>
        <w:tc>
          <w:tcPr>
            <w:tcW w:type="dxa" w:w="1247"/>
            <w:vAlign w:val="center"/>
          </w:tcPr>
          <w:p>
            <w:pPr>
              <w:jc w:val="center"/>
            </w:pPr>
            <w:r>
              <w:rPr>
                <w:sz w:val="18"/>
              </w:rPr>
              <w:t>0.0158</w:t>
            </w:r>
          </w:p>
        </w:tc>
      </w:tr>
      <w:tr>
        <w:tc>
          <w:tcPr>
            <w:tcW w:type="dxa" w:w="567"/>
            <w:shd w:val="clear" w:color="auto" w:fill="EBF3FB"/>
            <w:vAlign w:val="center"/>
          </w:tcPr>
          <w:p>
            <w:r>
              <w:rPr>
                <w:sz w:val="18"/>
              </w:rPr>
              <w:t>10</w:t>
            </w:r>
          </w:p>
        </w:tc>
        <w:tc>
          <w:tcPr>
            <w:tcW w:type="dxa" w:w="4252"/>
            <w:shd w:val="clear" w:color="auto" w:fill="EBF3FB"/>
            <w:vAlign w:val="center"/>
          </w:tcPr>
          <w:p>
            <w:pPr>
              <w:jc w:val="center"/>
            </w:pPr>
            <w:r>
              <w:rPr>
                <w:sz w:val="18"/>
              </w:rPr>
              <w:t>L05B_DESCRIPTION</w:t>
            </w:r>
          </w:p>
        </w:tc>
        <w:tc>
          <w:tcPr>
            <w:tcW w:type="dxa" w:w="1247"/>
            <w:shd w:val="clear" w:color="auto" w:fill="EBF3FB"/>
            <w:vAlign w:val="center"/>
          </w:tcPr>
          <w:p>
            <w:pPr>
              <w:jc w:val="center"/>
            </w:pPr>
            <w:r>
              <w:rPr>
                <w:sz w:val="18"/>
              </w:rPr>
              <w:t>Structure</w:t>
            </w:r>
          </w:p>
        </w:tc>
        <w:tc>
          <w:tcPr>
            <w:tcW w:type="dxa" w:w="1247"/>
            <w:shd w:val="clear" w:color="auto" w:fill="EBF3FB"/>
            <w:vAlign w:val="center"/>
          </w:tcPr>
          <w:p>
            <w:pPr>
              <w:jc w:val="center"/>
            </w:pPr>
            <w:r>
              <w:rPr>
                <w:sz w:val="18"/>
              </w:rPr>
              <w:t>0.0153</w:t>
            </w:r>
          </w:p>
        </w:tc>
      </w:tr>
      <w:tr>
        <w:tc>
          <w:tcPr>
            <w:tcW w:type="dxa" w:w="567"/>
            <w:vAlign w:val="center"/>
          </w:tcPr>
          <w:p>
            <w:r>
              <w:rPr>
                <w:sz w:val="18"/>
              </w:rPr>
              <w:t>11</w:t>
            </w:r>
          </w:p>
        </w:tc>
        <w:tc>
          <w:tcPr>
            <w:tcW w:type="dxa" w:w="4252"/>
            <w:vAlign w:val="center"/>
          </w:tcPr>
          <w:p>
            <w:pPr>
              <w:jc w:val="center"/>
            </w:pPr>
            <w:r>
              <w:rPr>
                <w:sz w:val="18"/>
              </w:rPr>
              <w:t>L05B_MATL_CODE</w:t>
            </w:r>
          </w:p>
        </w:tc>
        <w:tc>
          <w:tcPr>
            <w:tcW w:type="dxa" w:w="1247"/>
            <w:vAlign w:val="center"/>
          </w:tcPr>
          <w:p>
            <w:pPr>
              <w:jc w:val="center"/>
            </w:pPr>
            <w:r>
              <w:rPr>
                <w:sz w:val="18"/>
              </w:rPr>
              <w:t>Structure</w:t>
            </w:r>
          </w:p>
        </w:tc>
        <w:tc>
          <w:tcPr>
            <w:tcW w:type="dxa" w:w="1247"/>
            <w:vAlign w:val="center"/>
          </w:tcPr>
          <w:p>
            <w:pPr>
              <w:jc w:val="center"/>
            </w:pPr>
            <w:r>
              <w:rPr>
                <w:sz w:val="18"/>
              </w:rPr>
              <w:t>0.0133</w:t>
            </w:r>
          </w:p>
        </w:tc>
      </w:tr>
      <w:tr>
        <w:tc>
          <w:tcPr>
            <w:tcW w:type="dxa" w:w="567"/>
            <w:shd w:val="clear" w:color="auto" w:fill="EBF3FB"/>
            <w:vAlign w:val="center"/>
          </w:tcPr>
          <w:p>
            <w:r>
              <w:rPr>
                <w:sz w:val="18"/>
              </w:rPr>
              <w:t>12</w:t>
            </w:r>
          </w:p>
        </w:tc>
        <w:tc>
          <w:tcPr>
            <w:tcW w:type="dxa" w:w="4252"/>
            <w:shd w:val="clear" w:color="auto" w:fill="EBF3FB"/>
            <w:vAlign w:val="center"/>
          </w:tcPr>
          <w:p>
            <w:pPr>
              <w:jc w:val="center"/>
            </w:pPr>
            <w:r>
              <w:rPr>
                <w:sz w:val="18"/>
              </w:rPr>
              <w:t>AC_NO_10_PASSING</w:t>
            </w:r>
          </w:p>
        </w:tc>
        <w:tc>
          <w:tcPr>
            <w:tcW w:type="dxa" w:w="1247"/>
            <w:shd w:val="clear" w:color="auto" w:fill="EBF3FB"/>
            <w:vAlign w:val="center"/>
          </w:tcPr>
          <w:p>
            <w:pPr>
              <w:jc w:val="center"/>
            </w:pPr>
            <w:r>
              <w:rPr>
                <w:sz w:val="18"/>
              </w:rPr>
              <w:t>Structure</w:t>
            </w:r>
          </w:p>
        </w:tc>
        <w:tc>
          <w:tcPr>
            <w:tcW w:type="dxa" w:w="1247"/>
            <w:shd w:val="clear" w:color="auto" w:fill="EBF3FB"/>
            <w:vAlign w:val="center"/>
          </w:tcPr>
          <w:p>
            <w:pPr>
              <w:jc w:val="center"/>
            </w:pPr>
            <w:r>
              <w:rPr>
                <w:sz w:val="18"/>
              </w:rPr>
              <w:t>0.0129</w:t>
            </w:r>
          </w:p>
        </w:tc>
      </w:tr>
      <w:tr>
        <w:tc>
          <w:tcPr>
            <w:tcW w:type="dxa" w:w="567"/>
            <w:vAlign w:val="center"/>
          </w:tcPr>
          <w:p>
            <w:r>
              <w:rPr>
                <w:sz w:val="18"/>
              </w:rPr>
              <w:t>13</w:t>
            </w:r>
          </w:p>
        </w:tc>
        <w:tc>
          <w:tcPr>
            <w:tcW w:type="dxa" w:w="4252"/>
            <w:vAlign w:val="center"/>
          </w:tcPr>
          <w:p>
            <w:pPr>
              <w:jc w:val="center"/>
            </w:pPr>
            <w:r>
              <w:rPr>
                <w:sz w:val="18"/>
              </w:rPr>
              <w:t>AC_ONE_HALF_PASSING</w:t>
            </w:r>
          </w:p>
        </w:tc>
        <w:tc>
          <w:tcPr>
            <w:tcW w:type="dxa" w:w="1247"/>
            <w:vAlign w:val="center"/>
          </w:tcPr>
          <w:p>
            <w:pPr>
              <w:jc w:val="center"/>
            </w:pPr>
            <w:r>
              <w:rPr>
                <w:sz w:val="18"/>
              </w:rPr>
              <w:t>Structure</w:t>
            </w:r>
          </w:p>
        </w:tc>
        <w:tc>
          <w:tcPr>
            <w:tcW w:type="dxa" w:w="1247"/>
            <w:vAlign w:val="center"/>
          </w:tcPr>
          <w:p>
            <w:pPr>
              <w:jc w:val="center"/>
            </w:pPr>
            <w:r>
              <w:rPr>
                <w:sz w:val="18"/>
              </w:rPr>
              <w:t>0.0127</w:t>
            </w:r>
          </w:p>
        </w:tc>
      </w:tr>
      <w:tr>
        <w:tc>
          <w:tcPr>
            <w:tcW w:type="dxa" w:w="567"/>
            <w:shd w:val="clear" w:color="auto" w:fill="EBF3FB"/>
            <w:vAlign w:val="center"/>
          </w:tcPr>
          <w:p>
            <w:r>
              <w:rPr>
                <w:sz w:val="18"/>
              </w:rPr>
              <w:t>14</w:t>
            </w:r>
          </w:p>
        </w:tc>
        <w:tc>
          <w:tcPr>
            <w:tcW w:type="dxa" w:w="4252"/>
            <w:shd w:val="clear" w:color="auto" w:fill="EBF3FB"/>
            <w:vAlign w:val="center"/>
          </w:tcPr>
          <w:p>
            <w:pPr>
              <w:jc w:val="center"/>
            </w:pPr>
            <w:r>
              <w:rPr>
                <w:sz w:val="18"/>
              </w:rPr>
              <w:t>TRF_AADTT_VEH_CLASS_8_TREND</w:t>
            </w:r>
          </w:p>
        </w:tc>
        <w:tc>
          <w:tcPr>
            <w:tcW w:type="dxa" w:w="1247"/>
            <w:shd w:val="clear" w:color="auto" w:fill="EBF3FB"/>
            <w:vAlign w:val="center"/>
          </w:tcPr>
          <w:p>
            <w:pPr>
              <w:jc w:val="center"/>
            </w:pPr>
            <w:r>
              <w:rPr>
                <w:sz w:val="18"/>
              </w:rPr>
              <w:t>Traffic</w:t>
            </w:r>
          </w:p>
        </w:tc>
        <w:tc>
          <w:tcPr>
            <w:tcW w:type="dxa" w:w="1247"/>
            <w:shd w:val="clear" w:color="auto" w:fill="EBF3FB"/>
            <w:vAlign w:val="center"/>
          </w:tcPr>
          <w:p>
            <w:pPr>
              <w:jc w:val="center"/>
            </w:pPr>
            <w:r>
              <w:rPr>
                <w:sz w:val="18"/>
              </w:rPr>
              <w:t>0.0122</w:t>
            </w:r>
          </w:p>
        </w:tc>
      </w:tr>
      <w:tr>
        <w:tc>
          <w:tcPr>
            <w:tcW w:type="dxa" w:w="567"/>
            <w:vAlign w:val="center"/>
          </w:tcPr>
          <w:p>
            <w:r>
              <w:rPr>
                <w:sz w:val="18"/>
              </w:rPr>
              <w:t>15</w:t>
            </w:r>
          </w:p>
        </w:tc>
        <w:tc>
          <w:tcPr>
            <w:tcW w:type="dxa" w:w="4252"/>
            <w:vAlign w:val="center"/>
          </w:tcPr>
          <w:p>
            <w:pPr>
              <w:jc w:val="center"/>
            </w:pPr>
            <w:r>
              <w:rPr>
                <w:sz w:val="18"/>
              </w:rPr>
              <w:t>AC_DESCRIPTION</w:t>
            </w:r>
          </w:p>
        </w:tc>
        <w:tc>
          <w:tcPr>
            <w:tcW w:type="dxa" w:w="1247"/>
            <w:vAlign w:val="center"/>
          </w:tcPr>
          <w:p>
            <w:pPr>
              <w:jc w:val="center"/>
            </w:pPr>
            <w:r>
              <w:rPr>
                <w:sz w:val="18"/>
              </w:rPr>
              <w:t>Structure</w:t>
            </w:r>
          </w:p>
        </w:tc>
        <w:tc>
          <w:tcPr>
            <w:tcW w:type="dxa" w:w="1247"/>
            <w:vAlign w:val="center"/>
          </w:tcPr>
          <w:p>
            <w:pPr>
              <w:jc w:val="center"/>
            </w:pPr>
            <w:r>
              <w:rPr>
                <w:sz w:val="18"/>
              </w:rPr>
              <w:t>0.0099</w:t>
            </w:r>
          </w:p>
        </w:tc>
      </w:tr>
    </w:tbl>
    <w:p/>
    <w:p>
      <w:r>
        <w:t>LAYER_COUNT_AC ranks first (mean |SHAP| = 0.0400), followed by TRF_REP_REP_ESAL_PER_VEH_CLASS_12 (0.0322) and COMP_AGE_CLIMATE (0.0289). The age-climate composite (COMP_AGE_CLIMATE = AGE_YEARS × CLIM_FREEZE_INDEX) ranks 3 (mean |SHAP| = 0.0289) as the top climate-domain feature, indicating that cumulative service under freeze exposure is the most important climate signal in the model. Within the top-15 features, structural geometry dominates (sum = 0.154), followed by traffic loading (0.099) and climate/composite features (0.029). The modest climate share (≈ 10% of top-15 SHAP) is consistent with the study's central finding: climate drives cross-regional transfer failure, but structural and traffic features dominate within-distribution predictions where climate is implicitly absorbed into the section's design characteristics. AC_BSG (aggregate bulk specific gravity), which was pre-specified as an expected top-3 feature due to its role in mix stiffness, ranks 16th globally (mean |SHAP| = 0.0099) — below the top-15 threshold. Its lower-than-expected importance suggests that asphalt content (rank 7, 0.0167) and layer thickness are more discriminating within this dataset than density-based mix properties.</w:t>
      </w:r>
    </w:p>
    <w:p>
      <w:r>
        <w:t>Two features are deliberately absent from Table 9 despite being available in the raw data: CLIM_LONGITUDE and CLIM_LATITUDE. Both were excluded before collinearity clustering (§3.6) as geographic proxies. In exploratory analysis on the baseline pipeline, both ranked among the top SHAP features — evidence that the model was learning regional identity (i.e., 'Arizona sections') rather than transferable climate mechanisms. Excluding them is necessary for the LOO generalisation test to be meaningful: a model that uses geographic coordinates has effectively memorised which sections belong to which region and cannot transfer to an unseen region regardless of architecture or feature engineering.</w:t>
      </w:r>
    </w:p>
    <w:p>
      <w:pPr>
        <w:pStyle w:val="Heading3"/>
      </w:pPr>
      <w:r>
        <w:rPr>
          <w:color w:val="2E74B5"/>
        </w:rPr>
        <w:t>4.8.2  Waterfall Decomposition by Region (§3.12.1)</w:t>
      </w:r>
    </w:p>
    <w:p>
      <w:r>
        <w:t>Figure 7 decomposes predictions for one representative section per region into additive SHAP contributions from the dataset baseline E[f(X)]. The representative section is the observation whose actual IRI is closest to the regional median IRI in the test set.</w:t>
      </w:r>
    </w:p>
    <w:p>
      <w:pPr>
        <w:spacing w:line="240" w:lineRule="auto" w:before="80" w:after="40"/>
        <w:jc w:val="center"/>
      </w:pPr>
      <w:r>
        <w:drawing>
          <wp:inline xmlns:a="http://schemas.openxmlformats.org/drawingml/2006/main" xmlns:pic="http://schemas.openxmlformats.org/drawingml/2006/picture">
            <wp:extent cx="5943600" cy="5151952"/>
            <wp:docPr id="7" name="Picture 7"/>
            <wp:cNvGraphicFramePr>
              <a:graphicFrameLocks noChangeAspect="1"/>
            </wp:cNvGraphicFramePr>
            <a:graphic>
              <a:graphicData uri="http://schemas.openxmlformats.org/drawingml/2006/picture">
                <pic:pic>
                  <pic:nvPicPr>
                    <pic:cNvPr id="0" name="waterfall_4panel.png"/>
                    <pic:cNvPicPr/>
                  </pic:nvPicPr>
                  <pic:blipFill>
                    <a:blip r:embed="rId15"/>
                    <a:stretch>
                      <a:fillRect/>
                    </a:stretch>
                  </pic:blipFill>
                  <pic:spPr>
                    <a:xfrm>
                      <a:off x="0" y="0"/>
                      <a:ext cx="5943600" cy="5151952"/>
                    </a:xfrm>
                    <a:prstGeom prst="rect"/>
                  </pic:spPr>
                </pic:pic>
              </a:graphicData>
            </a:graphic>
          </wp:inline>
        </w:drawing>
      </w:r>
    </w:p>
    <w:p>
      <w:pPr>
        <w:jc w:val="center"/>
      </w:pPr>
      <w:r>
        <w:rPr>
          <w:i/>
          <w:sz w:val="19"/>
        </w:rPr>
        <w:t>Figure 7.  SHAP waterfall plots — one representative section per climate region (XGBoost IRI design model). Bars show the contribution of the top 12 features to the prediction relative to the baseline E[f(X)]. Red = pushes prediction above baseline; blue = pushes below. Actual and predicted IRI annotated in each panel title.</w:t>
      </w:r>
    </w:p>
    <w:p/>
    <w:p>
      <w:r>
        <w:t>The waterfall plots reveal region-specific driver patterns consistent with the climate gradient: the Arizona representative section shows traffic loading and structural features as the dominant pushes, with minimal freeze-related contributions. The Ontario representative shows stronger contributions from the age-climate composite and freeze-thaw features, though structural geometry remains the largest single contributor. The non-causality caveat applies: these decompositions describe the model's learned associations in the training distribution; they should not be interpreted as pavement engineering causal claims.</w:t>
      </w:r>
    </w:p>
    <w:p>
      <w:pPr>
        <w:pStyle w:val="Heading3"/>
      </w:pPr>
      <w:r>
        <w:rPr>
          <w:color w:val="2E74B5"/>
        </w:rPr>
        <w:t>4.8.3  Regional SHAP Stratification (§3.12.1)</w:t>
      </w:r>
    </w:p>
    <w:p>
      <w:pPr>
        <w:spacing w:line="240" w:lineRule="auto" w:before="80" w:after="40"/>
        <w:jc w:val="center"/>
      </w:pPr>
      <w:r>
        <w:drawing>
          <wp:inline xmlns:a="http://schemas.openxmlformats.org/drawingml/2006/main" xmlns:pic="http://schemas.openxmlformats.org/drawingml/2006/picture">
            <wp:extent cx="5669280" cy="2605519"/>
            <wp:docPr id="8" name="Picture 8"/>
            <wp:cNvGraphicFramePr>
              <a:graphicFrameLocks noChangeAspect="1"/>
            </wp:cNvGraphicFramePr>
            <a:graphic>
              <a:graphicData uri="http://schemas.openxmlformats.org/drawingml/2006/picture">
                <pic:pic>
                  <pic:nvPicPr>
                    <pic:cNvPr id="0" name="shap_category_by_region.png"/>
                    <pic:cNvPicPr/>
                  </pic:nvPicPr>
                  <pic:blipFill>
                    <a:blip r:embed="rId16"/>
                    <a:stretch>
                      <a:fillRect/>
                    </a:stretch>
                  </pic:blipFill>
                  <pic:spPr>
                    <a:xfrm>
                      <a:off x="0" y="0"/>
                      <a:ext cx="5669280" cy="2605519"/>
                    </a:xfrm>
                    <a:prstGeom prst="rect"/>
                  </pic:spPr>
                </pic:pic>
              </a:graphicData>
            </a:graphic>
          </wp:inline>
        </w:drawing>
      </w:r>
    </w:p>
    <w:p>
      <w:pPr>
        <w:jc w:val="center"/>
      </w:pPr>
      <w:r>
        <w:rPr>
          <w:i/>
          <w:sz w:val="19"/>
        </w:rPr>
        <w:t>Figure 8.  SHAP importance by feature category per region — XGBoost IRI design model. Left: absolute sum of mean |SHAP|. Right: proportional split. Freeze index annotations at top indicate regional climate severity.</w:t>
      </w:r>
    </w:p>
    <w:p/>
    <w:p>
      <w:pPr>
        <w:spacing w:line="240" w:lineRule="auto" w:before="80" w:after="40"/>
        <w:jc w:val="center"/>
      </w:pPr>
      <w:r>
        <w:drawing>
          <wp:inline xmlns:a="http://schemas.openxmlformats.org/drawingml/2006/main" xmlns:pic="http://schemas.openxmlformats.org/drawingml/2006/picture">
            <wp:extent cx="5943600" cy="2370787"/>
            <wp:docPr id="9" name="Picture 9"/>
            <wp:cNvGraphicFramePr>
              <a:graphicFrameLocks noChangeAspect="1"/>
            </wp:cNvGraphicFramePr>
            <a:graphic>
              <a:graphicData uri="http://schemas.openxmlformats.org/drawingml/2006/picture">
                <pic:pic>
                  <pic:nvPicPr>
                    <pic:cNvPr id="0" name="regional_top_features.png"/>
                    <pic:cNvPicPr/>
                  </pic:nvPicPr>
                  <pic:blipFill>
                    <a:blip r:embed="rId17"/>
                    <a:stretch>
                      <a:fillRect/>
                    </a:stretch>
                  </pic:blipFill>
                  <pic:spPr>
                    <a:xfrm>
                      <a:off x="0" y="0"/>
                      <a:ext cx="5943600" cy="2370787"/>
                    </a:xfrm>
                    <a:prstGeom prst="rect"/>
                  </pic:spPr>
                </pic:pic>
              </a:graphicData>
            </a:graphic>
          </wp:inline>
        </w:drawing>
      </w:r>
    </w:p>
    <w:p>
      <w:pPr>
        <w:jc w:val="center"/>
      </w:pPr>
      <w:r>
        <w:rPr>
          <w:i/>
          <w:sz w:val="19"/>
        </w:rPr>
        <w:t>Figure 9.  Top-10 features by SHAP importance per region (blue = Structure, orange = Traffic, green = Climate).</w:t>
      </w:r>
    </w:p>
    <w:p/>
    <w:p>
      <w:pPr>
        <w:spacing w:line="240" w:lineRule="auto" w:before="80" w:after="40"/>
        <w:jc w:val="center"/>
      </w:pPr>
      <w:r>
        <w:drawing>
          <wp:inline xmlns:a="http://schemas.openxmlformats.org/drawingml/2006/main" xmlns:pic="http://schemas.openxmlformats.org/drawingml/2006/picture">
            <wp:extent cx="5486400" cy="3889189"/>
            <wp:docPr id="10" name="Picture 10"/>
            <wp:cNvGraphicFramePr>
              <a:graphicFrameLocks noChangeAspect="1"/>
            </wp:cNvGraphicFramePr>
            <a:graphic>
              <a:graphicData uri="http://schemas.openxmlformats.org/drawingml/2006/picture">
                <pic:pic>
                  <pic:nvPicPr>
                    <pic:cNvPr id="0" name="regional_shap.png"/>
                    <pic:cNvPicPr/>
                  </pic:nvPicPr>
                  <pic:blipFill>
                    <a:blip r:embed="rId18"/>
                    <a:stretch>
                      <a:fillRect/>
                    </a:stretch>
                  </pic:blipFill>
                  <pic:spPr>
                    <a:xfrm>
                      <a:off x="0" y="0"/>
                      <a:ext cx="5486400" cy="3889189"/>
                    </a:xfrm>
                    <a:prstGeom prst="rect"/>
                  </pic:spPr>
                </pic:pic>
              </a:graphicData>
            </a:graphic>
          </wp:inline>
        </w:drawing>
      </w:r>
    </w:p>
    <w:p>
      <w:pPr>
        <w:jc w:val="center"/>
      </w:pPr>
      <w:r>
        <w:rPr>
          <w:i/>
          <w:sz w:val="19"/>
        </w:rPr>
        <w:t>Figure 10.  SHAP importance stratified by region for the top 15 features across the climate gradient (XGBoost IRI design model).</w:t>
      </w:r>
    </w:p>
    <w:p/>
    <w:p>
      <w:r>
        <w:rPr>
          <w:b/>
        </w:rPr>
        <w:t>Table 10.  SHAP importance by feature category and region — XGBoost (§3.12.1).</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1F497D"/>
          </w:tcPr>
          <w:p>
            <w:pPr>
              <w:jc w:val="center"/>
            </w:pPr>
            <w:r>
              <w:rPr>
                <w:b/>
                <w:color w:val="FFFFFF"/>
                <w:sz w:val="18"/>
              </w:rPr>
              <w:t>Category</w:t>
            </w:r>
          </w:p>
        </w:tc>
        <w:tc>
          <w:tcPr>
            <w:tcW w:type="dxa" w:w="1824"/>
            <w:shd w:val="clear" w:color="auto" w:fill="1F497D"/>
          </w:tcPr>
          <w:p>
            <w:pPr>
              <w:jc w:val="center"/>
            </w:pPr>
            <w:r>
              <w:rPr>
                <w:b/>
                <w:color w:val="FFFFFF"/>
                <w:sz w:val="18"/>
              </w:rPr>
              <w:t>Arizona</w:t>
              <w:br/>
              <w:t>(FI=5.9)</w:t>
            </w:r>
          </w:p>
        </w:tc>
        <w:tc>
          <w:tcPr>
            <w:tcW w:type="dxa" w:w="1824"/>
            <w:shd w:val="clear" w:color="auto" w:fill="1F497D"/>
          </w:tcPr>
          <w:p>
            <w:pPr>
              <w:jc w:val="center"/>
            </w:pPr>
            <w:r>
              <w:rPr>
                <w:b/>
                <w:color w:val="FFFFFF"/>
                <w:sz w:val="18"/>
              </w:rPr>
              <w:t>Georgia</w:t>
              <w:br/>
              <w:t>(FI=10.9)</w:t>
            </w:r>
          </w:p>
        </w:tc>
        <w:tc>
          <w:tcPr>
            <w:tcW w:type="dxa" w:w="1824"/>
            <w:shd w:val="clear" w:color="auto" w:fill="1F497D"/>
          </w:tcPr>
          <w:p>
            <w:pPr>
              <w:jc w:val="center"/>
            </w:pPr>
            <w:r>
              <w:rPr>
                <w:b/>
                <w:color w:val="FFFFFF"/>
                <w:sz w:val="18"/>
              </w:rPr>
              <w:t>Ohio</w:t>
              <w:br/>
              <w:t>(FI=316.6)</w:t>
            </w:r>
          </w:p>
        </w:tc>
        <w:tc>
          <w:tcPr>
            <w:tcW w:type="dxa" w:w="1824"/>
            <w:shd w:val="clear" w:color="auto" w:fill="1F497D"/>
          </w:tcPr>
          <w:p>
            <w:pPr>
              <w:jc w:val="center"/>
            </w:pPr>
            <w:r>
              <w:rPr>
                <w:b/>
                <w:color w:val="FFFFFF"/>
                <w:sz w:val="18"/>
              </w:rPr>
              <w:t>Ontario</w:t>
              <w:br/>
              <w:t>(FI=834.9)</w:t>
            </w:r>
          </w:p>
        </w:tc>
      </w:tr>
      <w:tr>
        <w:tc>
          <w:tcPr>
            <w:tcW w:type="dxa" w:w="1824"/>
            <w:vAlign w:val="center"/>
          </w:tcPr>
          <w:p>
            <w:r>
              <w:rPr>
                <w:sz w:val="18"/>
              </w:rPr>
              <w:t>Structure</w:t>
            </w:r>
          </w:p>
        </w:tc>
        <w:tc>
          <w:tcPr>
            <w:tcW w:type="dxa" w:w="1824"/>
            <w:vAlign w:val="center"/>
          </w:tcPr>
          <w:p>
            <w:pPr>
              <w:jc w:val="center"/>
            </w:pPr>
            <w:r>
              <w:rPr>
                <w:sz w:val="18"/>
              </w:rPr>
              <w:t>0.312 (52%)</w:t>
            </w:r>
          </w:p>
        </w:tc>
        <w:tc>
          <w:tcPr>
            <w:tcW w:type="dxa" w:w="1824"/>
            <w:vAlign w:val="center"/>
          </w:tcPr>
          <w:p>
            <w:pPr>
              <w:jc w:val="center"/>
            </w:pPr>
            <w:r>
              <w:rPr>
                <w:sz w:val="18"/>
              </w:rPr>
              <w:t>0.264 (49%)</w:t>
            </w:r>
          </w:p>
        </w:tc>
        <w:tc>
          <w:tcPr>
            <w:tcW w:type="dxa" w:w="1824"/>
            <w:vAlign w:val="center"/>
          </w:tcPr>
          <w:p>
            <w:pPr>
              <w:jc w:val="center"/>
            </w:pPr>
            <w:r>
              <w:rPr>
                <w:sz w:val="18"/>
              </w:rPr>
              <w:t>0.204 (44%)</w:t>
            </w:r>
          </w:p>
        </w:tc>
        <w:tc>
          <w:tcPr>
            <w:tcW w:type="dxa" w:w="1824"/>
            <w:vAlign w:val="center"/>
          </w:tcPr>
          <w:p>
            <w:pPr>
              <w:jc w:val="center"/>
            </w:pPr>
            <w:r>
              <w:rPr>
                <w:sz w:val="18"/>
              </w:rPr>
              <w:t>0.314 (48%)</w:t>
            </w:r>
          </w:p>
        </w:tc>
      </w:tr>
      <w:tr>
        <w:tc>
          <w:tcPr>
            <w:tcW w:type="dxa" w:w="1824"/>
            <w:shd w:val="clear" w:color="auto" w:fill="EBF3FB"/>
            <w:vAlign w:val="center"/>
          </w:tcPr>
          <w:p>
            <w:r>
              <w:rPr>
                <w:sz w:val="18"/>
              </w:rPr>
              <w:t>Traffic</w:t>
            </w:r>
          </w:p>
        </w:tc>
        <w:tc>
          <w:tcPr>
            <w:tcW w:type="dxa" w:w="1824"/>
            <w:shd w:val="clear" w:color="auto" w:fill="EBF3FB"/>
            <w:vAlign w:val="center"/>
          </w:tcPr>
          <w:p>
            <w:pPr>
              <w:jc w:val="center"/>
            </w:pPr>
            <w:r>
              <w:rPr>
                <w:sz w:val="18"/>
              </w:rPr>
              <w:t>0.216 (36%)</w:t>
            </w:r>
          </w:p>
        </w:tc>
        <w:tc>
          <w:tcPr>
            <w:tcW w:type="dxa" w:w="1824"/>
            <w:shd w:val="clear" w:color="auto" w:fill="EBF3FB"/>
            <w:vAlign w:val="center"/>
          </w:tcPr>
          <w:p>
            <w:pPr>
              <w:jc w:val="center"/>
            </w:pPr>
            <w:r>
              <w:rPr>
                <w:sz w:val="18"/>
              </w:rPr>
              <w:t>0.221 (41%)</w:t>
            </w:r>
          </w:p>
        </w:tc>
        <w:tc>
          <w:tcPr>
            <w:tcW w:type="dxa" w:w="1824"/>
            <w:shd w:val="clear" w:color="auto" w:fill="EBF3FB"/>
            <w:vAlign w:val="center"/>
          </w:tcPr>
          <w:p>
            <w:pPr>
              <w:jc w:val="center"/>
            </w:pPr>
            <w:r>
              <w:rPr>
                <w:sz w:val="18"/>
              </w:rPr>
              <w:t>0.180 (39%)</w:t>
            </w:r>
          </w:p>
        </w:tc>
        <w:tc>
          <w:tcPr>
            <w:tcW w:type="dxa" w:w="1824"/>
            <w:shd w:val="clear" w:color="auto" w:fill="EBF3FB"/>
            <w:vAlign w:val="center"/>
          </w:tcPr>
          <w:p>
            <w:pPr>
              <w:jc w:val="center"/>
            </w:pPr>
            <w:r>
              <w:rPr>
                <w:sz w:val="18"/>
              </w:rPr>
              <w:t>0.280 (42%)</w:t>
            </w:r>
          </w:p>
        </w:tc>
      </w:tr>
      <w:tr>
        <w:tc>
          <w:tcPr>
            <w:tcW w:type="dxa" w:w="1824"/>
            <w:vAlign w:val="center"/>
          </w:tcPr>
          <w:p>
            <w:r>
              <w:rPr>
                <w:sz w:val="18"/>
              </w:rPr>
              <w:t>Climate</w:t>
            </w:r>
          </w:p>
        </w:tc>
        <w:tc>
          <w:tcPr>
            <w:tcW w:type="dxa" w:w="1824"/>
            <w:vAlign w:val="center"/>
          </w:tcPr>
          <w:p>
            <w:pPr>
              <w:jc w:val="center"/>
            </w:pPr>
            <w:r>
              <w:rPr>
                <w:sz w:val="18"/>
              </w:rPr>
              <w:t>0.067 (11%)</w:t>
            </w:r>
          </w:p>
        </w:tc>
        <w:tc>
          <w:tcPr>
            <w:tcW w:type="dxa" w:w="1824"/>
            <w:vAlign w:val="center"/>
          </w:tcPr>
          <w:p>
            <w:pPr>
              <w:jc w:val="center"/>
            </w:pPr>
            <w:r>
              <w:rPr>
                <w:sz w:val="18"/>
              </w:rPr>
              <w:t>0.057 (10%)</w:t>
            </w:r>
          </w:p>
        </w:tc>
        <w:tc>
          <w:tcPr>
            <w:tcW w:type="dxa" w:w="1824"/>
            <w:vAlign w:val="center"/>
          </w:tcPr>
          <w:p>
            <w:pPr>
              <w:jc w:val="center"/>
            </w:pPr>
            <w:r>
              <w:rPr>
                <w:sz w:val="18"/>
              </w:rPr>
              <w:t>0.077 (17%)</w:t>
            </w:r>
          </w:p>
        </w:tc>
        <w:tc>
          <w:tcPr>
            <w:tcW w:type="dxa" w:w="1824"/>
            <w:vAlign w:val="center"/>
          </w:tcPr>
          <w:p>
            <w:pPr>
              <w:jc w:val="center"/>
            </w:pPr>
            <w:r>
              <w:rPr>
                <w:sz w:val="18"/>
              </w:rPr>
              <w:t>0.067 (10%)</w:t>
            </w:r>
          </w:p>
        </w:tc>
      </w:tr>
    </w:tbl>
    <w:p/>
    <w:p>
      <w:r>
        <w:t>Structural features account for 45–52% of SHAP importance across all regions, confirming that AC layer geometry and mix composition drive IRI predictions regardless of climate zone. Traffic importance is highest for Ontario (41%), consistent with its heavier truck fleet (ESAL class 12 = 1.3 vs. 0.1–0.5 elsewhere). Climate features contribute only 10–16% — the smallest category — despite the study design's focus on freeze-gradient effects. Georgia shows the lowest climate SHAP (9.7%), further supporting the interpretation that the model has no learned representation of wet-subtropical deterioration mechanisms.</w:t>
      </w:r>
    </w:p>
    <w:p>
      <w:pPr>
        <w:pStyle w:val="Heading3"/>
      </w:pPr>
      <w:r>
        <w:rPr>
          <w:color w:val="2E74B5"/>
        </w:rPr>
        <w:t>4.8.4  Cross-Model SHAP Consistency (§3.12.2)</w:t>
      </w:r>
    </w:p>
    <w:p>
      <w:r>
        <w:t>Spearman rank correlation between XGBoost and RF global SHAP importance rankings is ρ = 0.7316 (p &lt; 0.001, n = 155 features). This is marginally below the pre-specified threshold of 0.75 (§3.12.2), classifying the result as UNSTABLE. The two architectures assign different relative weights to freeze-related features (CLIM_FREEZE_INDEX, now force-retained) vs. structural geometry, which drives the ranking divergence. Despite the marginal failure of the pre-specified threshold, the top-ranking features converge across both architectures — traffic loading, structural geometry, and the age-climate composite appear prominently in both XGBoost and RF. Robust interpretability claims are confined to these converging features; architecture-specific rankings beyond the top 5–6 should be treated as approximate.</w:t>
      </w:r>
    </w:p>
    <w:p>
      <w:r>
        <w:rPr>
          <w:b/>
        </w:rPr>
        <w:t>Table 11.  Cross-model SHAP consistency check result (§3.12.2).</w:t>
      </w:r>
    </w:p>
    <w:tbl>
      <w:tblPr>
        <w:tblStyle w:val="TableGrid"/>
        <w:tblW w:type="auto" w:w="0"/>
        <w:tblLook w:firstColumn="1" w:firstRow="1" w:lastColumn="0" w:lastRow="0" w:noHBand="0" w:noVBand="1" w:val="04A0"/>
      </w:tblPr>
      <w:tblGrid>
        <w:gridCol w:w="4561"/>
        <w:gridCol w:w="4561"/>
      </w:tblGrid>
      <w:tr>
        <w:tc>
          <w:tcPr>
            <w:tcW w:type="dxa" w:w="4561"/>
            <w:shd w:val="clear" w:color="auto" w:fill="1F497D"/>
          </w:tcPr>
          <w:p>
            <w:pPr>
              <w:jc w:val="center"/>
            </w:pPr>
            <w:r>
              <w:rPr>
                <w:b/>
                <w:color w:val="FFFFFF"/>
                <w:sz w:val="18"/>
              </w:rPr>
              <w:t>Metric</w:t>
            </w:r>
          </w:p>
        </w:tc>
        <w:tc>
          <w:tcPr>
            <w:tcW w:type="dxa" w:w="4561"/>
            <w:shd w:val="clear" w:color="auto" w:fill="1F497D"/>
          </w:tcPr>
          <w:p>
            <w:pPr>
              <w:jc w:val="center"/>
            </w:pPr>
            <w:r>
              <w:rPr>
                <w:b/>
                <w:color w:val="FFFFFF"/>
                <w:sz w:val="18"/>
              </w:rPr>
              <w:t>Value</w:t>
            </w:r>
          </w:p>
        </w:tc>
      </w:tr>
      <w:tr>
        <w:tc>
          <w:tcPr>
            <w:tcW w:type="dxa" w:w="4561"/>
            <w:vAlign w:val="center"/>
          </w:tcPr>
          <w:p>
            <w:r>
              <w:rPr>
                <w:sz w:val="18"/>
              </w:rPr>
              <w:t>n features compared</w:t>
            </w:r>
          </w:p>
        </w:tc>
        <w:tc>
          <w:tcPr>
            <w:tcW w:type="dxa" w:w="4561"/>
            <w:vAlign w:val="center"/>
          </w:tcPr>
          <w:p>
            <w:pPr>
              <w:jc w:val="center"/>
            </w:pPr>
            <w:r>
              <w:rPr>
                <w:sz w:val="18"/>
              </w:rPr>
              <w:t>155</w:t>
            </w:r>
          </w:p>
        </w:tc>
      </w:tr>
      <w:tr>
        <w:tc>
          <w:tcPr>
            <w:tcW w:type="dxa" w:w="4561"/>
            <w:shd w:val="clear" w:color="auto" w:fill="EBF3FB"/>
            <w:vAlign w:val="center"/>
          </w:tcPr>
          <w:p>
            <w:r>
              <w:rPr>
                <w:sz w:val="18"/>
              </w:rPr>
              <w:t>Spearman ρ</w:t>
            </w:r>
          </w:p>
        </w:tc>
        <w:tc>
          <w:tcPr>
            <w:tcW w:type="dxa" w:w="4561"/>
            <w:shd w:val="clear" w:color="auto" w:fill="EBF3FB"/>
            <w:vAlign w:val="center"/>
          </w:tcPr>
          <w:p>
            <w:pPr>
              <w:jc w:val="center"/>
            </w:pPr>
            <w:r>
              <w:rPr>
                <w:sz w:val="18"/>
              </w:rPr>
              <w:t>0.7316</w:t>
            </w:r>
          </w:p>
        </w:tc>
      </w:tr>
      <w:tr>
        <w:tc>
          <w:tcPr>
            <w:tcW w:type="dxa" w:w="4561"/>
            <w:vAlign w:val="center"/>
          </w:tcPr>
          <w:p>
            <w:r>
              <w:rPr>
                <w:sz w:val="18"/>
              </w:rPr>
              <w:t>p-value</w:t>
            </w:r>
          </w:p>
        </w:tc>
        <w:tc>
          <w:tcPr>
            <w:tcW w:type="dxa" w:w="4561"/>
            <w:vAlign w:val="center"/>
          </w:tcPr>
          <w:p>
            <w:pPr>
              <w:jc w:val="center"/>
            </w:pPr>
            <w:r>
              <w:rPr>
                <w:sz w:val="18"/>
              </w:rPr>
              <w:t>&lt; 0.001</w:t>
            </w:r>
          </w:p>
        </w:tc>
      </w:tr>
      <w:tr>
        <w:tc>
          <w:tcPr>
            <w:tcW w:type="dxa" w:w="4561"/>
            <w:shd w:val="clear" w:color="auto" w:fill="EBF3FB"/>
            <w:vAlign w:val="center"/>
          </w:tcPr>
          <w:p>
            <w:r>
              <w:rPr>
                <w:sz w:val="18"/>
              </w:rPr>
              <w:t>Pre-specified threshold</w:t>
            </w:r>
          </w:p>
        </w:tc>
        <w:tc>
          <w:tcPr>
            <w:tcW w:type="dxa" w:w="4561"/>
            <w:shd w:val="clear" w:color="auto" w:fill="EBF3FB"/>
            <w:vAlign w:val="center"/>
          </w:tcPr>
          <w:p>
            <w:pPr>
              <w:jc w:val="center"/>
            </w:pPr>
            <w:r>
              <w:rPr>
                <w:sz w:val="18"/>
              </w:rPr>
              <w:t>0.75</w:t>
            </w:r>
          </w:p>
        </w:tc>
      </w:tr>
      <w:tr>
        <w:tc>
          <w:tcPr>
            <w:tcW w:type="dxa" w:w="4561"/>
            <w:vAlign w:val="center"/>
          </w:tcPr>
          <w:p>
            <w:r>
              <w:rPr>
                <w:sz w:val="18"/>
              </w:rPr>
              <w:t>Pre-specified expected ρ</w:t>
            </w:r>
          </w:p>
        </w:tc>
        <w:tc>
          <w:tcPr>
            <w:tcW w:type="dxa" w:w="4561"/>
            <w:vAlign w:val="center"/>
          </w:tcPr>
          <w:p>
            <w:pPr>
              <w:jc w:val="center"/>
            </w:pPr>
            <w:r>
              <w:rPr>
                <w:sz w:val="18"/>
              </w:rPr>
              <w:t>≈ 0.594</w:t>
            </w:r>
          </w:p>
        </w:tc>
      </w:tr>
      <w:tr>
        <w:tc>
          <w:tcPr>
            <w:tcW w:type="dxa" w:w="4561"/>
            <w:shd w:val="clear" w:color="auto" w:fill="EBF3FB"/>
            <w:vAlign w:val="center"/>
          </w:tcPr>
          <w:p>
            <w:r>
              <w:rPr>
                <w:sz w:val="18"/>
              </w:rPr>
              <w:t>Status</w:t>
            </w:r>
          </w:p>
        </w:tc>
        <w:tc>
          <w:tcPr>
            <w:tcW w:type="dxa" w:w="4561"/>
            <w:shd w:val="clear" w:color="auto" w:fill="EBF3FB"/>
            <w:vAlign w:val="center"/>
          </w:tcPr>
          <w:p>
            <w:pPr>
              <w:jc w:val="center"/>
            </w:pPr>
            <w:r>
              <w:rPr>
                <w:sz w:val="18"/>
              </w:rPr>
              <w:t>UNSTABLE (ρ = 0.7316 &lt; 0.75) — robust claims restricted to top-ranking converging features</w:t>
            </w:r>
          </w:p>
        </w:tc>
      </w:tr>
    </w:tbl>
    <w:p/>
    <w:p>
      <w:pPr>
        <w:pStyle w:val="Heading2"/>
      </w:pPr>
      <w:r>
        <w:rPr>
          <w:color w:val="2E74B5"/>
        </w:rPr>
        <w:t>4.9  Partial Dependence Analysis (§3.12.3)</w:t>
      </w:r>
    </w:p>
    <w:p>
      <w:r>
        <w:t>One-way PDPs are computed for five features on the 455 training visit-observations using 50 quantile-spaced grid points. Two-way PDPs use 30 × 30 grids for two feature pairs. Per §3.12.3, CLIM_FREEZE_INDEX and AGE_YEARS were specified but both were excluded by Spearman clustering (step 07); their retained substitutes are CLIM_FREEZE_THAW_WINTER (winter freeze-thaw cycles, retained as the highest-correlated seasonal FI variant) and COMP_AGE_CLIMATE (the age × freeze index composite, which directly encodes the AGE_YEARS signal in combination with climate exposure).</w:t>
      </w:r>
    </w:p>
    <w:p>
      <w:pPr>
        <w:spacing w:line="240" w:lineRule="auto" w:before="80" w:after="40"/>
        <w:jc w:val="center"/>
      </w:pPr>
      <w:r>
        <w:drawing>
          <wp:inline xmlns:a="http://schemas.openxmlformats.org/drawingml/2006/main" xmlns:pic="http://schemas.openxmlformats.org/drawingml/2006/picture">
            <wp:extent cx="5669280" cy="3406187"/>
            <wp:docPr id="11" name="Picture 11"/>
            <wp:cNvGraphicFramePr>
              <a:graphicFrameLocks noChangeAspect="1"/>
            </wp:cNvGraphicFramePr>
            <a:graphic>
              <a:graphicData uri="http://schemas.openxmlformats.org/drawingml/2006/picture">
                <pic:pic>
                  <pic:nvPicPr>
                    <pic:cNvPr id="0" name="pdp_oneway.png"/>
                    <pic:cNvPicPr/>
                  </pic:nvPicPr>
                  <pic:blipFill>
                    <a:blip r:embed="rId19"/>
                    <a:stretch>
                      <a:fillRect/>
                    </a:stretch>
                  </pic:blipFill>
                  <pic:spPr>
                    <a:xfrm>
                      <a:off x="0" y="0"/>
                      <a:ext cx="5669280" cy="3406187"/>
                    </a:xfrm>
                    <a:prstGeom prst="rect"/>
                  </pic:spPr>
                </pic:pic>
              </a:graphicData>
            </a:graphic>
          </wp:inline>
        </w:drawing>
      </w:r>
    </w:p>
    <w:p>
      <w:pPr>
        <w:jc w:val="center"/>
      </w:pPr>
      <w:r>
        <w:rPr>
          <w:i/>
          <w:sz w:val="19"/>
        </w:rPr>
        <w:t>Figure 11.  One-way partial dependence plots — XGBoost IRI design model. Features: (a) COMP_AGE_CLIMATE, (b) AC layer thickness, (c) winter freeze-thaw cycles, (d) subgrade resilient modulus, (e) wet-freeze compound (FT × precipitation). Shaded fill from minimum PDP value to curve. Computed on training set.</w:t>
      </w:r>
    </w:p>
    <w:p/>
    <w:p>
      <w:pPr>
        <w:spacing w:line="240" w:lineRule="auto" w:before="80" w:after="40"/>
        <w:jc w:val="center"/>
      </w:pPr>
      <w:r>
        <w:drawing>
          <wp:inline xmlns:a="http://schemas.openxmlformats.org/drawingml/2006/main" xmlns:pic="http://schemas.openxmlformats.org/drawingml/2006/picture">
            <wp:extent cx="5669280" cy="2473868"/>
            <wp:docPr id="12" name="Picture 12"/>
            <wp:cNvGraphicFramePr>
              <a:graphicFrameLocks noChangeAspect="1"/>
            </wp:cNvGraphicFramePr>
            <a:graphic>
              <a:graphicData uri="http://schemas.openxmlformats.org/drawingml/2006/picture">
                <pic:pic>
                  <pic:nvPicPr>
                    <pic:cNvPr id="0" name="pdp_twoway.png"/>
                    <pic:cNvPicPr/>
                  </pic:nvPicPr>
                  <pic:blipFill>
                    <a:blip r:embed="rId20"/>
                    <a:stretch>
                      <a:fillRect/>
                    </a:stretch>
                  </pic:blipFill>
                  <pic:spPr>
                    <a:xfrm>
                      <a:off x="0" y="0"/>
                      <a:ext cx="5669280" cy="2473868"/>
                    </a:xfrm>
                    <a:prstGeom prst="rect"/>
                  </pic:spPr>
                </pic:pic>
              </a:graphicData>
            </a:graphic>
          </wp:inline>
        </w:drawing>
      </w:r>
    </w:p>
    <w:p>
      <w:pPr>
        <w:jc w:val="center"/>
      </w:pPr>
      <w:r>
        <w:rPr>
          <w:i/>
          <w:sz w:val="19"/>
        </w:rPr>
        <w:t>Figure 12.  Two-way partial dependence plots — XGBoost IRI design model. Left: winter freeze-thaw cycles × AC layer thickness. Right: age-climate compound × wet-freeze compound. Colour scale: blue=lower IRI, red=higher IRI. 30×30 quantile grid.</w:t>
      </w:r>
    </w:p>
    <w:p/>
    <w:p>
      <w:r>
        <w:t>COMP_AGE_CLIMATE (panel a): predicted IRI increases monotonically with the age-freeze compound, consistent with progressive freeze-induced roughness accumulation over service life. AC layer thickness (b): a non-monotonic relationship — IRI first decreases with thickness (structural resilience), then plateaus at high thickness values; the non-monotonicity is a model-learned pattern and should not be interpreted causally. Winter freeze-thaw cycles (c): positive relationship — more cycles correspond to higher predicted IRI, consistent with subgrade heave and cracking mechanisms. Subgrade resilient modulus (d): negative relationship — stronger subgrade support reduces predicted IRI. Wet-freeze compound (e): positive and approximately monotonic. The two-way PDP (Figure 12, left) reveals interaction: IRI is highest when freeze-thaw intensity is high and AC thickness is low, and relatively low when AC thickness is high regardless of freeze-thaw intensity — consistent with the structural freeze insulation hypothesis (§3.3, composite 2). All PDP associations are model-learned and contingent on the training climate distribution; they do not generalise to unseen regions (§4.6).</w:t>
      </w:r>
    </w:p>
    <w:p>
      <w:pPr>
        <w:pStyle w:val="Heading2"/>
      </w:pPr>
      <w:r>
        <w:rPr>
          <w:color w:val="2E74B5"/>
        </w:rPr>
        <w:t>4.10  Regional Climate, Traffic, and Deterioration Profile</w:t>
      </w:r>
    </w:p>
    <w:p>
      <w:r>
        <w:t>Figure 13 contextualises the four study regions across climate severity, deterioration level, traffic loading, and age trajectory — providing the data-level interpretation for the LOO and SHAP findings above.</w:t>
      </w:r>
    </w:p>
    <w:p>
      <w:pPr>
        <w:spacing w:line="240" w:lineRule="auto" w:before="80" w:after="40"/>
        <w:jc w:val="center"/>
      </w:pPr>
      <w:r>
        <w:drawing>
          <wp:inline xmlns:a="http://schemas.openxmlformats.org/drawingml/2006/main" xmlns:pic="http://schemas.openxmlformats.org/drawingml/2006/picture">
            <wp:extent cx="5943600" cy="5134029"/>
            <wp:docPr id="13" name="Picture 13"/>
            <wp:cNvGraphicFramePr>
              <a:graphicFrameLocks noChangeAspect="1"/>
            </wp:cNvGraphicFramePr>
            <a:graphic>
              <a:graphicData uri="http://schemas.openxmlformats.org/drawingml/2006/picture">
                <pic:pic>
                  <pic:nvPicPr>
                    <pic:cNvPr id="0" name="regional_climate_traffic_profile.png"/>
                    <pic:cNvPicPr/>
                  </pic:nvPicPr>
                  <pic:blipFill>
                    <a:blip r:embed="rId21"/>
                    <a:stretch>
                      <a:fillRect/>
                    </a:stretch>
                  </pic:blipFill>
                  <pic:spPr>
                    <a:xfrm>
                      <a:off x="0" y="0"/>
                      <a:ext cx="5943600" cy="5134029"/>
                    </a:xfrm>
                    <a:prstGeom prst="rect"/>
                  </pic:spPr>
                </pic:pic>
              </a:graphicData>
            </a:graphic>
          </wp:inline>
        </w:drawing>
      </w:r>
    </w:p>
    <w:p>
      <w:pPr>
        <w:jc w:val="center"/>
      </w:pPr>
      <w:r>
        <w:rPr>
          <w:i/>
          <w:sz w:val="19"/>
        </w:rPr>
        <w:t>Figure 13.  Regional profile. (A) Mean freeze index (log scale). (B) Mean IRI ± 1 SD across all raw observations. (C) First-year AADTT (truck traffic) and ESAL class-12 loading by region. (D) IRI vs. pavement age with binned-mean trend lines by region.</w:t>
      </w:r>
    </w:p>
    <w:p/>
    <w:p>
      <w:r>
        <w:t>Panel A confirms the three-order-of-magnitude FI gradient: Arizona (5.9) → Ontario (834.9). Panel B shows that Ontario (mean IRI = 1.307 m/km, SD = 0.450) and Ohio (1.231, SD = 0.497) are the roughest regions; Georgia is the smoothest (0.909, SD = 0.275). Panel C highlights Ontario's heavier truck loading (ESAL class 12 = 1.3 vs. 0.1–0.5 elsewhere), explaining elevated traffic SHAP in that region. Panel D shows that Ohio and Ontario IRI trajectories diverge steeply after 10 years — consistent with freeze-induced subgrade damage — while Arizona sections show shallower, slower deterioration trajectories.</w:t>
      </w:r>
    </w:p>
    <w:p>
      <w:pPr>
        <w:pStyle w:val="Heading2"/>
      </w:pPr>
      <w:r>
        <w:rPr>
          <w:color w:val="2E74B5"/>
        </w:rPr>
        <w:t>4.11  Synthesis: Limits of Explainable ML for Pavement Prediction (§3.14)</w:t>
      </w:r>
    </w:p>
    <w:p>
      <w:r>
        <w:t>The complete evidence from §§4.1–4.10, interpreted against the pre-registration decisions of §3.14, converges on the following conclusions:</w:t>
      </w:r>
    </w:p>
    <w:p>
      <w:pPr>
        <w:pStyle w:val="ListNumber"/>
      </w:pPr>
      <w:r>
        <w:rPr>
          <w:b/>
          <w:sz w:val="22"/>
        </w:rPr>
        <w:t xml:space="preserve">Prediction across climate zones requires climate coverage, not model capacity.  </w:t>
      </w:r>
      <w:r>
        <w:rPr>
          <w:sz w:val="22"/>
        </w:rPr>
        <w:t>IRI design R² ≈ 0 (CIs spanning zero) for both architectures at all four LOO regions. Increasing Optuna trial budget, feature count, or model complexity cannot recover signal that is absent from the training distribution. The necessary intervention is data: adding sections from the target climate regime.</w:t>
      </w:r>
    </w:p>
    <w:p>
      <w:pPr>
        <w:pStyle w:val="ListNumber"/>
      </w:pPr>
      <w:r>
        <w:rPr>
          <w:b/>
          <w:sz w:val="22"/>
        </w:rPr>
        <w:t xml:space="preserve">Monitoring adds no value over 1-year persistence for IRI unless the target is reframed.  </w:t>
      </w:r>
      <w:r>
        <w:rPr>
          <w:sz w:val="22"/>
        </w:rPr>
        <w:t>Absolute IRI monitoring (XGBoost skill = -0.141, RF skill = -0.403) provides no forecast skill over simply carrying forward the last observation. However, the ΔIRI reformulation — predicting the deterioration increment rather than the absolute level — yields XGBoost skill = +0.260 (26% improvement over persistence). RF ΔIRI does not replicate this gain. The ΔIRI result establishes that XGBoost can extract genuine deterioration-rate signal from structural and climate features, but only when the lag-driven level component is removed from the target. The most recent pavement observation remains the best predictor for absolute IRI.</w:t>
      </w:r>
    </w:p>
    <w:p>
      <w:pPr>
        <w:pStyle w:val="ListNumber"/>
      </w:pPr>
      <w:r>
        <w:rPr>
          <w:b/>
          <w:sz w:val="22"/>
        </w:rPr>
        <w:t xml:space="preserve">Climate transferability failure is driven by distribution mismatch, not freeze severity.  </w:t>
      </w:r>
      <w:r>
        <w:rPr>
          <w:sz w:val="22"/>
        </w:rPr>
        <w:t>Georgia (FI = 10.9) fails worse than Ontario (FI = 834.9). The wet-subtropical climate of Georgia is an out-of-distribution regime for a model trained on arid and cold-freeze sections. Freeze index is a necessary but insufficient characterisation of climate transferability.</w:t>
      </w:r>
    </w:p>
    <w:p>
      <w:pPr>
        <w:pStyle w:val="ListNumber"/>
      </w:pPr>
      <w:r>
        <w:rPr>
          <w:b/>
          <w:sz w:val="22"/>
        </w:rPr>
        <w:t xml:space="preserve">SHAP rankings are marginally unstable across architectures and do not imply generalisability.  </w:t>
      </w:r>
      <w:r>
        <w:rPr>
          <w:sz w:val="22"/>
        </w:rPr>
        <w:t>Cross-model SHAP consistency ρ = 0.732, marginally below the pre-specified threshold of 0.75 (§3.12.2), classifying the result as UNSTABLE. The two architectures converge on the top features (structural geometry, traffic loading, age-climate composite) but diverge in mid-tier rankings, driven by differential weighting of the force-retained CLIM_FREEZE_INDEX. SHAP values from a model with R² ≈ 0 characterise learned associations in the training distribution; they describe model behaviour on 34 training sections, not universal pavement mechanics. PDP associations are physically plausible but should not inform design guidelines for regions outside the training climate envelope.</w:t>
      </w:r>
    </w:p>
    <w:p>
      <w:pPr>
        <w:pStyle w:val="ListNumber"/>
      </w:pPr>
      <w:r>
        <w:rPr>
          <w:b/>
          <w:sz w:val="22"/>
        </w:rPr>
        <w:t xml:space="preserve">Nine composite features inform the interpretability analysis, but their relative importance is modest.  </w:t>
      </w:r>
      <w:r>
        <w:rPr>
          <w:sz w:val="22"/>
        </w:rPr>
        <w:t>COMP_AGE_CLIMATE ranks 3 globally (mean |SHAP| = 0.0289) — the highest-ranked climate-domain feature. Other composites (COMP_WET_FREEZE, COMP_STRUCT_ADEQUACY) appear in the regional SHAP breakdown but at lower magnitudes than direct structural measurements. The composites function as analytical hypotheses whose modest importance relative to measured variables is itself a finding: climate exposure does not supplant structural geometry as the primary driver within the observed training distribution.</w:t>
      </w:r>
    </w:p>
    <w:p>
      <w:r>
        <w:t>Taken together, these findings establish that the value of XAI tools in pavement engineering is currently bounded by data scarcity and geographic coverage, not by interpretability method choice. Cross-climate SHAP analysis can only be trusted when the underlying model first demonstrates positive LOO generalisation to the target climate regime. This paper demonstrates that such generalisation cannot be assumed, and provides an explicit pre-registered framework for detecting and reporting when it fails.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