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Захаров, 1-й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Mindmap</w:t>
        </w:r>
      </w:hyperlink>
      <w:r w:rsidDel="00000000" w:rsidR="00000000" w:rsidRPr="00000000">
        <w:rPr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3975100"/>
              <wp:effectExtent b="0" l="0" r="0" t="0"/>
              <wp:docPr id="2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97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Таблица с классами эквивалентности.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Блок-схема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4279900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27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Таблица с классами эквивалентности и тест-кейсами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 Какую часть функциональности удалось покрыть тестами.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ходе составления Mindmap поведение системы страницы сервиса разделилась на две ветки: логику работы системы и отображение интерфейса. Каждая в свою очередь разделилась на несколько блоков, которые “распались” до атомарных. Каждый из блоков можно протестировать, однако в нашем задании тестами была покрыта лишь часть системы: это выбор в качестве транспортного средства - каршеринг и логика расчета стоимости при заданном времени начала поездки и введенными точками маршрута в поле “Откуда” и “Куда”.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1a1b22"/>
          <w:highlight w:val="white"/>
          <w:rtl w:val="0"/>
        </w:rPr>
        <w:t xml:space="preserve">Какие новые навыки позволили мне выполнить проект?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Разделим эти навыки на профессиональные, технические и личные.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Профессиональные. Те, что я получил в процессе обучения. Определяющие навыки на мой взгляд дали мне изучение тем о проектировании тестов: это “Анализ требований” и “Тест дизайн”. Навыки изучения функционального тестирования, серых зон, декомпозиции требований, Mindmap, блок-схем, классов эквивалентности и граничных значений были одними из ключевых.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Технические навыки. Сюда бы я отнес умение пользоваться ПК.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Личные навыки.Особую роль в приобретении навыков сыграло правильное общение с преподавателем и наставником благодаря правильно поставленным вопросам. Данный навык хорошо описан в теме о правилах письменной коммуникации в “Яндекс тренажере”.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Главные навыки по работе с проектом я получил в тренажере “Яндекс Практикума”, а также благодаря помощи и поддержке преподавателя и наставников курса, кроме того в “Слаке” и “Вебинаре зума” было получено множество ответов на интересующие вопросы от студентов.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WlJ7ktflLj7dEm4h5Mi47E8Z_ENyU4D/view?usp=sharing" TargetMode="External"/><Relationship Id="rId10" Type="http://schemas.openxmlformats.org/officeDocument/2006/relationships/hyperlink" Target="https://drive.google.com/file/d/1YWlJ7ktflLj7dEm4h5Mi47E8Z_ENyU4D/view?usp=sharing" TargetMode="External"/><Relationship Id="rId13" Type="http://schemas.openxmlformats.org/officeDocument/2006/relationships/hyperlink" Target="https://docs.google.com/spreadsheets/d/1VGkmvPMWdOz5mDMSpCdf0lYQRcJVrupIWFdROD494NU/edit?usp=sharing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VGkmvPMWdOz5mDMSpCdf0lYQRcJVrupIWFdROD494N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fN3OhJlsV24Lcif_0YR_cSkzAzs7TV7/view?usp=sharing" TargetMode="External"/><Relationship Id="rId7" Type="http://schemas.openxmlformats.org/officeDocument/2006/relationships/hyperlink" Target="https://drive.google.com/file/d/1_fN3OhJlsV24Lcif_0YR_cSkzAzs7TV7/view?usp=sharing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