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 Report</w:t>
      </w:r>
    </w:p>
    <w:p>
      <w:r>
        <w:t>This document describes fiscal 2025 results.</w:t>
      </w:r>
    </w:p>
    <w:p>
      <w:pPr>
        <w:pStyle w:val="Heading2"/>
      </w:pPr>
      <w: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FY2025</w:t>
            </w:r>
          </w:p>
        </w:tc>
        <w:tc>
          <w:tcPr>
            <w:tcW w:type="dxa" w:w="2880"/>
          </w:tcPr>
          <w:p>
            <w:r>
              <w:t>FY2024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130,497</w:t>
            </w:r>
          </w:p>
        </w:tc>
        <w:tc>
          <w:tcPr>
            <w:tcW w:type="dxa" w:w="2880"/>
          </w:tcPr>
          <w:p>
            <w:r>
              <w:t>60,922</w:t>
            </w:r>
          </w:p>
        </w:tc>
      </w:tr>
      <w:tr>
        <w:tc>
          <w:tcPr>
            <w:tcW w:type="dxa" w:w="2880"/>
          </w:tcPr>
          <w:p>
            <w:r>
              <w:t>Cost of revenue</w:t>
            </w:r>
          </w:p>
        </w:tc>
        <w:tc>
          <w:tcPr>
            <w:tcW w:type="dxa" w:w="2880"/>
          </w:tcPr>
          <w:p>
            <w:r>
              <w:t>32,639</w:t>
            </w:r>
          </w:p>
        </w:tc>
        <w:tc>
          <w:tcPr>
            <w:tcW w:type="dxa" w:w="2880"/>
          </w:tcPr>
          <w:p>
            <w:r>
              <w:t>16,621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97,858</w:t>
            </w:r>
          </w:p>
        </w:tc>
        <w:tc>
          <w:tcPr>
            <w:tcW w:type="dxa" w:w="2880"/>
          </w:tcPr>
          <w:p>
            <w:r>
              <w:t>44,301</w:t>
            </w:r>
          </w:p>
        </w:tc>
      </w:tr>
    </w:tbl>
    <w:p>
      <w:r>
        <w:t>Amounts in millions.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