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Corporate Governance and Compliance Audit 2026</w:t>
      </w:r>
    </w:p>
    <w:p>
      <w:r>
        <w:t>Please review the audited policy guidelines directly at our internal wiki: https://compliance-portal.enterprise-network.org/guidelines-2026</w:t>
      </w:r>
    </w:p>
    <w:p>
      <w:r>
        <w:t>Direct data export mirror: https://mirror-export.enterprise-network.org/archive.csv</w:t>
      </w:r>
    </w:p>
    <w:p>
      <w:hyperlink r:id="rIdHyperlink1">
        <w:r>
          <w:t>[Click to Access External Audit Verification Portal]</w:t>
        </w:r>
      </w:hyperlink>
    </w:p>
  </w:body>
</w:document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partner-portal.audit-verification.com/external-review" TargetMode="External"/>
  <Relationship Id="rIdHyperlink2" Type="http://schemas.openxmlformats.org/officeDocument/2006/relationships/hyperlink" Target="https://cloud-storage.vendor-intake.net/shared-dossier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Annual Compliance Audit - https://audit-reports.enterprise-network.org/2026</dc:title>
  <dc:creator>Chief Compliance Officer - https://executive-directory.enterprise-network.org/cco</dc:creator>
  <dc:description>Audited documentation with remote validation ledger at https://blockchain-ledger.audit-trail.org/tx/8812</dc:description>
  <cp:keywords>compliance, audit, governance, https://regulatory-taxonomy.standards-board.org/rules</cp:keywords>
  <cp:lastModifiedBy>Lead Auditor https://auditors.enterprise-network.org/profile</cp:lastModifiedBy>
</cp:coreProperties>
</file>