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1A5" w:rsidRDefault="009011A5" w:rsidP="00DC40FA">
      <w:pPr>
        <w:pStyle w:val="Title"/>
        <w:rPr>
          <w:rFonts w:ascii="Times New Roman" w:hAnsi="Times New Roman"/>
          <w:sz w:val="22"/>
          <w:szCs w:val="22"/>
          <w:u w:val="none"/>
          <w:lang w:val="hu-HU"/>
        </w:rPr>
      </w:pPr>
      <w:bookmarkStart w:id="0" w:name="_GoBack"/>
      <w:bookmarkEnd w:id="0"/>
    </w:p>
    <w:p w:rsidR="009011A5" w:rsidRDefault="009011A5" w:rsidP="00DC40FA">
      <w:pPr>
        <w:pStyle w:val="Title"/>
        <w:rPr>
          <w:rFonts w:ascii="Times New Roman" w:hAnsi="Times New Roman"/>
          <w:sz w:val="22"/>
          <w:szCs w:val="22"/>
          <w:u w:val="none"/>
          <w:lang w:val="hu-HU"/>
        </w:rPr>
      </w:pPr>
    </w:p>
    <w:p w:rsidR="00DC40FA" w:rsidRPr="009011A5" w:rsidRDefault="009011A5" w:rsidP="00DC40FA">
      <w:pPr>
        <w:pStyle w:val="Title"/>
        <w:rPr>
          <w:rFonts w:ascii="Times New Roman" w:hAnsi="Times New Roman"/>
          <w:sz w:val="22"/>
          <w:szCs w:val="22"/>
          <w:u w:val="none"/>
          <w:lang w:val="hu-HU"/>
        </w:rPr>
      </w:pPr>
      <w:r w:rsidRPr="009011A5">
        <w:rPr>
          <w:rFonts w:ascii="Times New Roman" w:hAnsi="Times New Roman"/>
          <w:sz w:val="22"/>
          <w:szCs w:val="22"/>
          <w:u w:val="none"/>
          <w:lang w:val="hu-HU"/>
        </w:rPr>
        <w:t>INFROMATIKAI BIZTONSÁGI POLITIKA</w:t>
      </w:r>
    </w:p>
    <w:p w:rsidR="00DC40FA" w:rsidRPr="004F4601" w:rsidRDefault="00DC40FA" w:rsidP="009011A5">
      <w:pPr>
        <w:ind w:left="0"/>
        <w:rPr>
          <w:rFonts w:ascii="Times New Roman" w:hAnsi="Times New Roman"/>
          <w:szCs w:val="22"/>
          <w:lang w:val="hu-HU"/>
        </w:rPr>
      </w:pPr>
    </w:p>
    <w:p w:rsidR="00DC40FA" w:rsidRPr="004F4601" w:rsidRDefault="00DC40FA" w:rsidP="00DC40FA">
      <w:pPr>
        <w:spacing w:before="60"/>
        <w:ind w:left="0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>Az alábbi aláírások igazolják, hogy a jóváhagyók elolvasták, megértették és elfogadták a dokumentumot:</w:t>
      </w:r>
    </w:p>
    <w:p w:rsidR="00DC40FA" w:rsidRPr="004F4601" w:rsidRDefault="00DC40FA" w:rsidP="00DC40FA">
      <w:pPr>
        <w:spacing w:before="60"/>
        <w:ind w:left="0"/>
        <w:rPr>
          <w:rFonts w:ascii="Times New Roman" w:hAnsi="Times New Roman"/>
          <w:szCs w:val="22"/>
          <w:lang w:val="hu-H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3"/>
        <w:gridCol w:w="2703"/>
        <w:gridCol w:w="2503"/>
        <w:gridCol w:w="1710"/>
      </w:tblGrid>
      <w:tr w:rsidR="00DC40FA" w:rsidRPr="004F4601" w:rsidTr="005567C5">
        <w:trPr>
          <w:trHeight w:val="412"/>
        </w:trPr>
        <w:tc>
          <w:tcPr>
            <w:tcW w:w="1405" w:type="pct"/>
            <w:tcBorders>
              <w:bottom w:val="nil"/>
            </w:tcBorders>
            <w:shd w:val="pct5" w:color="auto" w:fill="FFFFFF"/>
          </w:tcPr>
          <w:p w:rsidR="00DC40FA" w:rsidRPr="004F4601" w:rsidRDefault="00DC40FA" w:rsidP="005567C5">
            <w:pPr>
              <w:spacing w:before="60" w:after="60"/>
              <w:ind w:left="0"/>
              <w:rPr>
                <w:rFonts w:ascii="Times New Roman" w:hAnsi="Times New Roman"/>
                <w:b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b/>
                <w:szCs w:val="22"/>
                <w:lang w:val="hu-HU"/>
              </w:rPr>
              <w:t>Név</w:t>
            </w:r>
          </w:p>
        </w:tc>
        <w:tc>
          <w:tcPr>
            <w:tcW w:w="1405" w:type="pct"/>
            <w:tcBorders>
              <w:bottom w:val="nil"/>
            </w:tcBorders>
            <w:shd w:val="pct5" w:color="auto" w:fill="FFFFFF"/>
          </w:tcPr>
          <w:p w:rsidR="00DC40FA" w:rsidRPr="004F4601" w:rsidRDefault="00DC40FA" w:rsidP="005567C5">
            <w:pPr>
              <w:spacing w:before="60" w:after="60"/>
              <w:ind w:left="0"/>
              <w:rPr>
                <w:rFonts w:ascii="Times New Roman" w:hAnsi="Times New Roman"/>
                <w:b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b/>
                <w:szCs w:val="22"/>
                <w:lang w:val="hu-HU"/>
              </w:rPr>
              <w:t>Beosztás</w:t>
            </w:r>
          </w:p>
        </w:tc>
        <w:tc>
          <w:tcPr>
            <w:tcW w:w="1301" w:type="pct"/>
            <w:tcBorders>
              <w:bottom w:val="nil"/>
            </w:tcBorders>
            <w:shd w:val="pct5" w:color="auto" w:fill="FFFFFF"/>
          </w:tcPr>
          <w:p w:rsidR="00DC40FA" w:rsidRPr="004F4601" w:rsidRDefault="00DC40FA" w:rsidP="005567C5">
            <w:pPr>
              <w:spacing w:before="60" w:after="60"/>
              <w:ind w:left="0"/>
              <w:rPr>
                <w:rFonts w:ascii="Times New Roman" w:hAnsi="Times New Roman"/>
                <w:b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b/>
                <w:szCs w:val="22"/>
                <w:lang w:val="hu-HU"/>
              </w:rPr>
              <w:t>Aláírás</w:t>
            </w:r>
          </w:p>
        </w:tc>
        <w:tc>
          <w:tcPr>
            <w:tcW w:w="889" w:type="pct"/>
            <w:tcBorders>
              <w:bottom w:val="nil"/>
            </w:tcBorders>
            <w:shd w:val="pct5" w:color="auto" w:fill="FFFFFF"/>
          </w:tcPr>
          <w:p w:rsidR="00DC40FA" w:rsidRPr="004F4601" w:rsidRDefault="00DC40FA" w:rsidP="005567C5">
            <w:pPr>
              <w:spacing w:before="60" w:after="60"/>
              <w:ind w:left="0"/>
              <w:rPr>
                <w:rFonts w:ascii="Times New Roman" w:hAnsi="Times New Roman"/>
                <w:b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b/>
                <w:szCs w:val="22"/>
                <w:lang w:val="hu-HU"/>
              </w:rPr>
              <w:t>Dátum</w:t>
            </w:r>
          </w:p>
        </w:tc>
      </w:tr>
      <w:tr w:rsidR="00DC40FA" w:rsidRPr="004F4601" w:rsidTr="005567C5">
        <w:trPr>
          <w:trHeight w:val="412"/>
        </w:trPr>
        <w:tc>
          <w:tcPr>
            <w:tcW w:w="1405" w:type="pct"/>
          </w:tcPr>
          <w:p w:rsidR="00DC40FA" w:rsidRPr="004F4601" w:rsidRDefault="00DC40FA" w:rsidP="005567C5">
            <w:pPr>
              <w:spacing w:before="60" w:after="60"/>
              <w:ind w:left="0"/>
              <w:rPr>
                <w:rFonts w:ascii="Times New Roman" w:hAnsi="Times New Roman"/>
                <w:b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b/>
                <w:szCs w:val="22"/>
                <w:lang w:val="hu-HU"/>
              </w:rPr>
              <w:t>Jóváhagyó:</w:t>
            </w:r>
          </w:p>
          <w:p w:rsidR="00DC40FA" w:rsidRPr="004F4601" w:rsidRDefault="00DC40FA" w:rsidP="005567C5">
            <w:pPr>
              <w:spacing w:before="60" w:after="60"/>
              <w:ind w:left="0"/>
              <w:rPr>
                <w:rFonts w:ascii="Times New Roman" w:hAnsi="Times New Roman"/>
                <w:szCs w:val="22"/>
                <w:lang w:val="hu-HU"/>
              </w:rPr>
            </w:pPr>
          </w:p>
        </w:tc>
        <w:tc>
          <w:tcPr>
            <w:tcW w:w="1405" w:type="pct"/>
          </w:tcPr>
          <w:p w:rsidR="00DC40FA" w:rsidRPr="004F4601" w:rsidRDefault="00E964AC" w:rsidP="005567C5">
            <w:pPr>
              <w:spacing w:before="60" w:after="60"/>
              <w:ind w:left="0"/>
              <w:rPr>
                <w:rFonts w:ascii="Times New Roman" w:hAnsi="Times New Roman"/>
                <w:szCs w:val="22"/>
                <w:lang w:val="hu-HU"/>
              </w:rPr>
            </w:pPr>
            <w:r>
              <w:rPr>
                <w:rFonts w:ascii="Times New Roman" w:eastAsiaTheme="minorHAnsi" w:hAnsi="Times New Roman"/>
                <w:szCs w:val="22"/>
                <w:lang w:val="hu-HU" w:eastAsia="en-US"/>
              </w:rPr>
              <w:t>ügyvezető</w:t>
            </w:r>
          </w:p>
        </w:tc>
        <w:tc>
          <w:tcPr>
            <w:tcW w:w="1301" w:type="pct"/>
          </w:tcPr>
          <w:p w:rsidR="00DC40FA" w:rsidRPr="004F4601" w:rsidRDefault="00DC40FA" w:rsidP="005567C5">
            <w:pPr>
              <w:spacing w:before="60" w:after="60"/>
              <w:ind w:left="0"/>
              <w:rPr>
                <w:rFonts w:ascii="Times New Roman" w:hAnsi="Times New Roman"/>
                <w:szCs w:val="22"/>
                <w:lang w:val="hu-HU"/>
              </w:rPr>
            </w:pPr>
          </w:p>
        </w:tc>
        <w:tc>
          <w:tcPr>
            <w:tcW w:w="889" w:type="pct"/>
          </w:tcPr>
          <w:p w:rsidR="00DC40FA" w:rsidRPr="004F4601" w:rsidRDefault="00DC40FA" w:rsidP="005567C5">
            <w:pPr>
              <w:spacing w:before="60" w:after="60"/>
              <w:ind w:left="0"/>
              <w:rPr>
                <w:rFonts w:ascii="Times New Roman" w:hAnsi="Times New Roman"/>
                <w:szCs w:val="22"/>
                <w:lang w:val="hu-HU"/>
              </w:rPr>
            </w:pPr>
          </w:p>
        </w:tc>
      </w:tr>
      <w:tr w:rsidR="00DC40FA" w:rsidRPr="004F4601" w:rsidTr="005567C5">
        <w:trPr>
          <w:cantSplit/>
          <w:trHeight w:val="412"/>
        </w:trPr>
        <w:tc>
          <w:tcPr>
            <w:tcW w:w="5000" w:type="pct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C40FA" w:rsidRPr="004F4601" w:rsidRDefault="00DC40FA" w:rsidP="005567C5">
            <w:pPr>
              <w:spacing w:before="60" w:after="60"/>
              <w:ind w:left="0"/>
              <w:rPr>
                <w:rFonts w:ascii="Times New Roman" w:hAnsi="Times New Roman"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szCs w:val="22"/>
                <w:lang w:val="hu-HU"/>
              </w:rPr>
              <w:t xml:space="preserve">A szervezet </w:t>
            </w:r>
            <w:r w:rsidR="009011A5">
              <w:rPr>
                <w:rFonts w:ascii="Times New Roman" w:hAnsi="Times New Roman"/>
                <w:szCs w:val="22"/>
                <w:lang w:val="hu-HU"/>
              </w:rPr>
              <w:t>vezetője</w:t>
            </w:r>
            <w:r w:rsidRPr="004F4601">
              <w:rPr>
                <w:rFonts w:ascii="Times New Roman" w:hAnsi="Times New Roman"/>
                <w:szCs w:val="22"/>
                <w:lang w:val="hu-HU"/>
              </w:rPr>
              <w:t xml:space="preserve"> igazolja, hogy a dokumentum megfelel a szervezet igényeinek.</w:t>
            </w:r>
          </w:p>
        </w:tc>
      </w:tr>
      <w:tr w:rsidR="00DC40FA" w:rsidRPr="004F4601" w:rsidTr="005567C5">
        <w:trPr>
          <w:trHeight w:val="412"/>
        </w:trPr>
        <w:tc>
          <w:tcPr>
            <w:tcW w:w="1405" w:type="pct"/>
          </w:tcPr>
          <w:p w:rsidR="00DC40FA" w:rsidRPr="004F4601" w:rsidRDefault="00DC40FA" w:rsidP="005567C5">
            <w:pPr>
              <w:spacing w:before="60" w:after="60"/>
              <w:ind w:left="0"/>
              <w:rPr>
                <w:rFonts w:ascii="Times New Roman" w:hAnsi="Times New Roman"/>
                <w:b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b/>
                <w:szCs w:val="22"/>
                <w:lang w:val="hu-HU"/>
              </w:rPr>
              <w:t>Jóváhagyó:</w:t>
            </w:r>
          </w:p>
          <w:p w:rsidR="00DC40FA" w:rsidRPr="004F4601" w:rsidRDefault="00DC40FA" w:rsidP="005567C5">
            <w:pPr>
              <w:spacing w:before="60" w:after="60"/>
              <w:ind w:left="0"/>
              <w:rPr>
                <w:rFonts w:ascii="Times New Roman" w:hAnsi="Times New Roman"/>
                <w:szCs w:val="22"/>
                <w:lang w:val="hu-HU"/>
              </w:rPr>
            </w:pPr>
          </w:p>
        </w:tc>
        <w:tc>
          <w:tcPr>
            <w:tcW w:w="1405" w:type="pct"/>
          </w:tcPr>
          <w:p w:rsidR="00DC40FA" w:rsidRPr="004F4601" w:rsidRDefault="00E964AC" w:rsidP="005567C5">
            <w:pPr>
              <w:spacing w:before="60" w:after="60"/>
              <w:ind w:left="0"/>
              <w:rPr>
                <w:rFonts w:ascii="Times New Roman" w:hAnsi="Times New Roman"/>
                <w:szCs w:val="22"/>
                <w:lang w:val="hu-HU"/>
              </w:rPr>
            </w:pPr>
            <w:r>
              <w:rPr>
                <w:rFonts w:ascii="Times New Roman" w:eastAsiaTheme="minorHAnsi" w:hAnsi="Times New Roman"/>
                <w:szCs w:val="22"/>
                <w:lang w:val="hu-HU" w:eastAsia="en-US"/>
              </w:rPr>
              <w:t>ügyvezető</w:t>
            </w:r>
          </w:p>
        </w:tc>
        <w:tc>
          <w:tcPr>
            <w:tcW w:w="1301" w:type="pct"/>
          </w:tcPr>
          <w:p w:rsidR="00DC40FA" w:rsidRPr="004F4601" w:rsidRDefault="00DC40FA" w:rsidP="005567C5">
            <w:pPr>
              <w:spacing w:before="60" w:after="60"/>
              <w:ind w:left="0"/>
              <w:rPr>
                <w:rFonts w:ascii="Times New Roman" w:hAnsi="Times New Roman"/>
                <w:szCs w:val="22"/>
                <w:lang w:val="hu-HU"/>
              </w:rPr>
            </w:pPr>
          </w:p>
        </w:tc>
        <w:tc>
          <w:tcPr>
            <w:tcW w:w="889" w:type="pct"/>
          </w:tcPr>
          <w:p w:rsidR="00DC40FA" w:rsidRPr="004F4601" w:rsidRDefault="00DC40FA" w:rsidP="005567C5">
            <w:pPr>
              <w:spacing w:before="60" w:after="60"/>
              <w:ind w:left="0"/>
              <w:rPr>
                <w:rFonts w:ascii="Times New Roman" w:hAnsi="Times New Roman"/>
                <w:szCs w:val="22"/>
                <w:lang w:val="hu-HU"/>
              </w:rPr>
            </w:pPr>
          </w:p>
        </w:tc>
      </w:tr>
    </w:tbl>
    <w:p w:rsidR="00DC40FA" w:rsidRPr="004F4601" w:rsidRDefault="00DC40FA" w:rsidP="00DC40FA">
      <w:pPr>
        <w:spacing w:before="60"/>
        <w:ind w:left="0"/>
        <w:rPr>
          <w:rFonts w:ascii="Times New Roman" w:hAnsi="Times New Roman"/>
          <w:szCs w:val="22"/>
          <w:lang w:val="hu-HU"/>
        </w:rPr>
      </w:pPr>
    </w:p>
    <w:p w:rsidR="00DC40FA" w:rsidRPr="004F4601" w:rsidRDefault="00DC40FA" w:rsidP="00DC40FA">
      <w:pPr>
        <w:spacing w:after="240"/>
        <w:ind w:left="862"/>
        <w:jc w:val="center"/>
        <w:rPr>
          <w:rFonts w:ascii="Times New Roman" w:hAnsi="Times New Roman"/>
          <w:szCs w:val="22"/>
          <w:lang w:val="hu-HU"/>
        </w:rPr>
      </w:pPr>
      <w:bookmarkStart w:id="1" w:name="_Toc459435949"/>
      <w:bookmarkStart w:id="2" w:name="_Toc476031388"/>
      <w:bookmarkStart w:id="3" w:name="_Toc476458143"/>
      <w:bookmarkStart w:id="4" w:name="_Toc479669681"/>
      <w:bookmarkStart w:id="5" w:name="_Toc480019163"/>
      <w:bookmarkStart w:id="6" w:name="_Ref490895683"/>
      <w:bookmarkStart w:id="7" w:name="_Toc494085719"/>
    </w:p>
    <w:tbl>
      <w:tblPr>
        <w:tblStyle w:val="TableGrid"/>
        <w:tblW w:w="9634" w:type="dxa"/>
        <w:tblLook w:val="01E0" w:firstRow="1" w:lastRow="1" w:firstColumn="1" w:lastColumn="1" w:noHBand="0" w:noVBand="0"/>
      </w:tblPr>
      <w:tblGrid>
        <w:gridCol w:w="1951"/>
        <w:gridCol w:w="2268"/>
        <w:gridCol w:w="2268"/>
        <w:gridCol w:w="3147"/>
      </w:tblGrid>
      <w:tr w:rsidR="00DC40FA" w:rsidRPr="004F4601" w:rsidTr="005567C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C40FA" w:rsidRPr="004F4601" w:rsidRDefault="00DC40FA" w:rsidP="005567C5">
            <w:pPr>
              <w:spacing w:beforeLines="60" w:before="144" w:afterLines="60" w:after="144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hu-HU" w:eastAsia="en-GB"/>
              </w:rPr>
            </w:pPr>
            <w:r w:rsidRPr="004F4601">
              <w:rPr>
                <w:rFonts w:ascii="Times New Roman" w:hAnsi="Times New Roman"/>
                <w:b/>
                <w:sz w:val="22"/>
                <w:szCs w:val="22"/>
                <w:lang w:val="hu-HU"/>
              </w:rPr>
              <w:t>Jóváhagyás dátuma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C40FA" w:rsidRPr="004F4601" w:rsidRDefault="00DC40FA" w:rsidP="005567C5">
            <w:pPr>
              <w:spacing w:beforeLines="60" w:before="144" w:afterLines="60" w:after="144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hu-HU" w:eastAsia="en-GB"/>
              </w:rPr>
            </w:pPr>
            <w:r w:rsidRPr="004F4601">
              <w:rPr>
                <w:rFonts w:ascii="Times New Roman" w:hAnsi="Times New Roman"/>
                <w:b/>
                <w:sz w:val="22"/>
                <w:szCs w:val="22"/>
                <w:lang w:val="hu-HU"/>
              </w:rPr>
              <w:t>Felülvizsgálati határidő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C40FA" w:rsidRPr="004F4601" w:rsidRDefault="00DC40FA" w:rsidP="005567C5">
            <w:pPr>
              <w:spacing w:beforeLines="60" w:before="144" w:afterLines="60" w:after="144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hu-HU" w:eastAsia="en-GB"/>
              </w:rPr>
            </w:pPr>
            <w:r w:rsidRPr="004F4601">
              <w:rPr>
                <w:rFonts w:ascii="Times New Roman" w:hAnsi="Times New Roman"/>
                <w:b/>
                <w:sz w:val="22"/>
                <w:szCs w:val="22"/>
                <w:lang w:val="hu-HU"/>
              </w:rPr>
              <w:t>Adat kategória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C40FA" w:rsidRPr="004F4601" w:rsidRDefault="00DC40FA" w:rsidP="005567C5">
            <w:pPr>
              <w:spacing w:beforeLines="60" w:before="144" w:afterLines="60" w:after="144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hu-HU" w:eastAsia="en-GB"/>
              </w:rPr>
            </w:pPr>
            <w:r w:rsidRPr="004F4601">
              <w:rPr>
                <w:rFonts w:ascii="Times New Roman" w:hAnsi="Times New Roman"/>
                <w:b/>
                <w:sz w:val="22"/>
                <w:szCs w:val="22"/>
                <w:lang w:val="hu-HU"/>
              </w:rPr>
              <w:t>Megőrzési idő</w:t>
            </w:r>
          </w:p>
        </w:tc>
      </w:tr>
      <w:tr w:rsidR="00DC40FA" w:rsidRPr="004F4601" w:rsidTr="005567C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0FA" w:rsidRPr="004F4601" w:rsidRDefault="009011A5" w:rsidP="005567C5">
            <w:pPr>
              <w:spacing w:beforeLines="60" w:before="144" w:afterLines="60" w:after="144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hu-HU" w:eastAsia="en-GB"/>
              </w:rPr>
            </w:pPr>
            <w:r>
              <w:rPr>
                <w:rFonts w:ascii="Times New Roman" w:hAnsi="Times New Roman"/>
                <w:sz w:val="22"/>
                <w:szCs w:val="22"/>
                <w:lang w:val="hu-HU" w:eastAsia="en-GB"/>
              </w:rPr>
              <w:t xml:space="preserve">2018. </w:t>
            </w:r>
            <w:r w:rsidR="00E211BA">
              <w:rPr>
                <w:rFonts w:ascii="Times New Roman" w:hAnsi="Times New Roman"/>
                <w:sz w:val="22"/>
                <w:szCs w:val="22"/>
                <w:lang w:val="hu-HU" w:eastAsia="en-GB"/>
              </w:rPr>
              <w:t>május 2</w:t>
            </w:r>
            <w:r w:rsidR="00A23819">
              <w:rPr>
                <w:rFonts w:ascii="Times New Roman" w:hAnsi="Times New Roman"/>
                <w:sz w:val="22"/>
                <w:szCs w:val="22"/>
                <w:lang w:val="hu-HU" w:eastAsia="en-GB"/>
              </w:rPr>
              <w:t>5</w:t>
            </w:r>
            <w:r w:rsidR="00E211BA">
              <w:rPr>
                <w:rFonts w:ascii="Times New Roman" w:hAnsi="Times New Roman"/>
                <w:sz w:val="22"/>
                <w:szCs w:val="22"/>
                <w:lang w:val="hu-HU" w:eastAsia="en-GB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0FA" w:rsidRPr="004F4601" w:rsidRDefault="00DC40FA" w:rsidP="005567C5">
            <w:pPr>
              <w:spacing w:beforeLines="60" w:before="144" w:afterLines="60" w:after="144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hu-HU" w:eastAsia="en-GB"/>
              </w:rPr>
            </w:pPr>
            <w:r w:rsidRPr="004F4601">
              <w:rPr>
                <w:rFonts w:ascii="Times New Roman" w:hAnsi="Times New Roman"/>
                <w:sz w:val="22"/>
                <w:szCs w:val="22"/>
                <w:lang w:val="hu-HU"/>
              </w:rPr>
              <w:t>Szükség szerint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0FA" w:rsidRPr="004F4601" w:rsidRDefault="00DC40FA" w:rsidP="005567C5">
            <w:pPr>
              <w:spacing w:beforeLines="60" w:before="144" w:afterLines="60" w:after="144"/>
              <w:ind w:left="0"/>
              <w:rPr>
                <w:rFonts w:ascii="Times New Roman" w:hAnsi="Times New Roman"/>
                <w:sz w:val="22"/>
                <w:szCs w:val="22"/>
                <w:lang w:val="hu-HU" w:bidi="or-IN"/>
              </w:rPr>
            </w:pPr>
            <w:r w:rsidRPr="004F4601">
              <w:rPr>
                <w:rFonts w:ascii="Times New Roman" w:hAnsi="Times New Roman"/>
                <w:sz w:val="22"/>
                <w:szCs w:val="22"/>
                <w:lang w:val="hu-HU" w:bidi="or-IN"/>
              </w:rPr>
              <w:t>Belső - nem szabályozott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0FA" w:rsidRPr="004F4601" w:rsidRDefault="00DC40FA" w:rsidP="005567C5">
            <w:pPr>
              <w:spacing w:beforeLines="60" w:before="144" w:afterLines="60" w:after="144"/>
              <w:ind w:left="0" w:right="-6"/>
              <w:rPr>
                <w:rFonts w:ascii="Times New Roman" w:hAnsi="Times New Roman"/>
                <w:sz w:val="22"/>
                <w:szCs w:val="22"/>
                <w:lang w:val="hu-HU" w:bidi="or-IN"/>
              </w:rPr>
            </w:pPr>
            <w:r w:rsidRPr="004F4601">
              <w:rPr>
                <w:rFonts w:ascii="Times New Roman" w:hAnsi="Times New Roman"/>
                <w:sz w:val="22"/>
                <w:szCs w:val="22"/>
                <w:lang w:val="hu-HU" w:bidi="or-IN"/>
              </w:rPr>
              <w:t>Az új verzió megjelenéséig, illetve</w:t>
            </w:r>
            <w:r w:rsidR="009011A5">
              <w:rPr>
                <w:rFonts w:ascii="Times New Roman" w:hAnsi="Times New Roman"/>
                <w:sz w:val="22"/>
                <w:szCs w:val="22"/>
                <w:lang w:val="hu-HU" w:bidi="or-IN"/>
              </w:rPr>
              <w:t xml:space="preserve"> módosítás időpontjáig</w:t>
            </w:r>
          </w:p>
        </w:tc>
      </w:tr>
    </w:tbl>
    <w:p w:rsidR="00DC40FA" w:rsidRPr="004F4601" w:rsidRDefault="00DC40FA" w:rsidP="00DC40FA">
      <w:pPr>
        <w:spacing w:after="240"/>
        <w:ind w:left="862"/>
        <w:jc w:val="center"/>
        <w:rPr>
          <w:rFonts w:ascii="Times New Roman" w:hAnsi="Times New Roman"/>
          <w:szCs w:val="22"/>
          <w:lang w:val="hu-HU"/>
        </w:rPr>
      </w:pPr>
    </w:p>
    <w:p w:rsidR="00DC40FA" w:rsidRPr="004F4601" w:rsidRDefault="00DC40FA" w:rsidP="00DC40FA">
      <w:pPr>
        <w:spacing w:after="240"/>
        <w:ind w:left="862"/>
        <w:jc w:val="center"/>
        <w:rPr>
          <w:rFonts w:ascii="Times New Roman" w:hAnsi="Times New Roman"/>
          <w:b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br w:type="page"/>
      </w:r>
      <w:bookmarkStart w:id="8" w:name="_Toc236713845"/>
      <w:bookmarkStart w:id="9" w:name="_Toc236714507"/>
      <w:bookmarkStart w:id="10" w:name="_Toc258482851"/>
      <w:r w:rsidRPr="004F4601">
        <w:rPr>
          <w:rFonts w:ascii="Times New Roman" w:hAnsi="Times New Roman"/>
          <w:b/>
          <w:szCs w:val="22"/>
          <w:lang w:val="hu-HU"/>
        </w:rPr>
        <w:lastRenderedPageBreak/>
        <w:t>Tartalom</w:t>
      </w:r>
      <w:bookmarkEnd w:id="8"/>
      <w:bookmarkEnd w:id="9"/>
      <w:bookmarkEnd w:id="10"/>
    </w:p>
    <w:p w:rsidR="00DC40FA" w:rsidRPr="004F4601" w:rsidRDefault="00DC40FA" w:rsidP="00DC40FA">
      <w:pPr>
        <w:pStyle w:val="TOC1"/>
        <w:tabs>
          <w:tab w:val="left" w:pos="440"/>
          <w:tab w:val="right" w:leader="dot" w:pos="9619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hu-HU" w:eastAsia="en-US"/>
        </w:rPr>
      </w:pPr>
      <w:r w:rsidRPr="004F4601">
        <w:rPr>
          <w:rFonts w:ascii="Times New Roman" w:hAnsi="Times New Roman" w:cs="Times New Roman"/>
          <w:sz w:val="22"/>
          <w:szCs w:val="22"/>
          <w:lang w:val="hu-HU"/>
        </w:rPr>
        <w:fldChar w:fldCharType="begin"/>
      </w:r>
      <w:r w:rsidRPr="004F4601">
        <w:rPr>
          <w:rFonts w:ascii="Times New Roman" w:hAnsi="Times New Roman" w:cs="Times New Roman"/>
          <w:sz w:val="22"/>
          <w:szCs w:val="22"/>
          <w:lang w:val="hu-HU"/>
        </w:rPr>
        <w:instrText xml:space="preserve"> TOC \o "1-3" \h \z \u </w:instrText>
      </w:r>
      <w:r w:rsidRPr="004F4601">
        <w:rPr>
          <w:rFonts w:ascii="Times New Roman" w:hAnsi="Times New Roman" w:cs="Times New Roman"/>
          <w:sz w:val="22"/>
          <w:szCs w:val="22"/>
          <w:lang w:val="hu-HU"/>
        </w:rPr>
        <w:fldChar w:fldCharType="separate"/>
      </w:r>
      <w:hyperlink w:anchor="_Toc406486259" w:history="1">
        <w:r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1</w:t>
        </w:r>
        <w:r w:rsidRPr="004F460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hu-HU" w:eastAsia="en-US"/>
          </w:rPr>
          <w:tab/>
        </w:r>
        <w:r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Bevezetés</w:t>
        </w:r>
        <w:r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ab/>
        </w:r>
        <w:r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begin"/>
        </w:r>
        <w:r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instrText xml:space="preserve"> PAGEREF _Toc406486259 \h </w:instrText>
        </w:r>
        <w:r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</w:r>
        <w:r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separate"/>
        </w:r>
        <w:r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>3</w:t>
        </w:r>
        <w:r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end"/>
        </w:r>
      </w:hyperlink>
    </w:p>
    <w:p w:rsidR="00DC40FA" w:rsidRPr="004F4601" w:rsidRDefault="006D67B1" w:rsidP="00DC40FA">
      <w:pPr>
        <w:pStyle w:val="TOC2"/>
        <w:tabs>
          <w:tab w:val="left" w:pos="880"/>
          <w:tab w:val="right" w:leader="dot" w:pos="9619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hu-HU" w:eastAsia="en-US"/>
        </w:rPr>
      </w:pPr>
      <w:hyperlink w:anchor="_Toc406486260" w:history="1"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1.1</w:t>
        </w:r>
        <w:r w:rsidR="00DC40FA" w:rsidRPr="004F4601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hu-HU" w:eastAsia="en-US"/>
          </w:rPr>
          <w:tab/>
        </w:r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A dokumentum hatálya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ab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begin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instrText xml:space="preserve"> PAGEREF _Toc406486260 \h </w:instrTex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separate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>3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end"/>
        </w:r>
      </w:hyperlink>
    </w:p>
    <w:p w:rsidR="00DC40FA" w:rsidRPr="004F4601" w:rsidRDefault="006D67B1" w:rsidP="00DC40FA">
      <w:pPr>
        <w:pStyle w:val="TOC3"/>
        <w:tabs>
          <w:tab w:val="left" w:pos="1100"/>
          <w:tab w:val="right" w:leader="dot" w:pos="9619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hu-HU" w:eastAsia="en-US"/>
        </w:rPr>
      </w:pPr>
      <w:hyperlink w:anchor="_Toc406486261" w:history="1"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1.1.1</w:t>
        </w:r>
        <w:r w:rsidR="00DC40FA" w:rsidRPr="004F4601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hu-HU" w:eastAsia="en-US"/>
          </w:rPr>
          <w:tab/>
        </w:r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Szervezeti hatály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ab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begin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instrText xml:space="preserve"> PAGEREF _Toc406486261 \h </w:instrTex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separate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>3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end"/>
        </w:r>
      </w:hyperlink>
    </w:p>
    <w:p w:rsidR="00DC40FA" w:rsidRPr="004F4601" w:rsidRDefault="006D67B1" w:rsidP="00DC40FA">
      <w:pPr>
        <w:pStyle w:val="TOC3"/>
        <w:tabs>
          <w:tab w:val="left" w:pos="1100"/>
          <w:tab w:val="right" w:leader="dot" w:pos="9619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hu-HU" w:eastAsia="en-US"/>
        </w:rPr>
      </w:pPr>
      <w:hyperlink w:anchor="_Toc406486262" w:history="1"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1.1.2</w:t>
        </w:r>
        <w:r w:rsidR="00DC40FA" w:rsidRPr="004F4601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hu-HU" w:eastAsia="en-US"/>
          </w:rPr>
          <w:tab/>
        </w:r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Személyi hatály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ab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begin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instrText xml:space="preserve"> PAGEREF _Toc406486262 \h </w:instrTex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separate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>3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end"/>
        </w:r>
      </w:hyperlink>
    </w:p>
    <w:p w:rsidR="00DC40FA" w:rsidRPr="004F4601" w:rsidRDefault="006D67B1" w:rsidP="00DC40FA">
      <w:pPr>
        <w:pStyle w:val="TOC3"/>
        <w:tabs>
          <w:tab w:val="left" w:pos="1100"/>
          <w:tab w:val="right" w:leader="dot" w:pos="9619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hu-HU" w:eastAsia="en-US"/>
        </w:rPr>
      </w:pPr>
      <w:hyperlink w:anchor="_Toc406486263" w:history="1"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1.1.3</w:t>
        </w:r>
        <w:r w:rsidR="00DC40FA" w:rsidRPr="004F4601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hu-HU" w:eastAsia="en-US"/>
          </w:rPr>
          <w:tab/>
        </w:r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Tárgyi hatály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ab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begin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instrText xml:space="preserve"> PAGEREF _Toc406486263 \h </w:instrTex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separate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>3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end"/>
        </w:r>
      </w:hyperlink>
    </w:p>
    <w:p w:rsidR="00DC40FA" w:rsidRPr="004F4601" w:rsidRDefault="006D67B1" w:rsidP="00DC40FA">
      <w:pPr>
        <w:pStyle w:val="TOC2"/>
        <w:tabs>
          <w:tab w:val="left" w:pos="880"/>
          <w:tab w:val="right" w:leader="dot" w:pos="9619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hu-HU" w:eastAsia="en-US"/>
        </w:rPr>
      </w:pPr>
      <w:hyperlink w:anchor="_Toc406486264" w:history="1"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1.2</w:t>
        </w:r>
        <w:r w:rsidR="00DC40FA" w:rsidRPr="004F4601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hu-HU" w:eastAsia="en-US"/>
          </w:rPr>
          <w:tab/>
        </w:r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Kötelező felülvizsgálat rendje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ab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begin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instrText xml:space="preserve"> PAGEREF _Toc406486264 \h </w:instrTex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separate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>3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end"/>
        </w:r>
      </w:hyperlink>
    </w:p>
    <w:p w:rsidR="00DC40FA" w:rsidRPr="004F4601" w:rsidRDefault="006D67B1" w:rsidP="00DC40FA">
      <w:pPr>
        <w:pStyle w:val="TOC2"/>
        <w:tabs>
          <w:tab w:val="left" w:pos="880"/>
          <w:tab w:val="right" w:leader="dot" w:pos="9619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hu-HU" w:eastAsia="en-US"/>
        </w:rPr>
      </w:pPr>
      <w:hyperlink w:anchor="_Toc406486265" w:history="1"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1.3</w:t>
        </w:r>
        <w:r w:rsidR="00DC40FA" w:rsidRPr="004F4601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hu-HU" w:eastAsia="en-US"/>
          </w:rPr>
          <w:tab/>
        </w:r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Kapcsolódó dokumentumok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ab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begin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instrText xml:space="preserve"> PAGEREF _Toc406486265 \h </w:instrTex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separate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>4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end"/>
        </w:r>
      </w:hyperlink>
    </w:p>
    <w:p w:rsidR="00DC40FA" w:rsidRPr="004F4601" w:rsidRDefault="006D67B1" w:rsidP="00DC40FA">
      <w:pPr>
        <w:pStyle w:val="TOC1"/>
        <w:tabs>
          <w:tab w:val="left" w:pos="440"/>
          <w:tab w:val="right" w:leader="dot" w:pos="9619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hu-HU" w:eastAsia="en-US"/>
        </w:rPr>
      </w:pPr>
      <w:hyperlink w:anchor="_Toc406486266" w:history="1"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2</w:t>
        </w:r>
        <w:r w:rsidR="00DC40FA" w:rsidRPr="004F460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hu-HU" w:eastAsia="en-US"/>
          </w:rPr>
          <w:tab/>
        </w:r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Az informatikai biztonsági politika célja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ab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begin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instrText xml:space="preserve"> PAGEREF _Toc406486266 \h </w:instrTex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separate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>5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end"/>
        </w:r>
      </w:hyperlink>
    </w:p>
    <w:p w:rsidR="00DC40FA" w:rsidRPr="004F4601" w:rsidRDefault="006D67B1" w:rsidP="00DC40FA">
      <w:pPr>
        <w:pStyle w:val="TOC1"/>
        <w:tabs>
          <w:tab w:val="left" w:pos="440"/>
          <w:tab w:val="right" w:leader="dot" w:pos="9619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hu-HU" w:eastAsia="en-US"/>
        </w:rPr>
      </w:pPr>
      <w:hyperlink w:anchor="_Toc406486267" w:history="1"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3</w:t>
        </w:r>
        <w:r w:rsidR="00DC40FA" w:rsidRPr="004F460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hu-HU" w:eastAsia="en-US"/>
          </w:rPr>
          <w:tab/>
        </w:r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Alapelvek és védelmi célkitűzések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ab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begin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instrText xml:space="preserve"> PAGEREF _Toc406486267 \h </w:instrTex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separate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>5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end"/>
        </w:r>
      </w:hyperlink>
    </w:p>
    <w:p w:rsidR="00DC40FA" w:rsidRPr="004F4601" w:rsidRDefault="006D67B1" w:rsidP="00DC40FA">
      <w:pPr>
        <w:pStyle w:val="TOC1"/>
        <w:tabs>
          <w:tab w:val="left" w:pos="440"/>
          <w:tab w:val="right" w:leader="dot" w:pos="9619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hu-HU" w:eastAsia="en-US"/>
        </w:rPr>
      </w:pPr>
      <w:hyperlink w:anchor="_Toc406486268" w:history="1"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4</w:t>
        </w:r>
        <w:r w:rsidR="00DC40FA" w:rsidRPr="004F460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hu-HU" w:eastAsia="en-US"/>
          </w:rPr>
          <w:tab/>
        </w:r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Kapcsolódó elemek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ab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begin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instrText xml:space="preserve"> PAGEREF _Toc406486268 \h </w:instrTex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separate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>5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end"/>
        </w:r>
      </w:hyperlink>
    </w:p>
    <w:p w:rsidR="00DC40FA" w:rsidRPr="004F4601" w:rsidRDefault="006D67B1" w:rsidP="00DC40FA">
      <w:pPr>
        <w:pStyle w:val="TOC1"/>
        <w:tabs>
          <w:tab w:val="left" w:pos="440"/>
          <w:tab w:val="right" w:leader="dot" w:pos="9619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hu-HU" w:eastAsia="en-US"/>
        </w:rPr>
      </w:pPr>
      <w:hyperlink w:anchor="_Toc406486269" w:history="1"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5</w:t>
        </w:r>
        <w:r w:rsidR="00DC40FA" w:rsidRPr="004F460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hu-HU" w:eastAsia="en-US"/>
          </w:rPr>
          <w:tab/>
        </w:r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Kapcsolódó felelősségek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ab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begin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instrText xml:space="preserve"> PAGEREF _Toc406486269 \h </w:instrTex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separate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>7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end"/>
        </w:r>
      </w:hyperlink>
    </w:p>
    <w:p w:rsidR="00DC40FA" w:rsidRPr="004F4601" w:rsidRDefault="006D67B1" w:rsidP="00DC40FA">
      <w:pPr>
        <w:pStyle w:val="TOC1"/>
        <w:tabs>
          <w:tab w:val="left" w:pos="440"/>
          <w:tab w:val="right" w:leader="dot" w:pos="9619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hu-HU" w:eastAsia="en-US"/>
        </w:rPr>
      </w:pPr>
      <w:hyperlink w:anchor="_Toc406486270" w:history="1"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6</w:t>
        </w:r>
        <w:r w:rsidR="00DC40FA" w:rsidRPr="004F460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hu-HU" w:eastAsia="en-US"/>
          </w:rPr>
          <w:tab/>
        </w:r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Hivatkozások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ab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begin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instrText xml:space="preserve"> PAGEREF _Toc406486270 \h </w:instrTex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separate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>7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end"/>
        </w:r>
      </w:hyperlink>
    </w:p>
    <w:p w:rsidR="00DC40FA" w:rsidRPr="004F4601" w:rsidRDefault="006D67B1" w:rsidP="00DC40FA">
      <w:pPr>
        <w:pStyle w:val="TOC1"/>
        <w:tabs>
          <w:tab w:val="left" w:pos="440"/>
          <w:tab w:val="right" w:leader="dot" w:pos="9619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hu-HU" w:eastAsia="en-US"/>
        </w:rPr>
      </w:pPr>
      <w:hyperlink w:anchor="_Toc406486271" w:history="1"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7</w:t>
        </w:r>
        <w:r w:rsidR="00DC40FA" w:rsidRPr="004F460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hu-HU" w:eastAsia="en-US"/>
          </w:rPr>
          <w:tab/>
        </w:r>
        <w:r w:rsidR="00DC40FA" w:rsidRPr="004F4601">
          <w:rPr>
            <w:rStyle w:val="Hyperlink"/>
            <w:rFonts w:ascii="Times New Roman" w:hAnsi="Times New Roman" w:cs="Times New Roman"/>
            <w:noProof/>
            <w:sz w:val="22"/>
            <w:szCs w:val="22"/>
            <w:lang w:val="hu-HU"/>
          </w:rPr>
          <w:t>Dokumentum történet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ab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begin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instrText xml:space="preserve"> PAGEREF _Toc406486271 \h </w:instrTex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separate"/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t>7</w:t>
        </w:r>
        <w:r w:rsidR="00DC40FA" w:rsidRPr="004F4601">
          <w:rPr>
            <w:rFonts w:ascii="Times New Roman" w:hAnsi="Times New Roman" w:cs="Times New Roman"/>
            <w:noProof/>
            <w:webHidden/>
            <w:sz w:val="22"/>
            <w:szCs w:val="22"/>
            <w:lang w:val="hu-HU"/>
          </w:rPr>
          <w:fldChar w:fldCharType="end"/>
        </w:r>
      </w:hyperlink>
    </w:p>
    <w:p w:rsidR="00DC40FA" w:rsidRPr="004F4601" w:rsidRDefault="00DC40FA" w:rsidP="00DC40FA">
      <w:pPr>
        <w:spacing w:before="0"/>
        <w:ind w:left="0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fldChar w:fldCharType="end"/>
      </w:r>
    </w:p>
    <w:p w:rsidR="00DC40FA" w:rsidRPr="004F4601" w:rsidRDefault="00DC40FA" w:rsidP="00DC40FA">
      <w:pPr>
        <w:spacing w:before="0"/>
        <w:ind w:left="0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br w:type="page"/>
      </w:r>
    </w:p>
    <w:p w:rsidR="00DC40FA" w:rsidRPr="004F4601" w:rsidRDefault="00DC40FA" w:rsidP="00DC40FA">
      <w:pPr>
        <w:pStyle w:val="Heading1"/>
        <w:rPr>
          <w:rFonts w:ascii="Times New Roman" w:hAnsi="Times New Roman"/>
          <w:sz w:val="22"/>
          <w:szCs w:val="22"/>
        </w:rPr>
      </w:pPr>
      <w:bookmarkStart w:id="11" w:name="_Toc406486259"/>
      <w:bookmarkEnd w:id="1"/>
      <w:bookmarkEnd w:id="2"/>
      <w:bookmarkEnd w:id="3"/>
      <w:bookmarkEnd w:id="4"/>
      <w:bookmarkEnd w:id="5"/>
      <w:bookmarkEnd w:id="6"/>
      <w:bookmarkEnd w:id="7"/>
      <w:r w:rsidRPr="004F4601">
        <w:rPr>
          <w:rFonts w:ascii="Times New Roman" w:hAnsi="Times New Roman"/>
          <w:sz w:val="22"/>
          <w:szCs w:val="22"/>
        </w:rPr>
        <w:lastRenderedPageBreak/>
        <w:t>Bevezetés</w:t>
      </w:r>
      <w:bookmarkEnd w:id="11"/>
    </w:p>
    <w:p w:rsidR="00DC40FA" w:rsidRPr="00A23819" w:rsidRDefault="00DC40FA" w:rsidP="00DC40FA">
      <w:pPr>
        <w:pStyle w:val="BodyTextIndent"/>
        <w:jc w:val="both"/>
        <w:rPr>
          <w:rFonts w:ascii="Times New Roman" w:hAnsi="Times New Roman"/>
          <w:szCs w:val="22"/>
          <w:lang w:val="hu-HU"/>
        </w:rPr>
      </w:pPr>
      <w:r w:rsidRPr="00A23819">
        <w:rPr>
          <w:rFonts w:ascii="Times New Roman" w:hAnsi="Times New Roman"/>
          <w:szCs w:val="22"/>
          <w:lang w:val="hu-HU"/>
        </w:rPr>
        <w:t>Jelen dokumentum</w:t>
      </w:r>
      <w:r w:rsidR="00B32CD3">
        <w:rPr>
          <w:rFonts w:ascii="Times New Roman" w:hAnsi="Times New Roman"/>
          <w:szCs w:val="22"/>
          <w:lang w:val="hu-HU"/>
        </w:rPr>
        <w:t xml:space="preserve"> a</w:t>
      </w:r>
      <w:r w:rsidRPr="00A23819">
        <w:rPr>
          <w:rFonts w:ascii="Times New Roman" w:hAnsi="Times New Roman"/>
          <w:szCs w:val="22"/>
          <w:lang w:val="hu-HU"/>
        </w:rPr>
        <w:t xml:space="preserve"> </w:t>
      </w:r>
      <w:r w:rsidR="00B32CD3" w:rsidRPr="00B71012">
        <w:rPr>
          <w:rFonts w:ascii="Times New Roman" w:hAnsi="Times New Roman"/>
          <w:b/>
          <w:bCs/>
          <w:szCs w:val="22"/>
          <w:lang w:val="hu-HU"/>
        </w:rPr>
        <w:t>Firstmed-FMC Egészségügyi Szolgáltató Korlátolt Felelősségű Társaság</w:t>
      </w:r>
      <w:r w:rsidR="00B32CD3" w:rsidRPr="00B71012">
        <w:rPr>
          <w:rFonts w:ascii="Times New Roman" w:hAnsi="Times New Roman"/>
          <w:szCs w:val="22"/>
          <w:lang w:val="hu-HU"/>
        </w:rPr>
        <w:t xml:space="preserve"> (székhelye: 1015 Budapest, Hattyú utca 14., cégjegyzékszáma: 01-09-958986</w:t>
      </w:r>
      <w:r w:rsidR="00287085" w:rsidRPr="00A23819">
        <w:rPr>
          <w:rFonts w:ascii="Times New Roman" w:hAnsi="Times New Roman"/>
          <w:szCs w:val="22"/>
          <w:lang w:val="hu-HU"/>
        </w:rPr>
        <w:t xml:space="preserve">, </w:t>
      </w:r>
      <w:r w:rsidR="00E211BA" w:rsidRPr="00A23819">
        <w:rPr>
          <w:rFonts w:ascii="Times New Roman" w:hAnsi="Times New Roman"/>
          <w:szCs w:val="22"/>
          <w:lang w:val="hu-HU"/>
        </w:rPr>
        <w:t xml:space="preserve">a továbbiakban TÁRSASÁG, vagy Társaság) </w:t>
      </w:r>
      <w:r w:rsidRPr="00A23819">
        <w:rPr>
          <w:rFonts w:ascii="Times New Roman" w:hAnsi="Times New Roman"/>
          <w:szCs w:val="22"/>
          <w:lang w:val="hu-HU"/>
        </w:rPr>
        <w:t>informatikai biztonsági politikája.</w:t>
      </w:r>
    </w:p>
    <w:p w:rsidR="00DC40FA" w:rsidRPr="004F4601" w:rsidRDefault="00DC40FA" w:rsidP="00DC40FA">
      <w:pPr>
        <w:pStyle w:val="Heading2"/>
        <w:rPr>
          <w:rFonts w:ascii="Times New Roman" w:hAnsi="Times New Roman"/>
          <w:sz w:val="22"/>
          <w:szCs w:val="22"/>
        </w:rPr>
      </w:pPr>
      <w:bookmarkStart w:id="12" w:name="_Toc406486260"/>
      <w:r w:rsidRPr="004F4601">
        <w:rPr>
          <w:rFonts w:ascii="Times New Roman" w:hAnsi="Times New Roman"/>
          <w:sz w:val="22"/>
          <w:szCs w:val="22"/>
        </w:rPr>
        <w:t>A dokumentum hatálya</w:t>
      </w:r>
      <w:bookmarkEnd w:id="12"/>
    </w:p>
    <w:p w:rsidR="00DC40FA" w:rsidRPr="004F4601" w:rsidRDefault="00DC40FA" w:rsidP="00DC40FA">
      <w:pPr>
        <w:pStyle w:val="Heading3"/>
        <w:rPr>
          <w:rFonts w:ascii="Times New Roman" w:hAnsi="Times New Roman"/>
          <w:szCs w:val="22"/>
          <w:lang w:val="hu-HU"/>
        </w:rPr>
      </w:pPr>
      <w:bookmarkStart w:id="13" w:name="_Toc406486261"/>
      <w:r w:rsidRPr="004F4601">
        <w:rPr>
          <w:rFonts w:ascii="Times New Roman" w:hAnsi="Times New Roman"/>
          <w:szCs w:val="22"/>
          <w:lang w:val="hu-HU"/>
        </w:rPr>
        <w:t>Szervezeti hatály</w:t>
      </w:r>
      <w:bookmarkEnd w:id="13"/>
    </w:p>
    <w:p w:rsidR="00DC40FA" w:rsidRPr="004F4601" w:rsidRDefault="00DC40FA" w:rsidP="00DC40FA">
      <w:pPr>
        <w:pStyle w:val="BodyTextIndent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Az IBP hatálya kiterjed a </w:t>
      </w:r>
      <w:r w:rsidR="00E211BA">
        <w:rPr>
          <w:rFonts w:ascii="Times New Roman" w:hAnsi="Times New Roman"/>
          <w:szCs w:val="22"/>
          <w:lang w:val="hu-HU"/>
        </w:rPr>
        <w:t>TÁRSASÁG</w:t>
      </w:r>
      <w:r w:rsidR="009011A5">
        <w:rPr>
          <w:rFonts w:ascii="Times New Roman" w:hAnsi="Times New Roman"/>
          <w:szCs w:val="22"/>
          <w:lang w:val="hu-HU"/>
        </w:rPr>
        <w:t xml:space="preserve"> </w:t>
      </w:r>
      <w:r w:rsidRPr="004F4601">
        <w:rPr>
          <w:rFonts w:ascii="Times New Roman" w:hAnsi="Times New Roman"/>
          <w:szCs w:val="22"/>
          <w:lang w:val="hu-HU"/>
        </w:rPr>
        <w:t xml:space="preserve">valamennyi szervezeti egységére, továbbá a </w:t>
      </w:r>
      <w:r w:rsidR="00E211BA">
        <w:rPr>
          <w:rFonts w:ascii="Times New Roman" w:hAnsi="Times New Roman"/>
          <w:szCs w:val="22"/>
          <w:lang w:val="hu-HU"/>
        </w:rPr>
        <w:t>TÁRSASÁGGAL</w:t>
      </w:r>
      <w:r w:rsidRPr="004F4601">
        <w:rPr>
          <w:rFonts w:ascii="Times New Roman" w:hAnsi="Times New Roman"/>
          <w:szCs w:val="22"/>
          <w:lang w:val="hu-HU"/>
        </w:rPr>
        <w:t xml:space="preserve"> szerződéses jogviszonyban álló valamennyi magánszemélyre, szervezetre, amelynek munkavállalói, vagy alvállalkozói az </w:t>
      </w:r>
      <w:r w:rsidR="00E211BA">
        <w:rPr>
          <w:rFonts w:ascii="Times New Roman" w:hAnsi="Times New Roman"/>
          <w:szCs w:val="22"/>
          <w:lang w:val="hu-HU"/>
        </w:rPr>
        <w:t>TÁRSASÁG</w:t>
      </w:r>
      <w:r w:rsidR="009011A5">
        <w:rPr>
          <w:rFonts w:ascii="Times New Roman" w:hAnsi="Times New Roman"/>
          <w:szCs w:val="22"/>
          <w:lang w:val="hu-HU"/>
        </w:rPr>
        <w:t xml:space="preserve"> </w:t>
      </w:r>
      <w:r w:rsidRPr="004F4601">
        <w:rPr>
          <w:rFonts w:ascii="Times New Roman" w:hAnsi="Times New Roman"/>
          <w:szCs w:val="22"/>
          <w:lang w:val="hu-HU"/>
        </w:rPr>
        <w:t xml:space="preserve">által használt rendszerekhez, illetve az azokon tárolt adatokhoz hozzáféréssel rendelkeznek. A </w:t>
      </w:r>
      <w:r w:rsidR="00E211BA">
        <w:rPr>
          <w:rFonts w:ascii="Times New Roman" w:hAnsi="Times New Roman"/>
          <w:szCs w:val="22"/>
          <w:lang w:val="hu-HU"/>
        </w:rPr>
        <w:t>TÁRSASÁG</w:t>
      </w:r>
      <w:r w:rsidR="009011A5">
        <w:rPr>
          <w:rFonts w:ascii="Times New Roman" w:hAnsi="Times New Roman"/>
          <w:szCs w:val="22"/>
          <w:lang w:val="hu-HU"/>
        </w:rPr>
        <w:t xml:space="preserve"> </w:t>
      </w:r>
      <w:r w:rsidRPr="004F4601">
        <w:rPr>
          <w:rFonts w:ascii="Times New Roman" w:hAnsi="Times New Roman"/>
          <w:szCs w:val="22"/>
          <w:lang w:val="hu-HU"/>
        </w:rPr>
        <w:t>kötelessége, hogy az érintetteknek legyen módjuk a rájuk vonatkozó elvárások és kötelezettségek megismerésére.</w:t>
      </w:r>
    </w:p>
    <w:p w:rsidR="00DC40FA" w:rsidRPr="004F4601" w:rsidRDefault="00DC40FA" w:rsidP="00DC40FA">
      <w:pPr>
        <w:pStyle w:val="BodyTextIndent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Az IBP-ben és a kapcsolódó szabályzatokban foglaltak érvényre juttatása érdekében a szabályozás előírásainak betartását minden olyan külső partnerrel kötött szerződésben és megállapodásban kötelezően elő kell írni, amelynek keretében a külső partner (beleértve annak munkavállalóit, alvállalkozóit, illetve az általa meghívott személyeket) a szabályozás hatálya alá eső helyen munkát végez, szállít vagy a </w:t>
      </w:r>
      <w:r w:rsidR="00E211BA">
        <w:rPr>
          <w:rFonts w:ascii="Times New Roman" w:hAnsi="Times New Roman"/>
          <w:szCs w:val="22"/>
          <w:lang w:val="hu-HU"/>
        </w:rPr>
        <w:t>TÁRSASÁG</w:t>
      </w:r>
      <w:r w:rsidR="009011A5">
        <w:rPr>
          <w:rFonts w:ascii="Times New Roman" w:hAnsi="Times New Roman"/>
          <w:szCs w:val="22"/>
          <w:lang w:val="hu-HU"/>
        </w:rPr>
        <w:t xml:space="preserve"> </w:t>
      </w:r>
      <w:r w:rsidRPr="004F4601">
        <w:rPr>
          <w:rFonts w:ascii="Times New Roman" w:hAnsi="Times New Roman"/>
          <w:szCs w:val="22"/>
          <w:lang w:val="hu-HU"/>
        </w:rPr>
        <w:t>adataival, adatállományaival, rendszereivel, hálózatával, illetve hálózati eszközeivel bármiféle közvetlen, vagy közvetett kapcsolatban áll. Ezért a szerződés előkészítő szervezeti egység felelős.</w:t>
      </w:r>
    </w:p>
    <w:p w:rsidR="00DC40FA" w:rsidRPr="004F4601" w:rsidRDefault="00DC40FA" w:rsidP="00DC40FA">
      <w:pPr>
        <w:pStyle w:val="Heading3"/>
        <w:rPr>
          <w:rFonts w:ascii="Times New Roman" w:hAnsi="Times New Roman"/>
          <w:szCs w:val="22"/>
          <w:lang w:val="hu-HU"/>
        </w:rPr>
      </w:pPr>
      <w:bookmarkStart w:id="14" w:name="_Toc406486262"/>
      <w:r w:rsidRPr="004F4601">
        <w:rPr>
          <w:rFonts w:ascii="Times New Roman" w:hAnsi="Times New Roman"/>
          <w:szCs w:val="22"/>
          <w:lang w:val="hu-HU"/>
        </w:rPr>
        <w:t>Személyi hatály</w:t>
      </w:r>
      <w:bookmarkEnd w:id="14"/>
    </w:p>
    <w:p w:rsidR="00DC40FA" w:rsidRPr="004F4601" w:rsidRDefault="00DC40FA" w:rsidP="00DC40FA">
      <w:pPr>
        <w:pStyle w:val="BodyTextIndent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>Az elfogadott IBP vonatkozik: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spacing w:before="40"/>
        <w:ind w:left="1764" w:hanging="573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a </w:t>
      </w:r>
      <w:r w:rsidR="00E211BA">
        <w:rPr>
          <w:rFonts w:ascii="Times New Roman" w:hAnsi="Times New Roman"/>
          <w:szCs w:val="22"/>
          <w:lang w:val="hu-HU"/>
        </w:rPr>
        <w:t>TÁRSASÁG</w:t>
      </w:r>
      <w:r w:rsidR="009011A5">
        <w:rPr>
          <w:rFonts w:ascii="Times New Roman" w:hAnsi="Times New Roman"/>
          <w:szCs w:val="22"/>
          <w:lang w:val="hu-HU"/>
        </w:rPr>
        <w:t xml:space="preserve"> </w:t>
      </w:r>
      <w:r w:rsidRPr="004F4601">
        <w:rPr>
          <w:rFonts w:ascii="Times New Roman" w:hAnsi="Times New Roman"/>
          <w:szCs w:val="22"/>
          <w:lang w:val="hu-HU"/>
        </w:rPr>
        <w:t xml:space="preserve">valamennyi munkatársára, 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spacing w:before="40"/>
        <w:ind w:left="1764" w:hanging="573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a </w:t>
      </w:r>
      <w:r w:rsidR="00E211BA">
        <w:rPr>
          <w:rFonts w:ascii="Times New Roman" w:hAnsi="Times New Roman"/>
          <w:szCs w:val="22"/>
          <w:lang w:val="hu-HU"/>
        </w:rPr>
        <w:t>TÁRSASÁGGAL</w:t>
      </w:r>
      <w:r w:rsidRPr="004F4601">
        <w:rPr>
          <w:rFonts w:ascii="Times New Roman" w:hAnsi="Times New Roman"/>
          <w:szCs w:val="22"/>
          <w:lang w:val="hu-HU"/>
        </w:rPr>
        <w:t xml:space="preserve"> szerződéses, vagy más módon kapcsolatba kerülő természetes vagy jogi személyekre, gazdasági </w:t>
      </w:r>
      <w:r w:rsidR="00E211BA">
        <w:rPr>
          <w:rFonts w:ascii="Times New Roman" w:hAnsi="Times New Roman"/>
          <w:szCs w:val="22"/>
          <w:lang w:val="hu-HU"/>
        </w:rPr>
        <w:t>társaság</w:t>
      </w:r>
      <w:r w:rsidRPr="004F4601">
        <w:rPr>
          <w:rFonts w:ascii="Times New Roman" w:hAnsi="Times New Roman"/>
          <w:szCs w:val="22"/>
          <w:lang w:val="hu-HU"/>
        </w:rPr>
        <w:t>okra a velük kötött megállapodás, vagy titoktartási nyilatkozatok alapján.</w:t>
      </w:r>
    </w:p>
    <w:p w:rsidR="00DC40FA" w:rsidRPr="004F4601" w:rsidRDefault="00DC40FA" w:rsidP="00DC40FA">
      <w:pPr>
        <w:pStyle w:val="BodyTextIndent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A kapcsolódó szabályozások szellemének értelmében elsődlegesen a </w:t>
      </w:r>
      <w:r w:rsidR="00E211BA">
        <w:rPr>
          <w:rFonts w:ascii="Times New Roman" w:hAnsi="Times New Roman"/>
          <w:szCs w:val="22"/>
          <w:lang w:val="hu-HU"/>
        </w:rPr>
        <w:t>TÁRSASÁG</w:t>
      </w:r>
      <w:r w:rsidR="009011A5">
        <w:rPr>
          <w:rFonts w:ascii="Times New Roman" w:hAnsi="Times New Roman"/>
          <w:szCs w:val="22"/>
          <w:lang w:val="hu-HU"/>
        </w:rPr>
        <w:t xml:space="preserve"> </w:t>
      </w:r>
      <w:r w:rsidRPr="004F4601">
        <w:rPr>
          <w:rFonts w:ascii="Times New Roman" w:hAnsi="Times New Roman"/>
          <w:szCs w:val="22"/>
          <w:lang w:val="hu-HU"/>
        </w:rPr>
        <w:t>feladata az irányítása alá tartozó szervezeti egységek esetében a szabályzatok betartásának ellenőrzése, szükség esetén szankciók alkalmazása.</w:t>
      </w:r>
    </w:p>
    <w:p w:rsidR="00DC40FA" w:rsidRPr="004F4601" w:rsidRDefault="00DC40FA" w:rsidP="00DC40FA">
      <w:pPr>
        <w:pStyle w:val="Heading3"/>
        <w:rPr>
          <w:rFonts w:ascii="Times New Roman" w:hAnsi="Times New Roman"/>
          <w:szCs w:val="22"/>
          <w:lang w:val="hu-HU"/>
        </w:rPr>
      </w:pPr>
      <w:bookmarkStart w:id="15" w:name="_Toc406486263"/>
      <w:r w:rsidRPr="004F4601">
        <w:rPr>
          <w:rFonts w:ascii="Times New Roman" w:hAnsi="Times New Roman"/>
          <w:szCs w:val="22"/>
          <w:lang w:val="hu-HU"/>
        </w:rPr>
        <w:t>Tárgyi hatály</w:t>
      </w:r>
      <w:bookmarkEnd w:id="15"/>
    </w:p>
    <w:p w:rsidR="00DC40FA" w:rsidRPr="004F4601" w:rsidRDefault="00DC40FA" w:rsidP="00DC40FA">
      <w:pPr>
        <w:pStyle w:val="BodyTextIndent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Az IBP tárgyi hatálya kiterjed a </w:t>
      </w:r>
      <w:r w:rsidR="00E211BA">
        <w:rPr>
          <w:rFonts w:ascii="Times New Roman" w:hAnsi="Times New Roman"/>
          <w:szCs w:val="22"/>
          <w:lang w:val="hu-HU"/>
        </w:rPr>
        <w:t>TÁRSASÁG</w:t>
      </w:r>
      <w:r w:rsidR="009011A5">
        <w:rPr>
          <w:rFonts w:ascii="Times New Roman" w:hAnsi="Times New Roman"/>
          <w:szCs w:val="22"/>
          <w:lang w:val="hu-HU"/>
        </w:rPr>
        <w:t xml:space="preserve"> </w:t>
      </w:r>
      <w:r w:rsidRPr="004F4601">
        <w:rPr>
          <w:rFonts w:ascii="Times New Roman" w:hAnsi="Times New Roman"/>
          <w:szCs w:val="22"/>
          <w:lang w:val="hu-HU"/>
        </w:rPr>
        <w:t xml:space="preserve">által használt valamennyi informatikai rendszerre, amely felhasználja, feldolgozza, illetve felügyeli, ellenőrzi a </w:t>
      </w:r>
      <w:r w:rsidR="00E211BA">
        <w:rPr>
          <w:rFonts w:ascii="Times New Roman" w:hAnsi="Times New Roman"/>
          <w:szCs w:val="22"/>
          <w:lang w:val="hu-HU"/>
        </w:rPr>
        <w:t>TÁRSASÁGNÁL</w:t>
      </w:r>
      <w:r w:rsidRPr="004F4601">
        <w:rPr>
          <w:rFonts w:ascii="Times New Roman" w:hAnsi="Times New Roman"/>
          <w:szCs w:val="22"/>
          <w:lang w:val="hu-HU"/>
        </w:rPr>
        <w:t xml:space="preserve"> keletkező, illetve felhasznált adatokat, információkat. </w:t>
      </w:r>
    </w:p>
    <w:p w:rsidR="00DC40FA" w:rsidRPr="004F4601" w:rsidRDefault="00DC40FA" w:rsidP="00DC40FA">
      <w:pPr>
        <w:pStyle w:val="Heading2"/>
        <w:rPr>
          <w:rFonts w:ascii="Times New Roman" w:hAnsi="Times New Roman"/>
          <w:sz w:val="22"/>
          <w:szCs w:val="22"/>
        </w:rPr>
      </w:pPr>
      <w:bookmarkStart w:id="16" w:name="_Toc406486264"/>
      <w:r w:rsidRPr="004F4601">
        <w:rPr>
          <w:rFonts w:ascii="Times New Roman" w:hAnsi="Times New Roman"/>
          <w:sz w:val="22"/>
          <w:szCs w:val="22"/>
        </w:rPr>
        <w:t>Kötelező felülvizsgálat rendje</w:t>
      </w:r>
      <w:bookmarkEnd w:id="16"/>
    </w:p>
    <w:p w:rsidR="00DC40FA" w:rsidRPr="004F4601" w:rsidRDefault="00DC40FA" w:rsidP="00DC40FA">
      <w:pPr>
        <w:pStyle w:val="BodyTextIndent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>Az IBP annak elfogadásától a következő változat elfogadásáig marad érvényben.</w:t>
      </w:r>
    </w:p>
    <w:p w:rsidR="00DC40FA" w:rsidRPr="004F4601" w:rsidRDefault="00DC40FA" w:rsidP="00DC40FA">
      <w:pPr>
        <w:pStyle w:val="BodyTextIndent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Az IBP-ban előálló bármilyen változás verziószám változással jár, melyet a </w:t>
      </w:r>
      <w:r w:rsidRPr="004F4601">
        <w:rPr>
          <w:rFonts w:ascii="Times New Roman" w:hAnsi="Times New Roman"/>
          <w:i/>
          <w:szCs w:val="22"/>
          <w:lang w:val="hu-HU"/>
        </w:rPr>
        <w:t>Dokumentum történet</w:t>
      </w:r>
      <w:r w:rsidRPr="004F4601">
        <w:rPr>
          <w:rFonts w:ascii="Times New Roman" w:hAnsi="Times New Roman"/>
          <w:szCs w:val="22"/>
          <w:lang w:val="hu-HU"/>
        </w:rPr>
        <w:t xml:space="preserve"> fejezetben fel kell vezetni, feltüntetve a verziószámot a kibocsátás napját és a változások rövid összefoglalását. </w:t>
      </w:r>
    </w:p>
    <w:p w:rsidR="00DC40FA" w:rsidRPr="004F4601" w:rsidRDefault="00DC40FA" w:rsidP="00DC40FA">
      <w:pPr>
        <w:pStyle w:val="BodyTextIndent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>Az IBP felülvizsgálatára az alábbiak szerint kerül sor: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spacing w:before="40"/>
        <w:ind w:left="1764" w:hanging="573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>3 évente egy alkalommal, a belső felülvizsgálatok során,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spacing w:before="40"/>
        <w:ind w:left="1764" w:hanging="573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>minden olyan esetben, amikor a leírtakhoz képest jelentős változás történik.</w:t>
      </w:r>
    </w:p>
    <w:p w:rsidR="00DC40FA" w:rsidRPr="004F4601" w:rsidRDefault="00DC40FA" w:rsidP="00DC40FA">
      <w:pPr>
        <w:pStyle w:val="BodyTextIndent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>A mindenkori felülvizsgálat végrehajtása az Informatikai vezető feladatát jelenti.</w:t>
      </w:r>
    </w:p>
    <w:p w:rsidR="00DC40FA" w:rsidRPr="004F4601" w:rsidRDefault="00DC40FA" w:rsidP="00DC40FA">
      <w:pPr>
        <w:pStyle w:val="Heading2"/>
        <w:rPr>
          <w:rFonts w:ascii="Times New Roman" w:hAnsi="Times New Roman"/>
          <w:sz w:val="22"/>
          <w:szCs w:val="22"/>
        </w:rPr>
      </w:pPr>
      <w:bookmarkStart w:id="17" w:name="_Toc406486265"/>
      <w:r w:rsidRPr="004F4601">
        <w:rPr>
          <w:rFonts w:ascii="Times New Roman" w:hAnsi="Times New Roman"/>
          <w:sz w:val="22"/>
          <w:szCs w:val="22"/>
        </w:rPr>
        <w:lastRenderedPageBreak/>
        <w:t>Kapcsolódó dokumentumok</w:t>
      </w:r>
      <w:bookmarkEnd w:id="17"/>
    </w:p>
    <w:p w:rsidR="00DC40FA" w:rsidRPr="004F4601" w:rsidRDefault="00DC40FA" w:rsidP="00DC40FA">
      <w:pPr>
        <w:pStyle w:val="BodyTextIndent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>Az IBP elkészítéséhez felhasznált dokumentumok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tabs>
          <w:tab w:val="left" w:pos="5387"/>
        </w:tabs>
        <w:spacing w:before="40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>Szervezeti és Működési Szabályzat [1]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tabs>
          <w:tab w:val="left" w:pos="5387"/>
        </w:tabs>
        <w:spacing w:before="40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>2013. évi L. törvény az állami és önkormányzati szervek elektronikus információbiztonságáról [2]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tabs>
          <w:tab w:val="left" w:pos="5387"/>
        </w:tabs>
        <w:spacing w:before="40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>Magyar Informatikai Biztonsági Ajánlások (MIBA) – Közigazgatási Informatikai bizottság [3]</w:t>
      </w:r>
    </w:p>
    <w:p w:rsidR="00DC40FA" w:rsidRPr="004F4601" w:rsidRDefault="00DC40FA" w:rsidP="00DC40FA">
      <w:pPr>
        <w:pStyle w:val="BodyTextIndent"/>
        <w:tabs>
          <w:tab w:val="left" w:pos="5387"/>
        </w:tabs>
        <w:spacing w:before="40"/>
        <w:jc w:val="both"/>
        <w:rPr>
          <w:rFonts w:ascii="Times New Roman" w:hAnsi="Times New Roman"/>
          <w:szCs w:val="22"/>
          <w:lang w:val="hu-HU"/>
        </w:rPr>
      </w:pPr>
    </w:p>
    <w:p w:rsidR="00DC40FA" w:rsidRPr="004F4601" w:rsidRDefault="00DC40FA" w:rsidP="00DC40FA">
      <w:pPr>
        <w:pStyle w:val="Heading1"/>
        <w:rPr>
          <w:rFonts w:ascii="Times New Roman" w:hAnsi="Times New Roman"/>
          <w:sz w:val="22"/>
          <w:szCs w:val="22"/>
        </w:rPr>
      </w:pPr>
      <w:bookmarkStart w:id="18" w:name="_Toc406486266"/>
      <w:r w:rsidRPr="004F4601">
        <w:rPr>
          <w:rFonts w:ascii="Times New Roman" w:hAnsi="Times New Roman"/>
          <w:sz w:val="22"/>
          <w:szCs w:val="22"/>
        </w:rPr>
        <w:lastRenderedPageBreak/>
        <w:t>Az informatikai biztonsági politika célja</w:t>
      </w:r>
      <w:bookmarkEnd w:id="18"/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 xml:space="preserve">Az Informatikai Biztonsági Politika (a továbbiakban: IBP) </w:t>
      </w:r>
      <w:r w:rsidRPr="004F4601">
        <w:rPr>
          <w:szCs w:val="22"/>
        </w:rPr>
        <w:t xml:space="preserve">a </w:t>
      </w:r>
      <w:r w:rsidR="00E211BA">
        <w:rPr>
          <w:szCs w:val="22"/>
        </w:rPr>
        <w:t>TÁRSASÁG</w:t>
      </w:r>
      <w:r w:rsidRPr="004F4601">
        <w:rPr>
          <w:szCs w:val="22"/>
        </w:rPr>
        <w:t xml:space="preserve"> </w:t>
      </w:r>
      <w:r w:rsidRPr="004F4601">
        <w:rPr>
          <w:szCs w:val="22"/>
          <w:lang w:eastAsia="pl-PL"/>
        </w:rPr>
        <w:t>akaratnyilvánítása a szervezet informatikai rendszerei által kezelt információvagyon bizalmasságának, hitelességének, sértetlenségének, rendelkezésre állásának és funkcionalitásának megőrzésére és fenntartására irányuló intézkedések alkalmazására.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A dokumentum célja irányelveket adni a biztonságért felelős vezetők részére a biztonsági politikánál alacsonyabb szintű szabályozások kialakításához, a jelen és jövőbeli informatikai biztonsági döntéseik meghozatalához, illetve a biztonsági rendszer működtetői és a felhasználók számára a napi rendeltetésszerű tevékenységük gyakorlásához. A szabályzatokban meghatározott védelmi intézkedéseknek minden esetben teljesíteniük kell az alábbi elvárásokat: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spacing w:before="40"/>
        <w:ind w:left="1764" w:hanging="573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teljes körűek, azaz a rendszer összes elemére kiterjednek, 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spacing w:before="40"/>
        <w:ind w:left="1764" w:hanging="573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zártak, azaz minden fenyegetést figyelembe vesznek 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spacing w:before="40"/>
        <w:ind w:left="1764" w:hanging="573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folytonosak, azaz a változó körülmények és követelmények mellett is megszakítás nélkül megvalósulnak. </w:t>
      </w:r>
    </w:p>
    <w:p w:rsidR="00DC40FA" w:rsidRPr="004F4601" w:rsidRDefault="00DC40FA" w:rsidP="00DC40FA">
      <w:pPr>
        <w:pStyle w:val="Heading1"/>
        <w:pageBreakBefore w:val="0"/>
        <w:ind w:left="862" w:hanging="862"/>
        <w:rPr>
          <w:rFonts w:ascii="Times New Roman" w:hAnsi="Times New Roman"/>
          <w:bCs/>
          <w:sz w:val="22"/>
          <w:szCs w:val="22"/>
        </w:rPr>
      </w:pPr>
      <w:bookmarkStart w:id="19" w:name="_Toc219526298"/>
      <w:bookmarkStart w:id="20" w:name="_Toc379112290"/>
      <w:bookmarkStart w:id="21" w:name="_Toc379143207"/>
      <w:bookmarkStart w:id="22" w:name="_Toc406486267"/>
      <w:r w:rsidRPr="004F4601">
        <w:rPr>
          <w:rFonts w:ascii="Times New Roman" w:hAnsi="Times New Roman"/>
          <w:b w:val="0"/>
          <w:bCs/>
          <w:sz w:val="22"/>
          <w:szCs w:val="22"/>
        </w:rPr>
        <w:t>Alapelvek és védelmi célkitűzések</w:t>
      </w:r>
      <w:bookmarkEnd w:id="19"/>
      <w:bookmarkEnd w:id="20"/>
      <w:bookmarkEnd w:id="21"/>
      <w:bookmarkEnd w:id="22"/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 xml:space="preserve">A </w:t>
      </w:r>
      <w:r w:rsidR="00E211BA">
        <w:rPr>
          <w:szCs w:val="22"/>
        </w:rPr>
        <w:t>TÁRSASÁG</w:t>
      </w:r>
      <w:r w:rsidR="009011A5">
        <w:rPr>
          <w:szCs w:val="22"/>
        </w:rPr>
        <w:t xml:space="preserve"> </w:t>
      </w:r>
      <w:r w:rsidRPr="004F4601">
        <w:rPr>
          <w:szCs w:val="22"/>
          <w:lang w:eastAsia="pl-PL"/>
        </w:rPr>
        <w:t>az informatikai biztonság területén az alábbi alapelveket és védelmi célkitűzéseket kívánja következetesen érvényesíteni: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spacing w:before="40"/>
        <w:ind w:left="1764" w:hanging="573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Hitelesség biztosítása, annak érdekében, hogy a </w:t>
      </w:r>
      <w:r w:rsidR="00E211BA">
        <w:rPr>
          <w:rFonts w:ascii="Times New Roman" w:hAnsi="Times New Roman"/>
          <w:szCs w:val="22"/>
          <w:lang w:val="hu-HU"/>
        </w:rPr>
        <w:t>TÁRSASÁG</w:t>
      </w:r>
      <w:r w:rsidR="009011A5">
        <w:rPr>
          <w:rFonts w:ascii="Times New Roman" w:hAnsi="Times New Roman"/>
          <w:szCs w:val="22"/>
          <w:lang w:val="hu-HU"/>
        </w:rPr>
        <w:t xml:space="preserve"> </w:t>
      </w:r>
      <w:r w:rsidRPr="004F4601">
        <w:rPr>
          <w:rFonts w:ascii="Times New Roman" w:hAnsi="Times New Roman"/>
          <w:szCs w:val="22"/>
          <w:lang w:val="hu-HU"/>
        </w:rPr>
        <w:t>belső, vagy külső kapcsolataiban a partnerek kölcsönösen és kétségtelenül felismerjék egymást és ezt az állapotot a kapcsolat egész idejére változatlanul fenntartsák.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spacing w:before="40"/>
        <w:ind w:left="1764" w:hanging="573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Bizalmasság biztosítása a </w:t>
      </w:r>
      <w:r w:rsidR="00E211BA">
        <w:rPr>
          <w:rFonts w:ascii="Times New Roman" w:hAnsi="Times New Roman"/>
          <w:szCs w:val="22"/>
          <w:lang w:val="hu-HU"/>
        </w:rPr>
        <w:t>TÁRSASÁG</w:t>
      </w:r>
      <w:r w:rsidR="009011A5">
        <w:rPr>
          <w:rFonts w:ascii="Times New Roman" w:hAnsi="Times New Roman"/>
          <w:szCs w:val="22"/>
          <w:lang w:val="hu-HU"/>
        </w:rPr>
        <w:t xml:space="preserve"> </w:t>
      </w:r>
      <w:r w:rsidRPr="004F4601">
        <w:rPr>
          <w:rFonts w:ascii="Times New Roman" w:hAnsi="Times New Roman"/>
          <w:szCs w:val="22"/>
          <w:lang w:val="hu-HU"/>
        </w:rPr>
        <w:t xml:space="preserve">által kezelt, felhasznált adatokhoz való hozzáférés tekintetében, elsősorban a </w:t>
      </w:r>
      <w:r w:rsidR="009011A5">
        <w:rPr>
          <w:rFonts w:ascii="Times New Roman" w:hAnsi="Times New Roman"/>
          <w:szCs w:val="22"/>
          <w:lang w:val="hu-HU"/>
        </w:rPr>
        <w:t>merevlemezen/</w:t>
      </w:r>
      <w:r w:rsidRPr="004F4601">
        <w:rPr>
          <w:rFonts w:ascii="Times New Roman" w:hAnsi="Times New Roman"/>
          <w:szCs w:val="22"/>
          <w:lang w:val="hu-HU"/>
        </w:rPr>
        <w:t>szervereken és a felhasználói munkaállomásokon történő adathozzáférések és az adatkezeléseknél felhasznált adathordozók kezelése, valamint a kommunikáció során.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spacing w:before="40"/>
        <w:ind w:left="1764" w:hanging="573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Sértetlenség biztosítása a </w:t>
      </w:r>
      <w:r w:rsidR="00E211BA">
        <w:rPr>
          <w:rFonts w:ascii="Times New Roman" w:hAnsi="Times New Roman"/>
          <w:szCs w:val="22"/>
          <w:lang w:val="hu-HU"/>
        </w:rPr>
        <w:t>TÁRSASÁG</w:t>
      </w:r>
      <w:r w:rsidR="009011A5">
        <w:rPr>
          <w:rFonts w:ascii="Times New Roman" w:hAnsi="Times New Roman"/>
          <w:szCs w:val="22"/>
          <w:lang w:val="hu-HU"/>
        </w:rPr>
        <w:t xml:space="preserve"> </w:t>
      </w:r>
      <w:r w:rsidRPr="004F4601">
        <w:rPr>
          <w:rFonts w:ascii="Times New Roman" w:hAnsi="Times New Roman"/>
          <w:szCs w:val="22"/>
          <w:lang w:val="hu-HU"/>
        </w:rPr>
        <w:t>teljes adatvagyonára vonatkozóan, az adatkezelés, adattárolás és a kommunikáció során.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spacing w:before="40"/>
        <w:ind w:left="1764" w:hanging="573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A </w:t>
      </w:r>
      <w:r w:rsidR="00E211BA">
        <w:rPr>
          <w:rFonts w:ascii="Times New Roman" w:hAnsi="Times New Roman"/>
          <w:szCs w:val="22"/>
          <w:lang w:val="hu-HU"/>
        </w:rPr>
        <w:t>TÁRSASÁGNÁL</w:t>
      </w:r>
      <w:r w:rsidRPr="004F4601">
        <w:rPr>
          <w:rFonts w:ascii="Times New Roman" w:hAnsi="Times New Roman"/>
          <w:szCs w:val="22"/>
          <w:lang w:val="hu-HU"/>
        </w:rPr>
        <w:t xml:space="preserve"> történő adatkezelések és feldolgozások során követelmény, hogy a pontos és helyes információkat dolgozzák fel, valamint az adatok sértetlenségének megőrzése a feldolgozás előtt, közben és után.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spacing w:before="40"/>
        <w:ind w:left="1764" w:hanging="573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Rendelkezésre állás fenntartása elsősorban a </w:t>
      </w:r>
      <w:r w:rsidR="00E211BA">
        <w:rPr>
          <w:rFonts w:ascii="Times New Roman" w:hAnsi="Times New Roman"/>
          <w:szCs w:val="22"/>
          <w:lang w:val="hu-HU"/>
        </w:rPr>
        <w:t>TÁRSASÁG</w:t>
      </w:r>
      <w:r w:rsidR="009011A5">
        <w:rPr>
          <w:rFonts w:ascii="Times New Roman" w:hAnsi="Times New Roman"/>
          <w:szCs w:val="22"/>
          <w:lang w:val="hu-HU"/>
        </w:rPr>
        <w:t xml:space="preserve"> </w:t>
      </w:r>
      <w:r w:rsidRPr="004F4601">
        <w:rPr>
          <w:rFonts w:ascii="Times New Roman" w:hAnsi="Times New Roman"/>
          <w:szCs w:val="22"/>
          <w:lang w:val="hu-HU"/>
        </w:rPr>
        <w:t>adatvagyonára vonatkozóan, amelyet biztosítani kell mind a külső, mind pedig a belső adatkérések során.</w:t>
      </w:r>
    </w:p>
    <w:p w:rsidR="00DC40FA" w:rsidRPr="004F4601" w:rsidRDefault="00DC40FA" w:rsidP="00DC40FA">
      <w:pPr>
        <w:pStyle w:val="BodyTextIndent"/>
        <w:numPr>
          <w:ilvl w:val="0"/>
          <w:numId w:val="2"/>
        </w:numPr>
        <w:spacing w:before="40"/>
        <w:ind w:left="1764" w:hanging="573"/>
        <w:jc w:val="both"/>
        <w:rPr>
          <w:rFonts w:ascii="Times New Roman" w:hAnsi="Times New Roman"/>
          <w:szCs w:val="22"/>
          <w:lang w:val="hu-HU"/>
        </w:rPr>
      </w:pPr>
      <w:r w:rsidRPr="004F4601">
        <w:rPr>
          <w:rFonts w:ascii="Times New Roman" w:hAnsi="Times New Roman"/>
          <w:szCs w:val="22"/>
          <w:lang w:val="hu-HU"/>
        </w:rPr>
        <w:t xml:space="preserve">Működőképesség fenntartása a </w:t>
      </w:r>
      <w:r w:rsidR="00E211BA">
        <w:rPr>
          <w:rFonts w:ascii="Times New Roman" w:hAnsi="Times New Roman"/>
          <w:szCs w:val="22"/>
          <w:lang w:val="hu-HU"/>
        </w:rPr>
        <w:t>TÁRSASÁG</w:t>
      </w:r>
      <w:r w:rsidRPr="004F4601">
        <w:rPr>
          <w:rFonts w:ascii="Times New Roman" w:hAnsi="Times New Roman"/>
          <w:szCs w:val="22"/>
          <w:lang w:val="hu-HU"/>
        </w:rPr>
        <w:t xml:space="preserve"> informatikai rendszereire és rendszerelemeire vonatkozóan, amely az adott informatikai eszköz vagy rendszer elvárt és igényelt üzemelési állapotban való fennmaradását jelenti. Ennek elérése céljából biztosítani kell a megfelelően képzett személyzetet és technikai feltételeket. </w:t>
      </w:r>
    </w:p>
    <w:p w:rsidR="00DC40FA" w:rsidRPr="004F4601" w:rsidRDefault="00DC40FA" w:rsidP="00DC40FA">
      <w:pPr>
        <w:pStyle w:val="Heading1"/>
        <w:pageBreakBefore w:val="0"/>
        <w:ind w:left="862" w:hanging="862"/>
        <w:rPr>
          <w:rFonts w:ascii="Times New Roman" w:hAnsi="Times New Roman"/>
          <w:sz w:val="22"/>
          <w:szCs w:val="22"/>
        </w:rPr>
      </w:pPr>
      <w:bookmarkStart w:id="23" w:name="_Toc406486268"/>
      <w:r w:rsidRPr="004F4601">
        <w:rPr>
          <w:rFonts w:ascii="Times New Roman" w:hAnsi="Times New Roman"/>
          <w:sz w:val="22"/>
          <w:szCs w:val="22"/>
        </w:rPr>
        <w:t>Kapcsolódó elemek</w:t>
      </w:r>
      <w:bookmarkEnd w:id="23"/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 xml:space="preserve">A </w:t>
      </w:r>
      <w:r w:rsidR="00E211BA">
        <w:rPr>
          <w:szCs w:val="22"/>
          <w:lang w:eastAsia="pl-PL"/>
        </w:rPr>
        <w:t>TÁRSASÁG</w:t>
      </w:r>
      <w:r w:rsidRPr="004F4601">
        <w:rPr>
          <w:szCs w:val="22"/>
          <w:lang w:eastAsia="pl-PL"/>
        </w:rPr>
        <w:t xml:space="preserve"> vezetése elkötelezett, hogy olyan összetett védelmi környezetet alakítson ki, mely segítségével kellő biztonsággal, ugyanakkor rugalmassággal tudja kezelni a reá bízott és saját információkat. A védelmi környezet technológiai, szabályozási, ellenőrzési, dokumentálási funkciói révén megteremti a szervezet zárt, teljes körű, folyamatos és a kockázatokkal arányos információvédelmét, amely kiterjed:</w:t>
      </w:r>
    </w:p>
    <w:p w:rsidR="00DC40FA" w:rsidRPr="004F4601" w:rsidRDefault="00DC40FA" w:rsidP="00DC40FA">
      <w:pPr>
        <w:pStyle w:val="Body"/>
        <w:spacing w:after="0"/>
        <w:ind w:left="851"/>
        <w:rPr>
          <w:b/>
          <w:szCs w:val="22"/>
          <w:lang w:eastAsia="pl-PL"/>
        </w:rPr>
      </w:pPr>
      <w:r w:rsidRPr="004F4601">
        <w:rPr>
          <w:b/>
          <w:szCs w:val="22"/>
          <w:lang w:eastAsia="pl-PL"/>
        </w:rPr>
        <w:t>A szervezetbiztonságra: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 xml:space="preserve">A </w:t>
      </w:r>
      <w:r w:rsidR="00E211BA">
        <w:rPr>
          <w:szCs w:val="22"/>
          <w:lang w:eastAsia="pl-PL"/>
        </w:rPr>
        <w:t>TÁRSASÁG</w:t>
      </w:r>
      <w:r w:rsidR="009011A5">
        <w:rPr>
          <w:szCs w:val="22"/>
          <w:lang w:eastAsia="pl-PL"/>
        </w:rPr>
        <w:t xml:space="preserve"> </w:t>
      </w:r>
      <w:r w:rsidRPr="004F4601">
        <w:rPr>
          <w:szCs w:val="22"/>
          <w:lang w:eastAsia="pl-PL"/>
        </w:rPr>
        <w:t>menedzselési keretrendszert állít fel, hogy a szervezeten belül ezzel kezdeményezze és ellenőrizze az információbiztonság megvalósítását.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lastRenderedPageBreak/>
        <w:t>Fenntartja az információ biztonságát akkor is, ha az információfeldolgozási felelősséget más szervezetnek alvállalkozásba adja át.</w:t>
      </w:r>
    </w:p>
    <w:p w:rsidR="00DC40FA" w:rsidRPr="004F4601" w:rsidRDefault="00DC40FA" w:rsidP="00DC40FA">
      <w:pPr>
        <w:pStyle w:val="Body"/>
        <w:spacing w:after="0"/>
        <w:ind w:left="851"/>
        <w:rPr>
          <w:b/>
          <w:szCs w:val="22"/>
          <w:lang w:eastAsia="pl-PL"/>
        </w:rPr>
      </w:pPr>
      <w:r w:rsidRPr="004F4601">
        <w:rPr>
          <w:b/>
          <w:szCs w:val="22"/>
          <w:lang w:eastAsia="pl-PL"/>
        </w:rPr>
        <w:t>Az információs vagyon osztályozása és ellenőrzésére: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Fenntartja a szervezet vagyonának megfelelő védelmét az információs vagyon megfelelő felmérésével, védelmi igényeinek osztályokba sorolt meghatározásával.</w:t>
      </w:r>
    </w:p>
    <w:p w:rsidR="00DC40FA" w:rsidRPr="004F4601" w:rsidRDefault="00DC40FA" w:rsidP="00DC40FA">
      <w:pPr>
        <w:pStyle w:val="Body"/>
        <w:spacing w:after="0"/>
        <w:ind w:left="851"/>
        <w:rPr>
          <w:b/>
          <w:szCs w:val="22"/>
          <w:lang w:eastAsia="pl-PL"/>
        </w:rPr>
      </w:pPr>
      <w:r w:rsidRPr="004F4601">
        <w:rPr>
          <w:b/>
          <w:szCs w:val="22"/>
          <w:lang w:eastAsia="pl-PL"/>
        </w:rPr>
        <w:t>Az emberi erőforrások (személyzet) biztonságára: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Gondoskodik arról, hogy az információ feldolgozó eszközöket használók tudatában legyenek az információ biztonságát fenyegető tényezőknek és a kialakított védelmi környezetnek.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Gondoskodik továbbá arról, hogy a biztonságot sértő események és zavarok okozta kár minimális legyen.</w:t>
      </w:r>
    </w:p>
    <w:p w:rsidR="00DC40FA" w:rsidRPr="004F4601" w:rsidRDefault="00DC40FA" w:rsidP="00DC40FA">
      <w:pPr>
        <w:pStyle w:val="Body"/>
        <w:spacing w:after="0"/>
        <w:ind w:left="851"/>
        <w:rPr>
          <w:b/>
          <w:szCs w:val="22"/>
          <w:lang w:eastAsia="pl-PL"/>
        </w:rPr>
      </w:pPr>
      <w:r w:rsidRPr="004F4601">
        <w:rPr>
          <w:b/>
          <w:szCs w:val="22"/>
          <w:lang w:eastAsia="pl-PL"/>
        </w:rPr>
        <w:t>Fizikai és környezeti biztonságára: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Megelőzi az információs vagyon elvesztését, sérülését vagy veszélyeztetését, valamint a munkatevékenységek megszakadását úgy, hogy az információs vagyont fizikailag védi a biztonsági fenyegetésektől és a környezeti veszélyektől.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Az információt és az információ feldolgozó eszközöket megvédi az illetéktelenek által nyilvánosságra hozataltól, lopástól, módosítástól, megsemmisítéstől.</w:t>
      </w:r>
    </w:p>
    <w:p w:rsidR="00DC40FA" w:rsidRPr="004F4601" w:rsidRDefault="00DC40FA" w:rsidP="00DC40FA">
      <w:pPr>
        <w:pStyle w:val="Body"/>
        <w:spacing w:after="0"/>
        <w:ind w:left="851"/>
        <w:rPr>
          <w:b/>
          <w:szCs w:val="22"/>
          <w:lang w:eastAsia="pl-PL"/>
        </w:rPr>
      </w:pPr>
      <w:r w:rsidRPr="004F4601">
        <w:rPr>
          <w:b/>
          <w:szCs w:val="22"/>
          <w:lang w:eastAsia="pl-PL"/>
        </w:rPr>
        <w:t>Kommunikáció és az üzemeltetés irányítására: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Gondoskodik az információ feldolgozó eszközök pontos és biztonságos működéséről dokumentált üzemeltetési eljárások betartásával és betartatásával, a változások ellenőrzésével, a meghibásodások kockázatának minimalizálásával, rosszindulatú szoftverek elleni védekezéssel, az információfeldolgozás rendszergazda által történő állandó felügyeletével, valamint olyan hálózatok biztonsági menedzselésével, amelyek túlnyúlnak a szervezet határain.</w:t>
      </w:r>
    </w:p>
    <w:p w:rsidR="00DC40FA" w:rsidRPr="004F4601" w:rsidRDefault="00DC40FA" w:rsidP="00DC40FA">
      <w:pPr>
        <w:pStyle w:val="Body"/>
        <w:spacing w:after="0"/>
        <w:ind w:left="851"/>
        <w:rPr>
          <w:b/>
          <w:szCs w:val="22"/>
          <w:lang w:eastAsia="pl-PL"/>
        </w:rPr>
      </w:pPr>
      <w:r w:rsidRPr="004F4601">
        <w:rPr>
          <w:b/>
          <w:szCs w:val="22"/>
          <w:lang w:eastAsia="pl-PL"/>
        </w:rPr>
        <w:t>Hozzáférés-ellenőrzésre: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Az információhoz és az üzleti folyamatokhoz való hozzáférést az üzleti és biztonsági követelmények alapján ellenőrzi oly módon, hogy a hozzáférés-ellenőrzés figyelembe veszi az információ terjesztés és a felhatalmazás szabályait.</w:t>
      </w:r>
    </w:p>
    <w:p w:rsidR="00DC40FA" w:rsidRPr="004F4601" w:rsidRDefault="00DC40FA" w:rsidP="00DC40FA">
      <w:pPr>
        <w:pStyle w:val="Body"/>
        <w:spacing w:after="0"/>
        <w:ind w:left="851"/>
        <w:rPr>
          <w:b/>
          <w:szCs w:val="22"/>
          <w:lang w:eastAsia="pl-PL"/>
        </w:rPr>
      </w:pPr>
      <w:r w:rsidRPr="004F4601">
        <w:rPr>
          <w:b/>
          <w:szCs w:val="22"/>
          <w:lang w:eastAsia="pl-PL"/>
        </w:rPr>
        <w:t>Információs rendszerek beszerzésére, fejlesztésére, és fenntartására: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Az új információs rendszerek beszerzését, vagy a meglévő információs rendszerek fejlesztését, fenntartását úgy végzi, hogy az információbiztonság valamennyi alapelve az információs rendszerekben megvalósuljon.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Figyelemmel kíséri a technikai fejlődésből adódó lehetséges újabb kockázatokat, és az azokat felszámoló védelmi megoldásokat.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A kialakított védelmi környezetet ezeknek megfelelően folyamatosan felügyeli, értékeli, és fejleszti.</w:t>
      </w:r>
    </w:p>
    <w:p w:rsidR="00DC40FA" w:rsidRPr="004F4601" w:rsidRDefault="00DC40FA" w:rsidP="00DC40FA">
      <w:pPr>
        <w:pStyle w:val="Body"/>
        <w:spacing w:after="0"/>
        <w:ind w:left="851"/>
        <w:rPr>
          <w:b/>
          <w:szCs w:val="22"/>
          <w:lang w:eastAsia="pl-PL"/>
        </w:rPr>
      </w:pPr>
      <w:r w:rsidRPr="004F4601">
        <w:rPr>
          <w:b/>
          <w:szCs w:val="22"/>
          <w:lang w:eastAsia="pl-PL"/>
        </w:rPr>
        <w:t>Információbiztonsági incidensek kezelésére: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Az információbiztonsággal összefüggő incidenseket következetes és hatékony folyamat keretében kezeli, az egyértelmű felelősségek megjelölésével.</w:t>
      </w:r>
    </w:p>
    <w:p w:rsidR="00DC40FA" w:rsidRPr="004F4601" w:rsidRDefault="00DC40FA" w:rsidP="00DC40FA">
      <w:pPr>
        <w:pStyle w:val="Body"/>
        <w:spacing w:after="0"/>
        <w:ind w:left="851"/>
        <w:rPr>
          <w:b/>
          <w:szCs w:val="22"/>
          <w:lang w:eastAsia="pl-PL"/>
        </w:rPr>
      </w:pPr>
      <w:r w:rsidRPr="004F4601">
        <w:rPr>
          <w:b/>
          <w:szCs w:val="22"/>
          <w:lang w:eastAsia="pl-PL"/>
        </w:rPr>
        <w:t>Az üzletmenet folyamatosságának menedzselésére: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A</w:t>
      </w:r>
      <w:r w:rsidR="00E211BA">
        <w:rPr>
          <w:szCs w:val="22"/>
          <w:lang w:eastAsia="pl-PL"/>
        </w:rPr>
        <w:t xml:space="preserve"> TÁRSASÁG</w:t>
      </w:r>
      <w:r w:rsidR="009011A5">
        <w:rPr>
          <w:szCs w:val="22"/>
          <w:lang w:eastAsia="pl-PL"/>
        </w:rPr>
        <w:t xml:space="preserve"> </w:t>
      </w:r>
      <w:r w:rsidRPr="004F4601">
        <w:rPr>
          <w:szCs w:val="22"/>
          <w:lang w:eastAsia="pl-PL"/>
        </w:rPr>
        <w:t>célja leküzdeni az üzleti tevékenységek megszakadásait és megvédeni a kritikus üzleti folyamatokat a nagyobb meghibásodások és katasztrófák hatásaitól.</w:t>
      </w:r>
    </w:p>
    <w:p w:rsidR="00DC40FA" w:rsidRPr="004F4601" w:rsidRDefault="00DC40FA" w:rsidP="00DC40FA">
      <w:pPr>
        <w:pStyle w:val="Body"/>
        <w:spacing w:after="0"/>
        <w:ind w:left="851"/>
        <w:rPr>
          <w:b/>
          <w:szCs w:val="22"/>
          <w:lang w:eastAsia="pl-PL"/>
        </w:rPr>
      </w:pPr>
      <w:r w:rsidRPr="004F4601">
        <w:rPr>
          <w:b/>
          <w:szCs w:val="22"/>
          <w:lang w:eastAsia="pl-PL"/>
        </w:rPr>
        <w:t>Követelményeknek való megfelelőségre: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 xml:space="preserve">A </w:t>
      </w:r>
      <w:r w:rsidR="00E211BA">
        <w:rPr>
          <w:szCs w:val="22"/>
          <w:lang w:eastAsia="pl-PL"/>
        </w:rPr>
        <w:t>TÁRSASÁG</w:t>
      </w:r>
      <w:r w:rsidR="009011A5">
        <w:rPr>
          <w:szCs w:val="22"/>
          <w:lang w:eastAsia="pl-PL"/>
        </w:rPr>
        <w:t xml:space="preserve"> </w:t>
      </w:r>
      <w:r w:rsidRPr="004F4601">
        <w:rPr>
          <w:szCs w:val="22"/>
          <w:lang w:eastAsia="pl-PL"/>
        </w:rPr>
        <w:t>határozott célja a törvényes, jogszabályoknak, szerződéses kötelezettségnek megfelelő információvédelem biztosítása.</w:t>
      </w:r>
    </w:p>
    <w:p w:rsidR="00DC40FA" w:rsidRPr="004F4601" w:rsidRDefault="00DC40FA" w:rsidP="00DC40FA">
      <w:pPr>
        <w:pStyle w:val="Heading1"/>
        <w:rPr>
          <w:rStyle w:val="Strong"/>
          <w:rFonts w:ascii="Times New Roman" w:hAnsi="Times New Roman"/>
          <w:b/>
          <w:sz w:val="22"/>
          <w:szCs w:val="22"/>
        </w:rPr>
      </w:pPr>
      <w:bookmarkStart w:id="24" w:name="_Toc219526297"/>
      <w:bookmarkStart w:id="25" w:name="_Toc379112289"/>
      <w:bookmarkStart w:id="26" w:name="_Toc379143206"/>
      <w:bookmarkStart w:id="27" w:name="_Toc406486269"/>
      <w:r w:rsidRPr="004F4601">
        <w:rPr>
          <w:rStyle w:val="Strong"/>
          <w:rFonts w:ascii="Times New Roman" w:hAnsi="Times New Roman"/>
          <w:sz w:val="22"/>
          <w:szCs w:val="22"/>
        </w:rPr>
        <w:lastRenderedPageBreak/>
        <w:t>Kapcsolódó felelősségek</w:t>
      </w:r>
      <w:bookmarkEnd w:id="24"/>
      <w:bookmarkEnd w:id="25"/>
      <w:bookmarkEnd w:id="26"/>
      <w:bookmarkEnd w:id="27"/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 xml:space="preserve">A </w:t>
      </w:r>
      <w:r w:rsidR="00E211BA">
        <w:rPr>
          <w:szCs w:val="22"/>
          <w:lang w:eastAsia="pl-PL"/>
        </w:rPr>
        <w:t>TÁRSASÁG</w:t>
      </w:r>
      <w:r w:rsidR="009011A5">
        <w:rPr>
          <w:szCs w:val="22"/>
          <w:lang w:eastAsia="pl-PL"/>
        </w:rPr>
        <w:t xml:space="preserve"> </w:t>
      </w:r>
      <w:r w:rsidRPr="004F4601">
        <w:rPr>
          <w:szCs w:val="22"/>
          <w:lang w:eastAsia="pl-PL"/>
        </w:rPr>
        <w:t>felügyeletében működő, és e szervezeteket kiszolgáló kommunikációs és informatikai rendszereket az adatok titkosságára, bizalmas jellégére és biztonságára vonatkozó törvényeknek megfelelően kell üzemeltetni. Ezek alapján a jogszerűen védett adatokra vonatkozóan olyan védelmi eljárásokat kell alkalmazni, amelyek ellenőrizhetővé teszik a folyamatokat, lehetővé teszik a szabálytalan cselekmények felderítését és a felelősség megállapítását.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>Az informatikai rendszerekben adatot, információt és egyéb szellemi tulajdont a szervezet számára jelentkező értékével arányosan kell védeni az illetéktelen betekintéstől, a módosítástól, a sérüléstől, megsemmisüléstől és a nyilvánosságra kerüléstől. A védelemnek biztosítani kell az informatikai rendszer megbízható működését fenyegető káresemények elhárítását, illetve hatásuk minimalizálását a megadott biztonsági követelmények szintjén.</w:t>
      </w:r>
    </w:p>
    <w:p w:rsidR="00DC40FA" w:rsidRPr="004F4601" w:rsidRDefault="00DC40FA" w:rsidP="00DC40FA">
      <w:pPr>
        <w:pStyle w:val="Body"/>
        <w:ind w:left="851"/>
        <w:rPr>
          <w:szCs w:val="22"/>
          <w:lang w:eastAsia="pl-PL"/>
        </w:rPr>
      </w:pPr>
      <w:r w:rsidRPr="004F4601">
        <w:rPr>
          <w:szCs w:val="22"/>
          <w:lang w:eastAsia="pl-PL"/>
        </w:rPr>
        <w:t xml:space="preserve">A védelem megvalósítása érdekében a tervezés során a költségvetésben biztosítani kell azokat az anyagi feltételeket, amelyek lehetővé teszik a megfelelő színvonalú technika, valamint a speciális felkészültséget igénylő személyi feltételek megteremtését és folyamatos fenntartását. </w:t>
      </w:r>
    </w:p>
    <w:p w:rsidR="00DC40FA" w:rsidRPr="004F4601" w:rsidRDefault="00DC40FA" w:rsidP="00DC40FA">
      <w:pPr>
        <w:pStyle w:val="Heading1"/>
        <w:pageBreakBefore w:val="0"/>
        <w:ind w:left="862" w:hanging="862"/>
        <w:rPr>
          <w:rFonts w:ascii="Times New Roman" w:hAnsi="Times New Roman"/>
          <w:sz w:val="22"/>
          <w:szCs w:val="22"/>
        </w:rPr>
      </w:pPr>
      <w:bookmarkStart w:id="28" w:name="_Toc258482866"/>
      <w:bookmarkStart w:id="29" w:name="_Toc406486270"/>
      <w:r w:rsidRPr="004F4601">
        <w:rPr>
          <w:rFonts w:ascii="Times New Roman" w:hAnsi="Times New Roman"/>
          <w:sz w:val="22"/>
          <w:szCs w:val="22"/>
        </w:rPr>
        <w:t>Hivatkozások</w:t>
      </w:r>
      <w:bookmarkEnd w:id="28"/>
      <w:bookmarkEnd w:id="29"/>
    </w:p>
    <w:tbl>
      <w:tblPr>
        <w:tblW w:w="9729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3537"/>
        <w:gridCol w:w="5386"/>
      </w:tblGrid>
      <w:tr w:rsidR="00DC40FA" w:rsidRPr="004F4601" w:rsidTr="005567C5">
        <w:trPr>
          <w:cantSplit/>
        </w:trPr>
        <w:tc>
          <w:tcPr>
            <w:tcW w:w="806" w:type="dxa"/>
            <w:shd w:val="pct5" w:color="auto" w:fill="auto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85"/>
              <w:rPr>
                <w:rFonts w:ascii="Times New Roman" w:hAnsi="Times New Roman"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b/>
                <w:szCs w:val="22"/>
                <w:lang w:val="hu-HU"/>
              </w:rPr>
              <w:t>No</w:t>
            </w:r>
          </w:p>
        </w:tc>
        <w:tc>
          <w:tcPr>
            <w:tcW w:w="3537" w:type="dxa"/>
            <w:shd w:val="pct5" w:color="auto" w:fill="auto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0"/>
              <w:rPr>
                <w:rFonts w:ascii="Times New Roman" w:hAnsi="Times New Roman"/>
                <w:b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b/>
                <w:szCs w:val="22"/>
                <w:lang w:val="hu-HU"/>
              </w:rPr>
              <w:t>Dokumentum azonosító</w:t>
            </w:r>
          </w:p>
        </w:tc>
        <w:tc>
          <w:tcPr>
            <w:tcW w:w="5386" w:type="dxa"/>
            <w:shd w:val="pct5" w:color="auto" w:fill="auto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0"/>
              <w:rPr>
                <w:rFonts w:ascii="Times New Roman" w:hAnsi="Times New Roman"/>
                <w:b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b/>
                <w:szCs w:val="22"/>
                <w:lang w:val="hu-HU"/>
              </w:rPr>
              <w:t>Dokumentum cím</w:t>
            </w:r>
          </w:p>
        </w:tc>
      </w:tr>
      <w:tr w:rsidR="00DC40FA" w:rsidRPr="004F4601" w:rsidTr="005567C5">
        <w:trPr>
          <w:cantSplit/>
        </w:trPr>
        <w:tc>
          <w:tcPr>
            <w:tcW w:w="806" w:type="dxa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85"/>
              <w:rPr>
                <w:rFonts w:ascii="Times New Roman" w:hAnsi="Times New Roman"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szCs w:val="22"/>
                <w:lang w:val="hu-HU"/>
              </w:rPr>
              <w:t>1</w:t>
            </w:r>
          </w:p>
        </w:tc>
        <w:tc>
          <w:tcPr>
            <w:tcW w:w="3537" w:type="dxa"/>
          </w:tcPr>
          <w:p w:rsidR="00DC40FA" w:rsidRPr="004F4601" w:rsidRDefault="00E211BA" w:rsidP="009011A5">
            <w:pPr>
              <w:keepNext/>
              <w:keepLines/>
              <w:spacing w:before="40" w:after="40"/>
              <w:ind w:left="0"/>
              <w:rPr>
                <w:rFonts w:ascii="Times New Roman" w:hAnsi="Times New Roman"/>
                <w:szCs w:val="22"/>
                <w:lang w:val="hu-HU"/>
              </w:rPr>
            </w:pPr>
            <w:r>
              <w:rPr>
                <w:rFonts w:ascii="Times New Roman" w:hAnsi="Times New Roman"/>
                <w:szCs w:val="22"/>
                <w:lang w:val="hu-HU"/>
              </w:rPr>
              <w:t>Társaság</w:t>
            </w:r>
          </w:p>
        </w:tc>
        <w:tc>
          <w:tcPr>
            <w:tcW w:w="5386" w:type="dxa"/>
          </w:tcPr>
          <w:p w:rsidR="00DC40FA" w:rsidRPr="004F4601" w:rsidRDefault="00DC40FA" w:rsidP="009011A5">
            <w:pPr>
              <w:keepNext/>
              <w:keepLines/>
              <w:spacing w:before="40" w:after="40"/>
              <w:ind w:left="0"/>
              <w:rPr>
                <w:rFonts w:ascii="Times New Roman" w:hAnsi="Times New Roman"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szCs w:val="22"/>
                <w:lang w:val="hu-HU"/>
              </w:rPr>
              <w:t>Szervezeti és Működési Szabályzat</w:t>
            </w:r>
          </w:p>
        </w:tc>
      </w:tr>
      <w:tr w:rsidR="00DC40FA" w:rsidRPr="004F4601" w:rsidTr="005567C5">
        <w:trPr>
          <w:cantSplit/>
        </w:trPr>
        <w:tc>
          <w:tcPr>
            <w:tcW w:w="806" w:type="dxa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85"/>
              <w:rPr>
                <w:rFonts w:ascii="Times New Roman" w:hAnsi="Times New Roman"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szCs w:val="22"/>
                <w:lang w:val="hu-HU"/>
              </w:rPr>
              <w:t>2</w:t>
            </w:r>
          </w:p>
        </w:tc>
        <w:tc>
          <w:tcPr>
            <w:tcW w:w="3537" w:type="dxa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0"/>
              <w:rPr>
                <w:rFonts w:ascii="Times New Roman" w:hAnsi="Times New Roman"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szCs w:val="22"/>
                <w:lang w:val="hu-HU"/>
              </w:rPr>
              <w:t xml:space="preserve">2013. évi L. törvény </w:t>
            </w:r>
          </w:p>
        </w:tc>
        <w:tc>
          <w:tcPr>
            <w:tcW w:w="5386" w:type="dxa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0"/>
              <w:rPr>
                <w:rFonts w:ascii="Times New Roman" w:hAnsi="Times New Roman"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szCs w:val="22"/>
                <w:lang w:val="hu-HU"/>
              </w:rPr>
              <w:t>2013. évi L. törvény az állami és önkormányzati szervek elektronikus információbiztonságáról</w:t>
            </w:r>
          </w:p>
        </w:tc>
      </w:tr>
      <w:tr w:rsidR="00DC40FA" w:rsidRPr="004F4601" w:rsidTr="005567C5">
        <w:trPr>
          <w:cantSplit/>
        </w:trPr>
        <w:tc>
          <w:tcPr>
            <w:tcW w:w="806" w:type="dxa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85"/>
              <w:rPr>
                <w:rFonts w:ascii="Times New Roman" w:hAnsi="Times New Roman"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szCs w:val="22"/>
                <w:lang w:val="hu-HU"/>
              </w:rPr>
              <w:t>3</w:t>
            </w:r>
          </w:p>
        </w:tc>
        <w:tc>
          <w:tcPr>
            <w:tcW w:w="3537" w:type="dxa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0"/>
              <w:rPr>
                <w:rFonts w:ascii="Times New Roman" w:hAnsi="Times New Roman"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szCs w:val="22"/>
                <w:lang w:val="hu-HU"/>
              </w:rPr>
              <w:t xml:space="preserve">25. számú ajánlás </w:t>
            </w:r>
          </w:p>
        </w:tc>
        <w:tc>
          <w:tcPr>
            <w:tcW w:w="5386" w:type="dxa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0"/>
              <w:rPr>
                <w:rFonts w:ascii="Times New Roman" w:hAnsi="Times New Roman"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szCs w:val="22"/>
                <w:lang w:val="hu-HU"/>
              </w:rPr>
              <w:t>Magyar Informatikai Biztonsági Ajánlások (MIBA) – Közigazgatási Informatikai bizottság</w:t>
            </w:r>
          </w:p>
        </w:tc>
      </w:tr>
    </w:tbl>
    <w:p w:rsidR="00DC40FA" w:rsidRPr="004F4601" w:rsidRDefault="00DC40FA" w:rsidP="00DC40FA">
      <w:pPr>
        <w:pStyle w:val="BodyTextIndent"/>
        <w:rPr>
          <w:rFonts w:ascii="Times New Roman" w:hAnsi="Times New Roman"/>
          <w:szCs w:val="22"/>
          <w:lang w:val="hu-HU"/>
        </w:rPr>
      </w:pPr>
      <w:bookmarkStart w:id="30" w:name="_Toc258482867"/>
    </w:p>
    <w:p w:rsidR="00DC40FA" w:rsidRPr="004F4601" w:rsidRDefault="00DC40FA" w:rsidP="00DC40FA">
      <w:pPr>
        <w:pStyle w:val="Heading1"/>
        <w:pageBreakBefore w:val="0"/>
        <w:ind w:left="862" w:hanging="862"/>
        <w:rPr>
          <w:rFonts w:ascii="Times New Roman" w:hAnsi="Times New Roman"/>
          <w:sz w:val="22"/>
          <w:szCs w:val="22"/>
        </w:rPr>
      </w:pPr>
      <w:bookmarkStart w:id="31" w:name="_Toc406486271"/>
      <w:r w:rsidRPr="004F4601">
        <w:rPr>
          <w:rFonts w:ascii="Times New Roman" w:hAnsi="Times New Roman"/>
          <w:sz w:val="22"/>
          <w:szCs w:val="22"/>
        </w:rPr>
        <w:t>Dokumentum történet</w:t>
      </w:r>
      <w:bookmarkEnd w:id="30"/>
      <w:bookmarkEnd w:id="31"/>
    </w:p>
    <w:tbl>
      <w:tblPr>
        <w:tblW w:w="9871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852"/>
        <w:gridCol w:w="1984"/>
        <w:gridCol w:w="5102"/>
      </w:tblGrid>
      <w:tr w:rsidR="00DC40FA" w:rsidRPr="004F4601" w:rsidTr="005567C5">
        <w:trPr>
          <w:cantSplit/>
        </w:trPr>
        <w:tc>
          <w:tcPr>
            <w:tcW w:w="1933" w:type="dxa"/>
            <w:shd w:val="pct5" w:color="auto" w:fill="auto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85"/>
              <w:rPr>
                <w:rFonts w:ascii="Times New Roman" w:hAnsi="Times New Roman"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b/>
                <w:szCs w:val="22"/>
                <w:lang w:val="hu-HU"/>
              </w:rPr>
              <w:t>Dátum</w:t>
            </w:r>
          </w:p>
        </w:tc>
        <w:tc>
          <w:tcPr>
            <w:tcW w:w="852" w:type="dxa"/>
            <w:shd w:val="pct5" w:color="auto" w:fill="auto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85"/>
              <w:rPr>
                <w:rFonts w:ascii="Times New Roman" w:hAnsi="Times New Roman"/>
                <w:b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b/>
                <w:szCs w:val="22"/>
                <w:lang w:val="hu-HU"/>
              </w:rPr>
              <w:t>Verzió</w:t>
            </w:r>
          </w:p>
        </w:tc>
        <w:tc>
          <w:tcPr>
            <w:tcW w:w="1984" w:type="dxa"/>
            <w:shd w:val="pct5" w:color="auto" w:fill="auto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85"/>
              <w:rPr>
                <w:rFonts w:ascii="Times New Roman" w:hAnsi="Times New Roman"/>
                <w:b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b/>
                <w:szCs w:val="22"/>
                <w:lang w:val="hu-HU"/>
              </w:rPr>
              <w:t>Módosította</w:t>
            </w:r>
          </w:p>
        </w:tc>
        <w:tc>
          <w:tcPr>
            <w:tcW w:w="5102" w:type="dxa"/>
            <w:shd w:val="pct5" w:color="auto" w:fill="auto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85"/>
              <w:rPr>
                <w:rFonts w:ascii="Times New Roman" w:hAnsi="Times New Roman"/>
                <w:b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b/>
                <w:szCs w:val="22"/>
                <w:lang w:val="hu-HU"/>
              </w:rPr>
              <w:t>Módosítás oka</w:t>
            </w:r>
          </w:p>
        </w:tc>
      </w:tr>
      <w:tr w:rsidR="00DC40FA" w:rsidRPr="004F4601" w:rsidTr="005567C5">
        <w:trPr>
          <w:cantSplit/>
        </w:trPr>
        <w:tc>
          <w:tcPr>
            <w:tcW w:w="1933" w:type="dxa"/>
          </w:tcPr>
          <w:p w:rsidR="00DC40FA" w:rsidRPr="004F4601" w:rsidRDefault="00E211BA" w:rsidP="005567C5">
            <w:pPr>
              <w:keepNext/>
              <w:keepLines/>
              <w:spacing w:before="40" w:after="40"/>
              <w:ind w:left="85"/>
              <w:rPr>
                <w:rFonts w:ascii="Times New Roman" w:hAnsi="Times New Roman"/>
                <w:szCs w:val="22"/>
                <w:lang w:val="hu-HU"/>
              </w:rPr>
            </w:pPr>
            <w:r>
              <w:rPr>
                <w:rFonts w:ascii="Times New Roman" w:hAnsi="Times New Roman"/>
                <w:szCs w:val="22"/>
                <w:lang w:val="hu-HU"/>
              </w:rPr>
              <w:t>2018. május 2</w:t>
            </w:r>
            <w:r w:rsidR="00A23819">
              <w:rPr>
                <w:rFonts w:ascii="Times New Roman" w:hAnsi="Times New Roman"/>
                <w:szCs w:val="22"/>
                <w:lang w:val="hu-HU"/>
              </w:rPr>
              <w:t>5</w:t>
            </w:r>
            <w:r>
              <w:rPr>
                <w:rFonts w:ascii="Times New Roman" w:hAnsi="Times New Roman"/>
                <w:szCs w:val="22"/>
                <w:lang w:val="hu-HU"/>
              </w:rPr>
              <w:t>.</w:t>
            </w:r>
          </w:p>
        </w:tc>
        <w:tc>
          <w:tcPr>
            <w:tcW w:w="852" w:type="dxa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85"/>
              <w:rPr>
                <w:rFonts w:ascii="Times New Roman" w:hAnsi="Times New Roman"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szCs w:val="22"/>
                <w:lang w:val="hu-HU"/>
              </w:rPr>
              <w:t>1.0</w:t>
            </w:r>
          </w:p>
        </w:tc>
        <w:tc>
          <w:tcPr>
            <w:tcW w:w="1984" w:type="dxa"/>
          </w:tcPr>
          <w:p w:rsidR="00DC40FA" w:rsidRPr="004F4601" w:rsidRDefault="00E964AC" w:rsidP="00567E0C">
            <w:pPr>
              <w:keepNext/>
              <w:keepLines/>
              <w:spacing w:before="40" w:after="40"/>
              <w:ind w:left="0"/>
              <w:rPr>
                <w:rFonts w:ascii="Times New Roman" w:hAnsi="Times New Roman"/>
                <w:szCs w:val="22"/>
                <w:lang w:val="hu-HU"/>
              </w:rPr>
            </w:pPr>
            <w:r>
              <w:rPr>
                <w:rFonts w:ascii="Times New Roman" w:eastAsiaTheme="minorHAnsi" w:hAnsi="Times New Roman"/>
                <w:szCs w:val="22"/>
                <w:lang w:val="hu-HU" w:eastAsia="en-US"/>
              </w:rPr>
              <w:t>ügyvezető</w:t>
            </w:r>
          </w:p>
        </w:tc>
        <w:tc>
          <w:tcPr>
            <w:tcW w:w="5102" w:type="dxa"/>
          </w:tcPr>
          <w:p w:rsidR="00DC40FA" w:rsidRPr="004F4601" w:rsidRDefault="00DC40FA" w:rsidP="005567C5">
            <w:pPr>
              <w:keepNext/>
              <w:keepLines/>
              <w:spacing w:before="40" w:after="40"/>
              <w:ind w:left="85"/>
              <w:rPr>
                <w:rFonts w:ascii="Times New Roman" w:hAnsi="Times New Roman"/>
                <w:szCs w:val="22"/>
                <w:lang w:val="hu-HU"/>
              </w:rPr>
            </w:pPr>
            <w:r w:rsidRPr="004F4601">
              <w:rPr>
                <w:rFonts w:ascii="Times New Roman" w:hAnsi="Times New Roman"/>
                <w:szCs w:val="22"/>
                <w:lang w:val="hu-HU"/>
              </w:rPr>
              <w:t>Ez a dokumentum első változata</w:t>
            </w:r>
          </w:p>
        </w:tc>
      </w:tr>
    </w:tbl>
    <w:p w:rsidR="00DC40FA" w:rsidRPr="004F4601" w:rsidRDefault="00DC40FA" w:rsidP="00DC40FA">
      <w:pPr>
        <w:pStyle w:val="BodyTextIndent"/>
        <w:rPr>
          <w:rFonts w:ascii="Times New Roman" w:hAnsi="Times New Roman"/>
          <w:szCs w:val="22"/>
          <w:lang w:val="hu-HU"/>
        </w:rPr>
      </w:pPr>
    </w:p>
    <w:p w:rsidR="00DF063B" w:rsidRDefault="006D67B1"/>
    <w:sectPr w:rsidR="00DF063B" w:rsidSect="00AD7350">
      <w:headerReference w:type="even" r:id="rId7"/>
      <w:headerReference w:type="default" r:id="rId8"/>
      <w:footerReference w:type="default" r:id="rId9"/>
      <w:pgSz w:w="11909" w:h="16834" w:code="9"/>
      <w:pgMar w:top="1140" w:right="1140" w:bottom="1276" w:left="1140" w:header="1140" w:footer="86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C20" w:rsidRDefault="00427C20">
      <w:pPr>
        <w:spacing w:before="0"/>
      </w:pPr>
      <w:r>
        <w:separator/>
      </w:r>
    </w:p>
  </w:endnote>
  <w:endnote w:type="continuationSeparator" w:id="0">
    <w:p w:rsidR="00427C20" w:rsidRDefault="00427C2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263344"/>
      <w:docPartObj>
        <w:docPartGallery w:val="Page Numbers (Bottom of Page)"/>
        <w:docPartUnique/>
      </w:docPartObj>
    </w:sdtPr>
    <w:sdtEndPr/>
    <w:sdtContent>
      <w:p w:rsidR="004F4601" w:rsidRDefault="004F460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7B1" w:rsidRPr="006D67B1">
          <w:rPr>
            <w:noProof/>
            <w:lang w:val="hu-HU"/>
          </w:rPr>
          <w:t>1</w:t>
        </w:r>
        <w:r>
          <w:fldChar w:fldCharType="end"/>
        </w:r>
      </w:p>
    </w:sdtContent>
  </w:sdt>
  <w:p w:rsidR="00914B73" w:rsidRPr="00914B73" w:rsidRDefault="006D67B1" w:rsidP="00914B73">
    <w:pPr>
      <w:pStyle w:val="Footer"/>
      <w:tabs>
        <w:tab w:val="clear" w:pos="4320"/>
        <w:tab w:val="clear" w:pos="8640"/>
        <w:tab w:val="right" w:pos="962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C20" w:rsidRDefault="00427C20">
      <w:pPr>
        <w:spacing w:before="0"/>
      </w:pPr>
      <w:r>
        <w:separator/>
      </w:r>
    </w:p>
  </w:footnote>
  <w:footnote w:type="continuationSeparator" w:id="0">
    <w:p w:rsidR="00427C20" w:rsidRDefault="00427C2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170" w:rsidRDefault="00DC40FA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901940" cy="718185"/>
              <wp:effectExtent l="0" t="2552700" r="0" b="2444115"/>
              <wp:wrapNone/>
              <wp:docPr id="2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901940" cy="7181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40FA" w:rsidRDefault="00DC40FA" w:rsidP="00DC40F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TMSI Kft. - BIZALMAS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6" type="#_x0000_t202" style="position:absolute;margin-left:0;margin-top:0;width:622.2pt;height:56.5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2skQIAAAAFAAAOAAAAZHJzL2Uyb0RvYy54bWysVMtu2zAQvBfoPxC8O3pAji0hcpCXe0nb&#10;AHaRMy1SEltJy5K0Jafob/UH+mNdUsqrvRRFfaCp5Wp2dmeos/OhbchBaCOhy2l0ElIiugK47Kqc&#10;ftquZ0tKjGUdZw10IqdHYej56u2bs15lIoYaGi40QZDOZL3KaW2tyoLAFLVomTkBJTo8LEG3zOKj&#10;rgKuWY/obRPEYXga9KC50lAIYzB6PR7SlccvS1HYj2VphCVNTpGb9av2686tweqMZZVmqpbFRIP9&#10;A4uWyQ6LPkFdM8vIXss/oFpZaDBQ2pMC2gDKUhbC94DdROFv3WxqpoTvBYdj1NOYzP+DLT4c7jSR&#10;PKcxJR1rUaLNw88fB1Fx2MEDid2EemUyTNwoTLXDJQyotO/WqFsovhjSwVXNukpcaA19LRhHhhHi&#10;TWHfx/aoENxHt2KwN1yiGJGDD17gj8WMq7Tr3wPHV9jegq82lLolGtxryzR0Px/GIRJkhOoenxTF&#10;AqTA4CINozTBowLPFtEyWs59RZY5MCeY0sa+E9ASt8mpRsd4VHa4NdaRe05x6QiM8Wk3KvwtjeIk&#10;vIzT2fp0uZgl62Q+SxfhcoalL9PTMEmT6/V3BxolWS05F92t7MSj26Lk79ScfD/6xPuN9DlN5/Hc&#10;8zXQSL6WTeO4GV3trhpNDszZfhzV2MurNA37jmOcZU6zm2lvmWzGffCasR8GDuDx3w/Ci+f0GpWz&#10;w25ARKfoDvgRZezxcuXUfN0zLdAS+/YKkBT6oNTQ3uPtvdBOUd+E02A73DOtJjkslrtrHi+X18TR&#10;rfjkVcY/I1Db4J3FXsncm2LsdEqe9BtR/WzUBRpqLb24zzwnG+I18+1NnwR3j18++6znD9fqFwAA&#10;AP//AwBQSwMEFAAGAAgAAAAhAF8+G5XbAAAABgEAAA8AAABkcnMvZG93bnJldi54bWxMj0FPwzAM&#10;he9I/IfISNxY2q1CqDSdEBWHHbchzl7jtYXEKU26dvx6Mi7sYj3rWe99LtazNeJEg+8cK0gXCQji&#10;2umOGwXv+7eHJxA+IGs0jknBmTysy9ubAnPtJt7SaRcaEUPY56igDaHPpfR1Sxb9wvXE0Tu6wWKI&#10;69BIPeAUw62RyyR5lBY7jg0t9vTaUv21G60C/XM896tp2m8222r8Nl1V0cenUvd388sziEBz+D+G&#10;C35EhzIyHdzI2gujID4S/ubFW2ZZBuIQVbpKQZaFvMYvfwEAAP//AwBQSwECLQAUAAYACAAAACEA&#10;toM4kv4AAADhAQAAEwAAAAAAAAAAAAAAAAAAAAAAW0NvbnRlbnRfVHlwZXNdLnhtbFBLAQItABQA&#10;BgAIAAAAIQA4/SH/1gAAAJQBAAALAAAAAAAAAAAAAAAAAC8BAABfcmVscy8ucmVsc1BLAQItABQA&#10;BgAIAAAAIQDOWM2skQIAAAAFAAAOAAAAAAAAAAAAAAAAAC4CAABkcnMvZTJvRG9jLnhtbFBLAQIt&#10;ABQABgAIAAAAIQBfPhuV2wAAAAYBAAAPAAAAAAAAAAAAAAAAAOsEAABkcnMvZG93bnJldi54bWxQ&#10;SwUGAAAAAAQABADzAAAA8wUAAAAA&#10;" o:allowincell="f" filled="f" stroked="f">
              <v:stroke joinstyle="round"/>
              <o:lock v:ext="edit" shapetype="t"/>
              <v:textbox style="mso-fit-shape-to-text:t">
                <w:txbxContent>
                  <w:p w:rsidR="00DC40FA" w:rsidRDefault="00DC40FA" w:rsidP="00DC40FA">
                    <w:pPr>
                      <w:pStyle w:val="Norm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TMSI Kft. - BIZALMAS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813"/>
      <w:gridCol w:w="4806"/>
    </w:tblGrid>
    <w:tr w:rsidR="005C0468" w:rsidRPr="00E211BA" w:rsidTr="00722EBC">
      <w:trPr>
        <w:cantSplit/>
        <w:trHeight w:val="469"/>
      </w:trPr>
      <w:tc>
        <w:tcPr>
          <w:tcW w:w="5000" w:type="pct"/>
          <w:gridSpan w:val="2"/>
        </w:tcPr>
        <w:p w:rsidR="005C0468" w:rsidRPr="00A23819" w:rsidRDefault="00B32CD3" w:rsidP="00567E0C">
          <w:pPr>
            <w:pStyle w:val="Header"/>
            <w:jc w:val="center"/>
            <w:rPr>
              <w:rFonts w:ascii="Times New Roman" w:hAnsi="Times New Roman"/>
              <w:lang w:val="hu-HU"/>
            </w:rPr>
          </w:pPr>
          <w:r w:rsidRPr="00B71012">
            <w:rPr>
              <w:rFonts w:ascii="Times New Roman" w:hAnsi="Times New Roman"/>
              <w:b/>
              <w:bCs/>
              <w:szCs w:val="22"/>
              <w:lang w:val="hu-HU"/>
            </w:rPr>
            <w:t>Firstmed-FMC Egészségügyi Szolgáltató Korlátolt Felelősségű Társaság</w:t>
          </w:r>
        </w:p>
      </w:tc>
    </w:tr>
    <w:tr w:rsidR="005C0468" w:rsidRPr="00E211BA" w:rsidTr="00722EBC">
      <w:trPr>
        <w:cantSplit/>
        <w:trHeight w:val="480"/>
      </w:trPr>
      <w:tc>
        <w:tcPr>
          <w:tcW w:w="2502" w:type="pct"/>
        </w:tcPr>
        <w:p w:rsidR="005C0468" w:rsidRPr="00E211BA" w:rsidRDefault="00DC40FA" w:rsidP="005C0468">
          <w:pPr>
            <w:pStyle w:val="Header"/>
            <w:rPr>
              <w:rFonts w:ascii="Times New Roman" w:hAnsi="Times New Roman"/>
              <w:b/>
              <w:szCs w:val="22"/>
              <w:lang w:val="hu-HU"/>
            </w:rPr>
          </w:pPr>
          <w:r w:rsidRPr="00E211BA">
            <w:rPr>
              <w:rFonts w:ascii="Times New Roman" w:hAnsi="Times New Roman"/>
              <w:b/>
              <w:szCs w:val="22"/>
              <w:lang w:val="hu-HU"/>
            </w:rPr>
            <w:t>Dokumentum cím</w:t>
          </w:r>
        </w:p>
      </w:tc>
      <w:tc>
        <w:tcPr>
          <w:tcW w:w="2498" w:type="pct"/>
        </w:tcPr>
        <w:p w:rsidR="005C0468" w:rsidRPr="00E211BA" w:rsidRDefault="00DC40FA" w:rsidP="005C0468">
          <w:pPr>
            <w:pStyle w:val="Header"/>
            <w:rPr>
              <w:rFonts w:ascii="Times New Roman" w:hAnsi="Times New Roman"/>
              <w:szCs w:val="22"/>
              <w:lang w:val="hu-HU"/>
            </w:rPr>
          </w:pPr>
          <w:r w:rsidRPr="00E211BA">
            <w:rPr>
              <w:rFonts w:ascii="Times New Roman" w:hAnsi="Times New Roman"/>
              <w:szCs w:val="22"/>
              <w:lang w:val="hu-HU"/>
            </w:rPr>
            <w:t>Informatikai biztonsági politika</w:t>
          </w:r>
        </w:p>
      </w:tc>
    </w:tr>
  </w:tbl>
  <w:p w:rsidR="00D42B10" w:rsidRPr="00B76422" w:rsidRDefault="00DC40FA" w:rsidP="00B76422">
    <w:pPr>
      <w:pStyle w:val="Header"/>
      <w:spacing w:before="0" w:after="0"/>
      <w:rPr>
        <w:sz w:val="4"/>
        <w:szCs w:val="4"/>
        <w:lang w:val="hu-HU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901940" cy="718185"/>
              <wp:effectExtent l="0" t="2552700" r="0" b="2444115"/>
              <wp:wrapNone/>
              <wp:docPr id="1" name="Szövegdoboz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901940" cy="7181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40FA" w:rsidRDefault="00DC40FA" w:rsidP="00DC40F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TMSI Kft. - BIZALMAS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1" o:spid="_x0000_s1027" type="#_x0000_t202" style="position:absolute;margin-left:0;margin-top:0;width:622.2pt;height:56.5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7KkwIAAAcFAAAOAAAAZHJzL2Uyb0RvYy54bWysVMtu2zAQvBfoPxC6O5IMObaEyEFe7iVt&#10;A8RFzrRISWwlLkvSlpyiv9Uf6I91Scl20l6Koj7Q1HI1u7Mz1MVl3zZkx7URIPMgPosCwmUBTMgq&#10;Dz6tV5NFQIylktEGJM+DPTfB5fLtm4tOZXwKNTSMa4Ig0mSdyoPaWpWFoSlq3lJzBopLPCxBt9Ti&#10;o65CpmmH6G0TTqPoPOxAM6Wh4MZg9HY4DJYevyx5YT+WpeGWNHmAvVm/ar9u3BouL2hWaapqUYxt&#10;0H/ooqVCYtEj1C21lGy1+AOqFYUGA6U9K6ANoSxFwT0HZBNHv7F5rKningsOx6jjmMz/gy0+7B40&#10;EQy1C4ikLUr0+Pzzx45XDDbwTGI3oU6ZDBMfFaba/hp6l+3YGnUPxRdDJNzUVFb8Smvoak4Zdujw&#10;xrDnsd4rBPfRNe/tHRMohocPX+APxYyrtOneA8NX6NaCr9aXuiUa3GuLNHI/H8YhEuwI1d0fFcUC&#10;pMDgPI3iNMGjAs/m8SJezByhkGYOzFFQ2th3HFriNnmg0TEele7ujR1SDykuHYExPu4Ghb+l8TSJ&#10;rqfpZHW+mE+SVTKbpPNoMcHS1+l5lKTJ7eq7A42TrBaMcXkvJD+4LU7+Ts3R94NPvN9IlwfpbDrz&#10;/RpoBFuJpnG9GV1tbhpNdtTZfhjVwOVVmoatZBinmdPsbtxbKpphH77u2M8NB3D494Pw4jm9BuVs&#10;v+lHOyGwE3YDbI9qdnjH8sB83VLN0Rnb9gawN7RDqaF9wkt8pZ2wnosb+Lp/olqNqlis+tAc7piX&#10;xnVdsdGylH1GoLbBq4uUycx7YyA8JqPiJ1Q/InWFvloJr/GpT+TmHvC2eZbjl8Fd55fPPuv0/Vr+&#10;AgAA//8DAFBLAwQUAAYACAAAACEAXz4bldsAAAAGAQAADwAAAGRycy9kb3ducmV2LnhtbEyPQU/D&#10;MAyF70j8h8hI3FjarUKoNJ0QFYcdtyHOXuO1hcQpTbp2/HoyLuxiPetZ730u1rM14kSD7xwrSBcJ&#10;COLa6Y4bBe/7t4cnED4gazSOScGZPKzL25sCc+0m3tJpFxoRQ9jnqKANoc+l9HVLFv3C9cTRO7rB&#10;Yojr0Eg94BTDrZHLJHmUFjuODS329NpS/bUbrQL9czz3q2nabzbbavw2XVXRx6dS93fzyzOIQHP4&#10;P4YLfkSHMjId3MjaC6MgPhL+5sVbZlkG4hBVukpBloW8xi9/AQAA//8DAFBLAQItABQABgAIAAAA&#10;IQC2gziS/gAAAOEBAAATAAAAAAAAAAAAAAAAAAAAAABbQ29udGVudF9UeXBlc10ueG1sUEsBAi0A&#10;FAAGAAgAAAAhADj9If/WAAAAlAEAAAsAAAAAAAAAAAAAAAAALwEAAF9yZWxzLy5yZWxzUEsBAi0A&#10;FAAGAAgAAAAhAFimnsqTAgAABwUAAA4AAAAAAAAAAAAAAAAALgIAAGRycy9lMm9Eb2MueG1sUEsB&#10;Ai0AFAAGAAgAAAAhAF8+G5XbAAAABgEAAA8AAAAAAAAAAAAAAAAA7QQAAGRycy9kb3ducmV2Lnht&#10;bFBLBQYAAAAABAAEAPMAAAD1BQAAAAA=&#10;" o:allowincell="f" filled="f" stroked="f">
              <v:stroke joinstyle="round"/>
              <o:lock v:ext="edit" shapetype="t"/>
              <v:textbox style="mso-fit-shape-to-text:t">
                <w:txbxContent>
                  <w:p w:rsidR="00DC40FA" w:rsidRDefault="00DC40FA" w:rsidP="00DC40FA">
                    <w:pPr>
                      <w:pStyle w:val="Norm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TMSI Kft. - BIZALMAS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A6"/>
    <w:multiLevelType w:val="multilevel"/>
    <w:tmpl w:val="FECC7410"/>
    <w:lvl w:ilvl="0">
      <w:start w:val="1"/>
      <w:numFmt w:val="decimal"/>
      <w:pStyle w:val="Heading1"/>
      <w:lvlText w:val="%1"/>
      <w:lvlJc w:val="left"/>
      <w:pPr>
        <w:tabs>
          <w:tab w:val="num" w:pos="864"/>
        </w:tabs>
        <w:ind w:left="864" w:hanging="864"/>
      </w:pPr>
      <w:rPr>
        <w:rFonts w:cs="Times New Roman" w:hint="default"/>
        <w:bCs w:val="0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864"/>
      </w:pPr>
      <w:rPr>
        <w:rFonts w:cs="Times New Roman" w:hint="default"/>
        <w:bCs w:val="0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12F584F"/>
    <w:multiLevelType w:val="hybridMultilevel"/>
    <w:tmpl w:val="BD62FF3A"/>
    <w:lvl w:ilvl="0" w:tplc="210C2428">
      <w:numFmt w:val="bullet"/>
      <w:lvlText w:val="•"/>
      <w:lvlJc w:val="left"/>
      <w:pPr>
        <w:ind w:left="1442" w:hanging="570"/>
      </w:pPr>
      <w:rPr>
        <w:rFonts w:ascii="Trebuchet MS" w:eastAsia="Times New Roman" w:hAnsi="Trebuchet MS" w:cs="Times New Roman" w:hint="default"/>
      </w:rPr>
    </w:lvl>
    <w:lvl w:ilvl="1" w:tplc="040E0003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F16A1AF8">
      <w:start w:val="3"/>
      <w:numFmt w:val="bullet"/>
      <w:lvlText w:val=""/>
      <w:lvlJc w:val="left"/>
      <w:pPr>
        <w:ind w:left="2672" w:hanging="360"/>
      </w:pPr>
      <w:rPr>
        <w:rFonts w:ascii="Symbol" w:eastAsia="Times New Roman" w:hAnsi="Symbol" w:cs="Times New Roman" w:hint="default"/>
      </w:rPr>
    </w:lvl>
    <w:lvl w:ilvl="3" w:tplc="040E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FA"/>
    <w:rsid w:val="00112165"/>
    <w:rsid w:val="00287085"/>
    <w:rsid w:val="00297317"/>
    <w:rsid w:val="003D2C56"/>
    <w:rsid w:val="003F50DD"/>
    <w:rsid w:val="00427C20"/>
    <w:rsid w:val="004F4601"/>
    <w:rsid w:val="00567E0C"/>
    <w:rsid w:val="00597133"/>
    <w:rsid w:val="00611ED5"/>
    <w:rsid w:val="006A156A"/>
    <w:rsid w:val="006D67B1"/>
    <w:rsid w:val="007A4CAD"/>
    <w:rsid w:val="008B579D"/>
    <w:rsid w:val="009011A5"/>
    <w:rsid w:val="00A23819"/>
    <w:rsid w:val="00B32CD3"/>
    <w:rsid w:val="00D1412C"/>
    <w:rsid w:val="00D8536C"/>
    <w:rsid w:val="00DC40FA"/>
    <w:rsid w:val="00E211BA"/>
    <w:rsid w:val="00E36827"/>
    <w:rsid w:val="00E9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EB27566-0513-40E8-92E4-E8CFEEC8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0FA"/>
    <w:pPr>
      <w:spacing w:before="120" w:after="0" w:line="240" w:lineRule="auto"/>
      <w:ind w:left="864"/>
    </w:pPr>
    <w:rPr>
      <w:rFonts w:ascii="Arial" w:eastAsia="Times New Roman" w:hAnsi="Arial" w:cs="Times New Roman"/>
      <w:szCs w:val="20"/>
      <w:lang w:val="en-GB" w:eastAsia="pl-PL"/>
    </w:rPr>
  </w:style>
  <w:style w:type="paragraph" w:styleId="Heading1">
    <w:name w:val="heading 1"/>
    <w:aliases w:val="Heading 1a"/>
    <w:basedOn w:val="Normal"/>
    <w:next w:val="BodyTextIndent"/>
    <w:link w:val="Heading1Char"/>
    <w:qFormat/>
    <w:rsid w:val="00DC40FA"/>
    <w:pPr>
      <w:keepNext/>
      <w:pageBreakBefore/>
      <w:numPr>
        <w:numId w:val="1"/>
      </w:numPr>
      <w:tabs>
        <w:tab w:val="left" w:pos="-720"/>
        <w:tab w:val="left" w:pos="0"/>
      </w:tabs>
      <w:suppressAutoHyphens/>
      <w:spacing w:before="240" w:after="120"/>
      <w:outlineLvl w:val="0"/>
    </w:pPr>
    <w:rPr>
      <w:rFonts w:ascii="Trebuchet MS" w:hAnsi="Trebuchet MS"/>
      <w:b/>
      <w:sz w:val="32"/>
      <w:szCs w:val="32"/>
      <w:lang w:val="hu-HU"/>
    </w:rPr>
  </w:style>
  <w:style w:type="paragraph" w:styleId="Heading2">
    <w:name w:val="heading 2"/>
    <w:aliases w:val="Chapter Title"/>
    <w:basedOn w:val="Normal"/>
    <w:next w:val="BodyTextIndent"/>
    <w:link w:val="Heading2Char"/>
    <w:qFormat/>
    <w:rsid w:val="00DC40FA"/>
    <w:pPr>
      <w:keepNext/>
      <w:numPr>
        <w:ilvl w:val="1"/>
        <w:numId w:val="1"/>
      </w:numPr>
      <w:spacing w:before="240" w:after="120"/>
      <w:outlineLvl w:val="1"/>
    </w:pPr>
    <w:rPr>
      <w:rFonts w:ascii="Trebuchet MS" w:hAnsi="Trebuchet MS"/>
      <w:b/>
      <w:sz w:val="28"/>
      <w:lang w:val="hu-HU"/>
    </w:rPr>
  </w:style>
  <w:style w:type="paragraph" w:styleId="Heading3">
    <w:name w:val="heading 3"/>
    <w:basedOn w:val="Normal"/>
    <w:next w:val="BodyTextIndent"/>
    <w:link w:val="Heading3Char"/>
    <w:qFormat/>
    <w:rsid w:val="00DC40FA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aliases w:val="Map Title"/>
    <w:basedOn w:val="Normal"/>
    <w:next w:val="BodyTextIndent"/>
    <w:link w:val="Heading4Char"/>
    <w:qFormat/>
    <w:rsid w:val="00DC40FA"/>
    <w:pPr>
      <w:numPr>
        <w:ilvl w:val="3"/>
        <w:numId w:val="1"/>
      </w:numPr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DC40FA"/>
    <w:pPr>
      <w:numPr>
        <w:ilvl w:val="4"/>
        <w:numId w:val="1"/>
      </w:numPr>
      <w:spacing w:after="1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a Char"/>
    <w:basedOn w:val="DefaultParagraphFont"/>
    <w:link w:val="Heading1"/>
    <w:rsid w:val="00DC40FA"/>
    <w:rPr>
      <w:rFonts w:ascii="Trebuchet MS" w:eastAsia="Times New Roman" w:hAnsi="Trebuchet MS" w:cs="Times New Roman"/>
      <w:b/>
      <w:sz w:val="32"/>
      <w:szCs w:val="32"/>
      <w:lang w:eastAsia="pl-PL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DC40FA"/>
    <w:rPr>
      <w:rFonts w:ascii="Trebuchet MS" w:eastAsia="Times New Roman" w:hAnsi="Trebuchet MS" w:cs="Times New Roman"/>
      <w:b/>
      <w:sz w:val="28"/>
      <w:szCs w:val="20"/>
      <w:lang w:eastAsia="pl-PL"/>
    </w:rPr>
  </w:style>
  <w:style w:type="character" w:customStyle="1" w:styleId="Heading3Char">
    <w:name w:val="Heading 3 Char"/>
    <w:basedOn w:val="DefaultParagraphFont"/>
    <w:link w:val="Heading3"/>
    <w:rsid w:val="00DC40FA"/>
    <w:rPr>
      <w:rFonts w:ascii="Arial" w:eastAsia="Times New Roman" w:hAnsi="Arial" w:cs="Times New Roman"/>
      <w:b/>
      <w:szCs w:val="20"/>
      <w:lang w:val="en-GB" w:eastAsia="pl-PL"/>
    </w:rPr>
  </w:style>
  <w:style w:type="character" w:customStyle="1" w:styleId="Heading4Char">
    <w:name w:val="Heading 4 Char"/>
    <w:aliases w:val="Map Title Char"/>
    <w:basedOn w:val="DefaultParagraphFont"/>
    <w:link w:val="Heading4"/>
    <w:rsid w:val="00DC40FA"/>
    <w:rPr>
      <w:rFonts w:ascii="Arial" w:eastAsia="Times New Roman" w:hAnsi="Arial" w:cs="Times New Roman"/>
      <w:b/>
      <w:szCs w:val="20"/>
      <w:lang w:val="en-GB" w:eastAsia="pl-PL"/>
    </w:rPr>
  </w:style>
  <w:style w:type="character" w:customStyle="1" w:styleId="Heading5Char">
    <w:name w:val="Heading 5 Char"/>
    <w:basedOn w:val="DefaultParagraphFont"/>
    <w:link w:val="Heading5"/>
    <w:rsid w:val="00DC40FA"/>
    <w:rPr>
      <w:rFonts w:ascii="Arial" w:eastAsia="Times New Roman" w:hAnsi="Arial" w:cs="Times New Roman"/>
      <w:szCs w:val="20"/>
      <w:lang w:val="en-GB" w:eastAsia="pl-PL"/>
    </w:rPr>
  </w:style>
  <w:style w:type="paragraph" w:styleId="Footer">
    <w:name w:val="footer"/>
    <w:basedOn w:val="Normal"/>
    <w:link w:val="FooterChar"/>
    <w:uiPriority w:val="99"/>
    <w:rsid w:val="00DC40FA"/>
    <w:pPr>
      <w:tabs>
        <w:tab w:val="right" w:pos="4320"/>
        <w:tab w:val="right" w:pos="8640"/>
      </w:tabs>
      <w:spacing w:before="0"/>
      <w:ind w:left="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C40FA"/>
    <w:rPr>
      <w:rFonts w:ascii="Arial" w:eastAsia="Times New Roman" w:hAnsi="Arial" w:cs="Times New Roman"/>
      <w:sz w:val="16"/>
      <w:szCs w:val="20"/>
      <w:lang w:val="en-GB" w:eastAsia="pl-PL"/>
    </w:rPr>
  </w:style>
  <w:style w:type="paragraph" w:styleId="Header">
    <w:name w:val="header"/>
    <w:basedOn w:val="Normal"/>
    <w:link w:val="HeaderChar"/>
    <w:uiPriority w:val="99"/>
    <w:rsid w:val="00DC40FA"/>
    <w:pPr>
      <w:tabs>
        <w:tab w:val="center" w:pos="4320"/>
        <w:tab w:val="right" w:pos="8640"/>
      </w:tabs>
      <w:spacing w:after="120"/>
      <w:ind w:left="0"/>
    </w:pPr>
  </w:style>
  <w:style w:type="character" w:customStyle="1" w:styleId="HeaderChar">
    <w:name w:val="Header Char"/>
    <w:basedOn w:val="DefaultParagraphFont"/>
    <w:link w:val="Header"/>
    <w:uiPriority w:val="99"/>
    <w:rsid w:val="00DC40FA"/>
    <w:rPr>
      <w:rFonts w:ascii="Arial" w:eastAsia="Times New Roman" w:hAnsi="Arial" w:cs="Times New Roman"/>
      <w:szCs w:val="20"/>
      <w:lang w:val="en-GB" w:eastAsia="pl-PL"/>
    </w:rPr>
  </w:style>
  <w:style w:type="paragraph" w:styleId="TOC1">
    <w:name w:val="toc 1"/>
    <w:basedOn w:val="Normal"/>
    <w:next w:val="Normal"/>
    <w:autoRedefine/>
    <w:uiPriority w:val="39"/>
    <w:rsid w:val="00DC40FA"/>
    <w:pPr>
      <w:spacing w:after="120"/>
      <w:ind w:left="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DC40FA"/>
    <w:pPr>
      <w:spacing w:before="0"/>
      <w:ind w:left="220"/>
    </w:pPr>
    <w:rPr>
      <w:rFonts w:asciiTheme="minorHAnsi" w:hAnsiTheme="minorHAnsi" w:cstheme="minorHAnsi"/>
      <w:smallCaps/>
      <w:sz w:val="20"/>
    </w:rPr>
  </w:style>
  <w:style w:type="paragraph" w:styleId="TOC3">
    <w:name w:val="toc 3"/>
    <w:basedOn w:val="TOC2"/>
    <w:next w:val="Normal"/>
    <w:autoRedefine/>
    <w:uiPriority w:val="39"/>
    <w:rsid w:val="00DC40FA"/>
    <w:pPr>
      <w:ind w:left="440"/>
    </w:pPr>
    <w:rPr>
      <w:i/>
      <w:iCs/>
      <w:smallCaps w:val="0"/>
    </w:rPr>
  </w:style>
  <w:style w:type="paragraph" w:styleId="BodyTextIndent">
    <w:name w:val="Body Text Indent"/>
    <w:basedOn w:val="Normal"/>
    <w:link w:val="BodyTextIndentChar"/>
    <w:rsid w:val="00DC40FA"/>
  </w:style>
  <w:style w:type="character" w:customStyle="1" w:styleId="BodyTextIndentChar">
    <w:name w:val="Body Text Indent Char"/>
    <w:basedOn w:val="DefaultParagraphFont"/>
    <w:link w:val="BodyTextIndent"/>
    <w:rsid w:val="00DC40FA"/>
    <w:rPr>
      <w:rFonts w:ascii="Arial" w:eastAsia="Times New Roman" w:hAnsi="Arial" w:cs="Times New Roman"/>
      <w:szCs w:val="20"/>
      <w:lang w:val="en-GB" w:eastAsia="pl-PL"/>
    </w:rPr>
  </w:style>
  <w:style w:type="paragraph" w:styleId="Title">
    <w:name w:val="Title"/>
    <w:basedOn w:val="Normal"/>
    <w:next w:val="Normal"/>
    <w:link w:val="TitleChar"/>
    <w:qFormat/>
    <w:rsid w:val="00DC40FA"/>
    <w:pPr>
      <w:spacing w:before="240"/>
      <w:ind w:left="0"/>
      <w:jc w:val="center"/>
    </w:pPr>
    <w:rPr>
      <w:b/>
      <w:kern w:val="28"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DC40FA"/>
    <w:rPr>
      <w:rFonts w:ascii="Arial" w:eastAsia="Times New Roman" w:hAnsi="Arial" w:cs="Times New Roman"/>
      <w:b/>
      <w:kern w:val="28"/>
      <w:sz w:val="32"/>
      <w:szCs w:val="20"/>
      <w:u w:val="single"/>
      <w:lang w:val="en-GB" w:eastAsia="pl-PL"/>
    </w:rPr>
  </w:style>
  <w:style w:type="character" w:styleId="PageNumber">
    <w:name w:val="page number"/>
    <w:basedOn w:val="DefaultParagraphFont"/>
    <w:rsid w:val="00DC40FA"/>
  </w:style>
  <w:style w:type="table" w:styleId="TableGrid">
    <w:name w:val="Table Grid"/>
    <w:basedOn w:val="TableNormal"/>
    <w:rsid w:val="00DC40FA"/>
    <w:pPr>
      <w:spacing w:before="120" w:after="0" w:line="240" w:lineRule="auto"/>
      <w:ind w:left="864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DC40FA"/>
    <w:rPr>
      <w:color w:val="0000FF"/>
      <w:u w:val="single"/>
    </w:rPr>
  </w:style>
  <w:style w:type="paragraph" w:customStyle="1" w:styleId="Body">
    <w:name w:val="Body"/>
    <w:basedOn w:val="Normal"/>
    <w:link w:val="BodyChar"/>
    <w:qFormat/>
    <w:rsid w:val="00DC40FA"/>
    <w:pPr>
      <w:spacing w:before="0" w:after="120"/>
      <w:ind w:left="0"/>
      <w:jc w:val="both"/>
    </w:pPr>
    <w:rPr>
      <w:rFonts w:ascii="Times New Roman" w:hAnsi="Times New Roman"/>
      <w:szCs w:val="24"/>
      <w:lang w:val="hu-HU" w:eastAsia="hu-HU"/>
    </w:rPr>
  </w:style>
  <w:style w:type="character" w:customStyle="1" w:styleId="BodyChar">
    <w:name w:val="Body Char"/>
    <w:basedOn w:val="DefaultParagraphFont"/>
    <w:link w:val="Body"/>
    <w:rsid w:val="00DC40FA"/>
    <w:rPr>
      <w:rFonts w:ascii="Times New Roman" w:eastAsia="Times New Roman" w:hAnsi="Times New Roman" w:cs="Times New Roman"/>
      <w:szCs w:val="24"/>
      <w:lang w:eastAsia="hu-HU"/>
    </w:rPr>
  </w:style>
  <w:style w:type="character" w:styleId="Strong">
    <w:name w:val="Strong"/>
    <w:qFormat/>
    <w:rsid w:val="00DC40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40FA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1839</Words>
  <Characters>10483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Onder Péter</dc:creator>
  <cp:keywords/>
  <dc:description/>
  <cp:lastModifiedBy>Rádi Ildikó</cp:lastModifiedBy>
  <cp:revision>2</cp:revision>
  <dcterms:created xsi:type="dcterms:W3CDTF">2018-06-22T06:28:00Z</dcterms:created>
  <dcterms:modified xsi:type="dcterms:W3CDTF">2018-06-22T06:28:00Z</dcterms:modified>
</cp:coreProperties>
</file>