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24, 2026</w:t>
      </w:r>
    </w:p>
    <w:p>
      <w:pPr>
        <w:pStyle w:val="BodyText"/>
      </w:pPr>
      <w:r>
        <w:t xml:space="preserve">XBOW Hiring Team</w:t>
      </w:r>
    </w:p>
    <w:p>
      <w:pPr>
        <w:pStyle w:val="BodyText"/>
      </w:pPr>
      <w:r>
        <w:rPr>
          <w:b/>
          <w:bCs/>
        </w:rPr>
        <w:t xml:space="preserve">Re: Head of GTM Strategy</w:t>
      </w:r>
    </w:p>
    <w:p>
      <w:pPr>
        <w:pStyle w:val="BodyText"/>
      </w:pPr>
      <w:r>
        <w:t xml:space="preserve">Hello team,</w:t>
      </w:r>
    </w:p>
    <w:p>
      <w:pPr>
        <w:pStyle w:val="BodyText"/>
      </w:pPr>
      <w:r>
        <w:t xml:space="preserve">XBOW’s mission struck me. The world’s first autonomous AI pentester is the kind of category-defining bet that gets bought because it changes the security buyer’s economics, not because it ships more features than the incumbent. Really interesting positioning and I am very interested in learning more.</w:t>
      </w:r>
    </w:p>
    <w:p>
      <w:pPr>
        <w:pStyle w:val="BodyText"/>
      </w:pPr>
      <w:r>
        <w:t xml:space="preserve">Direct fit:</w:t>
      </w:r>
    </w:p>
    <w:p>
      <w:pPr>
        <w:numPr>
          <w:ilvl w:val="0"/>
          <w:numId w:val="1001"/>
        </w:numPr>
      </w:pPr>
      <w:r>
        <w:t xml:space="preserve">25 years US enterprise sales, $150M+ career revenue, with a security foundation that runs deep. Five years at AT&amp;T selling Global Wide Area Networks plus the entire AT&amp;T security portfolio (Managed Security Services, Managed Firewall, IDS/IPS, AVPN over MPLS, ANIRA), and 16 months at CDK Global selling Fortinet NGFW and Cisco Meraki direct to a 27,000+ multi-location regulated franchise dealer base. CCNA and CMNA certified.</w:t>
      </w:r>
    </w:p>
    <w:p>
      <w:pPr>
        <w:numPr>
          <w:ilvl w:val="0"/>
          <w:numId w:val="1001"/>
        </w:numPr>
      </w:pPr>
      <w:r>
        <w:t xml:space="preserve">$24M TCV at Ushur in under two years as IC, including the largest deal in company history (~$10M TCV) via formal RFP. Ushur was AI and automation applied to enterprise healthcare buyers across health plans, payer authorities, and large provider organizations, so the agentic-AI go-to-market thesis is muscle memory, not theory.</w:t>
      </w:r>
    </w:p>
    <w:p>
      <w:pPr>
        <w:numPr>
          <w:ilvl w:val="0"/>
          <w:numId w:val="1001"/>
        </w:numPr>
      </w:pPr>
      <w:r>
        <w:t xml:space="preserve">5.5 years at UKG running healthcare strategic accounts. 150%+ average quota attainment, multiple Legend Maker awards. Concurrent CustomerCentric Selling Coach since 2014, 12 years building team-level deal discipline at client companies.</w:t>
      </w:r>
    </w:p>
    <w:p>
      <w:pPr>
        <w:numPr>
          <w:ilvl w:val="0"/>
          <w:numId w:val="1001"/>
        </w:numPr>
      </w:pPr>
      <w:r>
        <w:t xml:space="preserve">Founder of Jozu Consulting Group. The Jozu Enterprise Revenue System took shape during my time at Kronos (now UKG), where precision execution of Power Messaging and Plan Letter discipline was the operational standard.</w:t>
      </w:r>
    </w:p>
    <w:p>
      <w:pPr>
        <w:pStyle w:val="FirstParagraph"/>
      </w:pPr>
      <w:r>
        <w:t xml:space="preserve">An XBOW-specific observation. Autonomous pentest changes the buying conversation from</w:t>
      </w:r>
      <w:r>
        <w:t xml:space="preserve"> </w:t>
      </w:r>
      <w:r>
        <w:t xml:space="preserve">“tool we evaluate”</w:t>
      </w:r>
      <w:r>
        <w:t xml:space="preserve"> </w:t>
      </w:r>
      <w:r>
        <w:t xml:space="preserve">to</w:t>
      </w:r>
      <w:r>
        <w:t xml:space="preserve"> </w:t>
      </w:r>
      <w:r>
        <w:t xml:space="preserve">“outcome we contract for.”</w:t>
      </w:r>
      <w:r>
        <w:t xml:space="preserve"> </w:t>
      </w:r>
      <w:r>
        <w:t xml:space="preserve">The GTM motion has to lead with the economic case the autonomous workflow unlocks (red-team coverage at fraction-of-headcount cost, continuous testing posture versus point-in-time audit), not with the AI architecture. That is a coachable habit, and it compounds.</w:t>
      </w:r>
    </w:p>
    <w:p>
      <w:pPr>
        <w:pStyle w:val="BodyText"/>
      </w:pPr>
      <w:r>
        <w:t xml:space="preserve">I built a 90-day plan for this role and would love to share it with you. 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2026-04-25T06:13:05Z</dcterms:created>
  <dcterms:modified xsi:type="dcterms:W3CDTF">2026-04-25T06:13:05Z</dcterms:modified>
</cp:coreProperties>
</file>

<file path=docProps/custom.xml><?xml version="1.0" encoding="utf-8"?>
<Properties xmlns="http://schemas.openxmlformats.org/officeDocument/2006/custom-properties" xmlns:vt="http://schemas.openxmlformats.org/officeDocument/2006/docPropsVTypes"/>
</file>