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Founding Director of Sales, Regulated Industries (US)</w:t>
      </w:r>
    </w:p>
    <w:p>
      <w:pPr>
        <w:pStyle w:val="BodyText"/>
      </w:pPr>
      <w:r>
        <w:t xml:space="preserve">Hello Ari and Carlos,</w:t>
      </w:r>
    </w:p>
    <w:p>
      <w:pPr>
        <w:pStyle w:val="BodyText"/>
      </w:pPr>
      <w:r>
        <w:t xml:space="preserve">Alinia’s mission struck me. Compliance infrastructure for AI agents in regulated industries is the gating layer that determines whether enterprise AI ships at all in financial services and healthcare. Santander as your flagship is the proof that you have already cleared the hardest bar in the category.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regulated-buyer pattern you are hiring for is the lane I know best. At Ushur (Customer Experience Automation powered by AI), I closed $24M TCV in under two years as an individual contributor, including the largest deal in company history at ~$10M TCV via formal RFP with a public health authority operating Medicare Advantage and dual-eligible managed care lines. The motion behind that deal (multi-stakeholder buying committee, compliance and audit defensibility, financial framing in the buyer’s own language, procurement officer becoming an internal advocate) is the same motion regulated FSI buyers run. Alongside it, my Ushur book reframed a $200K commoditized RFP into a $1.4M ARR three-year subscription at a California health plan, and converted a $30K OCR ask at a national radiology organization into a $7M revenue infrastructure deal. Each was a category-defining first-enterprise-contract motion.</w:t>
      </w:r>
    </w:p>
    <w:p>
      <w:pPr>
        <w:pStyle w:val="BodyText"/>
      </w:pPr>
      <w:r>
        <w:t xml:space="preserve">What I would bring on day one is the Jozu Enterprise Revenue System: structured Discovery, Power Messaging, Plan Letter discipline, Mutual Sequence of Events. The system took shape during 5.5 years at Kronos (now UKG), where precision execution at the enterprise bar was the operational standard, and was refined through concurrent CustomerCentric Selling coaching since 2014. I have run MEDDPICC at every Ushur and UKG account.</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compliance officer both need. That is the kind of selling that earns reference customers, not just closed deals.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w:t>
      </w:r>
    </w:p>
    <w:p>
      <w:pPr>
        <w:pStyle w:val="BodyText"/>
      </w:pPr>
      <w:r>
        <w:t xml:space="preserve">The founding GTM hire at Alinia is the most consequential hire you will make in the next five years. The product already has the technical bar; Santander on the customer roster proves that. The open question is whether the market reads AI agent compliance as a category or as a feature, and that reading gets shaped in the first fifty enterprise sales conversations. The combination of first-GTM-hire scope, reports-to-CEO autonomy, and a regulated-industries entry vertical with the Santander proof point is the rarest setup I have seen for that translation work. I would like to be the person running those conversations, because it would also be the most consequential work of mine in the same window.</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Coeur d’Alene, Idaho, with full mobility for East Coast travel cadence.</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2026-04-25T16:44:32Z</dcterms:created>
  <dcterms:modified xsi:type="dcterms:W3CDTF">2026-04-25T16:44:32Z</dcterms:modified>
</cp:coreProperties>
</file>

<file path=docProps/custom.xml><?xml version="1.0" encoding="utf-8"?>
<Properties xmlns="http://schemas.openxmlformats.org/officeDocument/2006/custom-properties" xmlns:vt="http://schemas.openxmlformats.org/officeDocument/2006/docPropsVTypes"/>
</file>