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Founding Director of Sales, Regulated Industries (US)</w:t>
      </w:r>
    </w:p>
    <w:p>
      <w:pPr>
        <w:pStyle w:val="BodyText"/>
      </w:pPr>
      <w:r>
        <w:t xml:space="preserve">Hello Ari and Carlos,</w:t>
      </w:r>
    </w:p>
    <w:p>
      <w:pPr>
        <w:pStyle w:val="BodyText"/>
      </w:pPr>
      <w:r>
        <w:t xml:space="preserve">Alinia’s mission struck me. Compliance infrastructure for AI agents in regulated industries is the gating layer that determines whether enterprise AI ships at all in financial services and healthcare. Santander as your flagship is the proof that you have already cleared the hardest bar in the category.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regulated-buyer pattern you are hiring for is the lane I know best. At Ushur (Customer Experience Automation powered by AI), I closed $24M TCV in under two years as an individual contributor, including the largest deal in company history at ~$10M TCV via formal RFP with a public health authority operating Medicare Advantage and dual-eligible managed care lines. The motion behind that deal (multi-stakeholder buying committee, compliance and audit defensibility, financial framing in the buyer’s own language, procurement officer becoming an internal advocate) is the same motion regulated FSI buyers run. Alongside it, my Ushur book reframed a $200K commoditized RFP into a $1.4M ARR three-year subscription at a California health plan, and converted a $30K OCR ask at a national radiology organization into a $7M revenue infrastructure deal. Each was a category-defining first-enterprise-contract motion.</w:t>
      </w:r>
    </w:p>
    <w:p>
      <w:pPr>
        <w:pStyle w:val="BodyText"/>
      </w:pPr>
      <w:r>
        <w:t xml:space="preserve">What I would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compliance officer both need. That is the kind of selling that earns reference customers, not just closed deals.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founding GTM hire at Alinia is the most consequential hire you will make in the next five years. The product already has the technical bar; Santander on the customer roster proves that. The open question is whether the market reads AI agent compliance as a category or as a feature, and that reading gets shaped in the first fifty enterprise sales conversations. The combination of first-GTM-hire scope, reports-to-CEO autonomy, and a regulated-industries entry vertical with the Santander proof point is the rarest setup I have seen for that translation work. I would like to be the person running those conversations, because it would also be the most consequential work of mine in the same window.</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Coeur d’Alene, Idaho, with full mobility for East Coast travel cadence.</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2026-04-25T16:54:29Z</dcterms:created>
  <dcterms:modified xsi:type="dcterms:W3CDTF">2026-04-25T16:54:29Z</dcterms:modified>
</cp:coreProperties>
</file>

<file path=docProps/custom.xml><?xml version="1.0" encoding="utf-8"?>
<Properties xmlns="http://schemas.openxmlformats.org/officeDocument/2006/custom-properties" xmlns:vt="http://schemas.openxmlformats.org/officeDocument/2006/docPropsVTypes"/>
</file>