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Head of Sales (Series A Healthtech)</w:t>
      </w:r>
    </w:p>
    <w:p>
      <w:pPr>
        <w:pStyle w:val="BodyText"/>
      </w:pPr>
      <w:r>
        <w:t xml:space="preserve">Hello Craniometrix team,</w:t>
      </w:r>
    </w:p>
    <w:p>
      <w:pPr>
        <w:pStyle w:val="BodyText"/>
      </w:pPr>
      <w:r>
        <w:t xml:space="preserve">Craniometrix’s mission struck me. AI-powered dementia care navigation aligned to the Medicare GUIDE Model, in partnership with Johns Hopkins MIND at Home, is the rare healthtech that lands at the intersection of clinical outcomes, federal-incentive economics, and payer accountability. From zero to $6M ARR in nine months tells me the buyers already see the value. The next constraint is enterprise sales discipline that can compound the motion.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Medicare-line, payer-and-provider, multi-stakeholder healthcare buyer is the lane I know best. At Ushur (Customer Experience Automation powered by AI), I closed $24M TCV in under two years as an individual contributor, including the largest deal in company history at ~$10M TCV via formal RFP with a public health authority operating Medicare Advantage and dual-eligible managed care lines. The motion behind that deal (multi-stakeholder buying committee, MLR-language financial framing, audit defensibility, procurement officer becoming an internal advocate) is exactly the motion Medicare GUIDE Model buyers run. Alongside it, my Ushur book reframed a $200K commoditized RFP into a $1.4M ARR three-year subscription at a California health plan, and converted a $25K OCR ask at a national radiology organization into a $1.6M ARR enterprise revenue operations platform. Each was a category-defining first-enterprise-contract motion.</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clinical operations leader both need. That is the kind of selling that earns reference customers, not just closed deals.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Head of Sales hire at this stage of Craniometrix is the most consequential GTM hire you will make in the next five years. The product-market fit is undeniable; zero to $6M ARR in nine months is the proof that you have already cleared the hardest bar. The question now is whether the next ten enterprise contracts come in as commoditized AI-software evaluations or as operational-readiness commitments tied to the GUIDE Model economics buyers already need to defend. The half-IC half-team-build scope of this role is exactly the player-coach motion I run.</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I am based in Coeur d’Alene, Idaho, with full mobility for New York, customer-site cadence, and Johns Hopkins partnership coordination as the role requires.</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2026-04-26T00:36:01Z</dcterms:created>
  <dcterms:modified xsi:type="dcterms:W3CDTF">2026-04-26T00:36:01Z</dcterms:modified>
</cp:coreProperties>
</file>

<file path=docProps/custom.xml><?xml version="1.0" encoding="utf-8"?>
<Properties xmlns="http://schemas.openxmlformats.org/officeDocument/2006/custom-properties" xmlns:vt="http://schemas.openxmlformats.org/officeDocument/2006/docPropsVTypes"/>
</file>