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Head of Global Sales (US build)</w:t>
      </w:r>
    </w:p>
    <w:p>
      <w:pPr>
        <w:pStyle w:val="BodyText"/>
      </w:pPr>
      <w:r>
        <w:t xml:space="preserve">Hello Lovable team,</w:t>
      </w:r>
    </w:p>
    <w:p>
      <w:pPr>
        <w:pStyle w:val="BodyText"/>
      </w:pPr>
      <w:r>
        <w:t xml:space="preserve">Lovable’s mission struck me. Letting anyone build software in any language at the velocity you are running is the rare PLG motion that becomes enterprise-grade because the bottom-up usage signal is undeniable, not because the sales team manufactures one. With over 2 million users in 200+ countries, the question now is whether the US enterprise wedge gets built with the same discipline that earned the user base.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build-NA-GTM-team-from-zero motion is the work I do best. At UKG I ran healthcare strategic accounts for 5.5 years averaging 150%+ quota with multiple Legend Maker awards, concurrently coaching enterprise sales teams as a CustomerCentric Selling Coach since 2014. At Ushur I closed $24M TCV in under two years as an individual contributor, including the largest deal in company history at ~$10M TCV via formal RFP, on top of a $200K commoditized RFP reframed into a $1.4M ARR three-year subscription at a California health plan, and a $30K OCR ask converted into a $7M revenue infrastructure deal at a national radiology organization. Each was a category-defining first-enterprise-contract motion at a venture-stage company in scale-up phase.</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 The 12-year coaching track is also the answer to</w:t>
      </w:r>
      <w:r>
        <w:t xml:space="preserve"> </w:t>
      </w:r>
      <w:r>
        <w:t xml:space="preserve">“exceptional coach who develops AEs through structure, feedback, and accountability.”</w:t>
      </w:r>
      <w:r>
        <w:t xml:space="preserve"> </w:t>
      </w:r>
      <w:r>
        <w:t xml:space="preserve">That is literally the work I have been doing on the side of full-time roles for over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finance officer both need. That is the kind of selling that earns reference customers, not just closed deals. At the velocity Lovable is running, reference customers compound the brand more than headcount does.</w:t>
      </w:r>
    </w:p>
    <w:p>
      <w:pPr>
        <w:pStyle w:val="BodyText"/>
      </w:pPr>
      <w:r>
        <w:t xml:space="preserve">What excites me about this seat goes beyond the strategic fit. I love building. Building Ushur from a regional book to $24M TCV in two years was the most fun stretch of my career, because the work was translating capability into economic outcome in each buyer’s own language, account by account. That translation work is what I wake up excited to do.</w:t>
      </w:r>
    </w:p>
    <w:p>
      <w:pPr>
        <w:pStyle w:val="BodyText"/>
      </w:pPr>
      <w:r>
        <w:t xml:space="preserve">The Head of Global Sales hire at this stage of Lovable is the most consequential GTM hire you will make in the next five years. The product-market fit is undeniable; two million users in 200+ countries is the proof that you have already cleared the hardest bar. The open question is whether the enterprise tier reads Lovable as</w:t>
      </w:r>
      <w:r>
        <w:t xml:space="preserve"> </w:t>
      </w:r>
      <w:r>
        <w:t xml:space="preserve">“developer tool”</w:t>
      </w:r>
      <w:r>
        <w:t xml:space="preserve"> </w:t>
      </w:r>
      <w:r>
        <w:t xml:space="preserve">or as</w:t>
      </w:r>
      <w:r>
        <w:t xml:space="preserve"> </w:t>
      </w:r>
      <w:r>
        <w:t xml:space="preserve">“the new way enterprise teams build software,”</w:t>
      </w:r>
      <w:r>
        <w:t xml:space="preserve"> </w:t>
      </w:r>
      <w:r>
        <w:t xml:space="preserve">and that reading gets shaped in the first fifty enterprise sales conversations and in the way the team is coached to run them. I would like to be the person designing those conversations, hiring and coaching the team, and locking the GTM motion that takes Lovable from fast-growth to category dominance.</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I am based in Coeur d’Alene, Idaho, with full mobility for Stockholm, Boston, SF, and US-customer cadence as needed. Operating base plus travel calibrated to the customer-coverage model.</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2026-04-25T17:03:24Z</dcterms:created>
  <dcterms:modified xsi:type="dcterms:W3CDTF">2026-04-25T17:03:24Z</dcterms:modified>
</cp:coreProperties>
</file>

<file path=docProps/custom.xml><?xml version="1.0" encoding="utf-8"?>
<Properties xmlns="http://schemas.openxmlformats.org/officeDocument/2006/custom-properties" xmlns:vt="http://schemas.openxmlformats.org/officeDocument/2006/docPropsVTypes"/>
</file>