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Founding Head of Sales</w:t>
      </w:r>
    </w:p>
    <w:p>
      <w:pPr>
        <w:pStyle w:val="BodyText"/>
      </w:pPr>
      <w:r>
        <w:t xml:space="preserve">Hello Ryan,</w:t>
      </w:r>
    </w:p>
    <w:p>
      <w:pPr>
        <w:pStyle w:val="BodyText"/>
      </w:pPr>
      <w:r>
        <w:t xml:space="preserve">Snowball’s positioning struck me. The thesis you keep returning to in interviews, that brands have great products and tell garbage stories on their channels, and that owned media compounds while paid attention rents itself back every quarter, is the same balance-sheet argument I have been making to enterprise CFOs for 25 years, just dressed in a different vertical. The Proton trajectory and the Nectar HR organic break-out are the case-study proofs that translate the thesis into hard numbers, which is the same shape of evidence I bring into a procurement room.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build-NA-GTM-from-zero motion is the work I do best. At Ushur I closed $24M TCV in under two years as an individual contributor, including the largest deal in company history at just under $10M TCV via formal RFP at a Medicaid health plan, on top of a $200K commoditized RFP reframed into $1.4M ARR at a 600,000-member health plan, and a $30K OCR ask converted into a $1.6M ARR revenue infrastructure deal at a national radiology organization that displaced the incumbent patient-engagement vendor. Each was a category-defining first-enterprise-contract motion at a venture-stage company in scale-up phase. Five and a half years before that at Kronos, now UKG, carrying 150 percent plus average quota and earning multiple Legend Maker awards. Five years at AT&amp;T selling Global Wide Area Networks with the entire AT&amp;T security portfolio attached to the WAN sell. CustomerCentric Selling Coach since 2014, twelve years and running.</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 The 12-year coaching track is also the answer to what a founding sales leader has to do for an AE team that does not exist yet. Hire, install discipline, run accountability cadence, develop the next layer of operators. That is the work I have been doing on the side of full-time roles for over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finance officer both need. The same instinct that turned a $25K OCR scoping into a $1.6M ARR revenue infrastructure deal is what brand CMOs need running point on the inbound 30 a month coming through your channels right now. Procurement trying to commoditize the unit. A CFO holding the budget. An incumbent agency in the way. A short-window test buy on top of a long-window strategic question about whether the brand becomes a studio. Different language. Same physics.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 and the brand-CMO conversation Snowball is selling is the same translation work at a different surface.</w:t>
      </w:r>
    </w:p>
    <w:p>
      <w:pPr>
        <w:pStyle w:val="BodyText"/>
      </w:pPr>
      <w:r>
        <w:t xml:space="preserve">The Founding Head of Sales hire at this stage of Snowball is the most consequential GTM hire you will make in the next five years. The product-market fit is undeniable. Proton, Nectar HR, and the WIRED-Vogue-Mini-Katana team pedigree have already cleared the hardest bar. The category question now is positioning. Do brand CMOs read Snowball as one more YouTube agency, or as the firm that turns brands into studios and exits when the team is set for life? The answer gets written in the first fifty enterprise conversations and in how the AE team is coached to run them. I would like to be the person designing those conversations, hiring and coaching the team, and locking the GTM motion that takes Snowball from in-demand to inevitable.</w:t>
      </w:r>
    </w:p>
    <w:p>
      <w:pPr>
        <w:pStyle w:val="BodyText"/>
      </w:pPr>
      <w:r>
        <w:t xml:space="preserve">I have built a 90-day plan for this role. The Loom video walks the milestones. The methodology behind each milestone is the conversation. Either way, time well spent.</w:t>
      </w:r>
    </w:p>
    <w:p>
      <w:pPr>
        <w:pStyle w:val="BodyText"/>
      </w:pPr>
      <w:r>
        <w:t xml:space="preserve">On location: I am based in Coeur d’Alene, Idaho, with full mobility for LA, SF, NYC, and US-customer cadence as needed. Operating base plus travel calibrated to the customer-coverage model.</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2026-04-26T01:09:13Z</dcterms:created>
  <dcterms:modified xsi:type="dcterms:W3CDTF">2026-04-26T01:09:13Z</dcterms:modified>
</cp:coreProperties>
</file>

<file path=docProps/custom.xml><?xml version="1.0" encoding="utf-8"?>
<Properties xmlns="http://schemas.openxmlformats.org/officeDocument/2006/custom-properties" xmlns:vt="http://schemas.openxmlformats.org/officeDocument/2006/docPropsVTypes"/>
</file>