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Head of Sales — Vindexa (first sales hire), AI Fund</w:t>
      </w:r>
    </w:p>
    <w:p>
      <w:pPr>
        <w:pStyle w:val="BodyText"/>
      </w:pPr>
      <w:r>
        <w:t xml:space="preserve">Hello team,</w:t>
      </w:r>
    </w:p>
    <w:p>
      <w:pPr>
        <w:pStyle w:val="BodyText"/>
      </w:pPr>
      <w:r>
        <w:t xml:space="preserve">Vindexa’s mission struck me. AI-powered compliance verification for the Inflation Reduction Act is the gating layer that determines whether clean energy capital deploys cleanly or stalls in audit risk. The buyers (utilities, project developers, EPCs, asset owners, tax-credit transferees, the IRS-adjacent verification ecosystem) all run multi-stakeholder procurement under federal-incentive scrutiny. That is the exact buying environment I have spent my career closing into.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regulated, audit-defensible, multi-stakeholder buyer is the lane I know best. At Ushur (Customer Experience Automation powered by AI), I closed $24M TCV in under two years as an individual contributor, including the largest deal in company history at ~$10M TCV via formal RFP with a public health authority operating Medicare Advantage and dual-eligible managed care lines. The motion behind that deal (multi-stakeholder buying committee, compliance and audit defensibility, financial framing in the buyer’s own language, procurement officer becoming an internal advocate) is the same motion IRA-compliance buyers will run. Alongside it, my Ushur book reframed a $200K commoditized RFP into a $1.4M ARR three-year subscription at a California health plan, and converted a $25K OCR ask at a national radiology organization into a $1.6M ARR enterprise revenue operations platform. Each was a category-defining first-enterprise-contract motion.</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compliance officer both need. That is the kind of selling that earns reference customers, not just closed deals.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first sales hire at Vindexa is the most consequential GTM hire you will make in the next five years. The technical bar is met (Andrew Ng’s portfolio carries that on its face). The open question is whether the market reads Vindexa as a compliance feature, or as the gating layer for IRA-verified clean energy capital, and that reading gets shaped in the first fifty enterprise sales conversations. I would like to be the person designing those conversations and locking the GTM motion that takes Vindexa from first-hire-stage to category dominance in the clean-energy compliance lane.</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I am based in Coeur d’Alene, Idaho, with full mobility for Santa Monica, San Francisco, and US-customer cadence as the role requires. Operating base plus travel calibrated to the customer-coverage model.</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2026-04-26T00:22:43Z</dcterms:created>
  <dcterms:modified xsi:type="dcterms:W3CDTF">2026-04-26T00:22:43Z</dcterms:modified>
</cp:coreProperties>
</file>

<file path=docProps/custom.xml><?xml version="1.0" encoding="utf-8"?>
<Properties xmlns="http://schemas.openxmlformats.org/officeDocument/2006/custom-properties" xmlns:vt="http://schemas.openxmlformats.org/officeDocument/2006/docPropsVTypes"/>
</file>