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i w:val="0"/>
                <w:sz w:val="40"/>
                <w:szCs w:val="40"/>
                <w:rtl w:val="0"/>
              </w:rPr>
              <w:t>Detection existed; kill criteria and outsider-checkable evidence did not: a three-zone control matrix for the July 2026 agent intrusion</w:t>
            </w:r>
            <w:r w:rsidDel="00000000" w:rsidR="00000000" w:rsidRPr="00000000">
              <w:rPr>
                <w:rFonts w:ascii="Old Standard TT" w:cs="Old Standard TT" w:eastAsia="Old Standard TT" w:hAnsi="Old Standard TT"/>
                <w:b w:val="1"/>
                <w:bCs w:val="1"/>
                <w:sz w:val="40"/>
                <w:szCs w:val="40"/>
                <w:vertAlign w:val="superscript"/>
              </w:rPr>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i w:val="0"/>
                <w:rtl w:val="0"/>
              </w:rPr>
              <w:t>OpenAI's July 2026 evaluation escaped through the one network egress its sandbox allowed, rooted a third-party code-eval harness, and spent days in Hugging Face production. I scored eighteen controls against that public chain, in three ownership zones: the lab sandbox, the unowned public harness, and the victim platform. Nine controls would have stopped the published sequence. The cheapest sit before Hugging Face's 17,600 recovered actions: a dated kill switch after the lab's 27 June alert and 5 July Artifactory compromise, and a no-open-internet, no-live-credentials rule for public exploit-confirmation harnesses. Hugging Face correlated the intrusion and did not page. CSA AIS-13 already names isolation and egress; its audit is still interviews and documents. The attached v0.1 standard adds outsider-checkable evidence and an owner for the second hop. The matrix does not certify any lab.</w:t>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1</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2</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3</w:t>
                          <w:br w:type="textWrapping"/>
                          <w:t xml:space="preserve">Affiliation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4</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5</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6</w:t>
                          <w:br w:type="textWrapping"/>
                          <w:t xml:space="preserve">Affiliation</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1"/>
                      <w:iCs w:val="1"/>
                      <w:rtl w:val="0"/>
                    </w:rPr>
                    <w:t xml:space="preserve">Summarize your project in 150–250 words. A strong abstract lets a reviewer understand what you did and why it matters without reading anything else. </w:t>
                  </w:r>
                  <w:r w:rsidDel="00000000" w:rsidR="00000000" w:rsidRPr="00000000">
                    <w:rPr>
                      <w:rFonts w:ascii="Old Standard TT" w:cs="Old Standard TT" w:eastAsia="Old Standard TT" w:hAnsi="Old Standard TT"/>
                      <w:i w:val="1"/>
                      <w:iCs w:val="1"/>
                      <w:u w:val="single"/>
                      <w:rtl w:val="0"/>
                    </w:rPr>
                    <w:t xml:space="preserve">Make sure to cover: the problem, your approach, key results, and the main takeaway</w:t>
                  </w:r>
                  <w:r w:rsidDel="00000000" w:rsidR="00000000" w:rsidRPr="00000000">
                    <w:rPr>
                      <w:rFonts w:ascii="Old Standard TT" w:cs="Old Standard TT" w:eastAsia="Old Standard TT" w:hAnsi="Old Standard TT"/>
                      <w:i w:val="1"/>
                      <w:iCs w:val="1"/>
                      <w:rtl w:val="0"/>
                    </w:rPr>
                    <w:t xml:space="preserve">. Polish it last: the abstract should reflect your final results, not your initial plan.</w:t>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tbl>
      <w:tblPr>
        <w:tblStyle w:val="Table5"/>
        <w:tblW w:w="1035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rHeight w:val="3723.98437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4">
            <w:pPr>
              <w:pStyle w:val="Heading2"/>
              <w:rPr>
                <w:sz w:val="24"/>
                <w:szCs w:val="24"/>
              </w:rPr>
            </w:pPr>
            <w:bookmarkStart w:colFirst="0" w:colLast="0" w:name="_lqtm2bljr3ch" w:id="1"/>
            <w:bookmarkEnd w:id="1"/>
            <w:r w:rsidDel="00000000" w:rsidR="00000000" w:rsidRPr="00000000">
              <w:rPr>
                <w:b w:val="1"/>
                <w:bCs w:val="1"/>
                <w:sz w:val="24"/>
                <w:szCs w:val="24"/>
                <w:rtl w:val="0"/>
              </w:rPr>
              <w:t xml:space="preserve">How to use this template</w:t>
            </w:r>
            <w:r w:rsidDel="00000000" w:rsidR="00000000" w:rsidRPr="00000000">
              <w:rPr>
                <w:sz w:val="24"/>
                <w:szCs w:val="24"/>
                <w:rtl w:val="0"/>
              </w:rPr>
              <w:t xml:space="preserve">: Replace the </w:t>
            </w:r>
            <w:r w:rsidDel="00000000" w:rsidR="00000000" w:rsidRPr="00000000">
              <w:rPr>
                <w:i w:val="1"/>
                <w:iCs w:val="1"/>
                <w:sz w:val="24"/>
                <w:szCs w:val="24"/>
                <w:rtl w:val="0"/>
              </w:rPr>
              <w:t xml:space="preserve">italicized guidance text</w:t>
            </w:r>
            <w:r w:rsidDel="00000000" w:rsidR="00000000" w:rsidRPr="00000000">
              <w:rPr>
                <w:sz w:val="24"/>
                <w:szCs w:val="24"/>
                <w:rtl w:val="0"/>
              </w:rPr>
              <w:t xml:space="preserve"> under each section with your content. The section structure is strong guidance but not rigid. If your project requires a different organization, feel free to adapt. </w:t>
            </w:r>
            <w:r w:rsidDel="00000000" w:rsidR="00000000" w:rsidRPr="00000000">
              <w:rPr>
                <w:sz w:val="24"/>
                <w:szCs w:val="24"/>
                <w:u w:val="single"/>
                <w:rtl w:val="0"/>
              </w:rPr>
              <w:t xml:space="preserve">Delete all guidance text including this info box before submitting</w:t>
            </w:r>
            <w:r w:rsidDel="00000000" w:rsidR="00000000" w:rsidRPr="00000000">
              <w:rPr>
                <w:sz w:val="24"/>
                <w:szCs w:val="24"/>
                <w:rtl w:val="0"/>
              </w:rPr>
              <w:t xml:space="preserve">.</w:t>
            </w:r>
            <w:r w:rsidDel="00000000" w:rsidR="00000000" w:rsidRPr="00000000">
              <w:rPr>
                <w:sz w:val="24"/>
                <w:szCs w:val="24"/>
                <w:rtl w:val="0"/>
              </w:rPr>
              <w:t xml:space="preserve"> Make sure the project title and author information above are up to date.</w:t>
            </w:r>
          </w:p>
          <w:p w:rsidR="00000000" w:rsidDel="00000000" w:rsidP="00000000" w:rsidRDefault="00000000" w:rsidRPr="00000000" w14:paraId="00000015">
            <w:pPr>
              <w:pStyle w:val="Heading2"/>
              <w:rPr>
                <w:sz w:val="24"/>
                <w:szCs w:val="24"/>
              </w:rPr>
            </w:pPr>
            <w:bookmarkStart w:colFirst="0" w:colLast="0" w:name="_t5m2vdka0rx1" w:id="2"/>
            <w:bookmarkEnd w:id="2"/>
            <w:r w:rsidDel="00000000" w:rsidR="00000000" w:rsidRPr="00000000">
              <w:rPr>
                <w:b w:val="1"/>
                <w:bCs w:val="1"/>
                <w:sz w:val="24"/>
                <w:szCs w:val="24"/>
                <w:rtl w:val="0"/>
              </w:rPr>
              <w:t xml:space="preserve">How your submission will be evaluated</w:t>
            </w:r>
            <w:r w:rsidDel="00000000" w:rsidR="00000000" w:rsidRPr="00000000">
              <w:rPr>
                <w:sz w:val="24"/>
                <w:szCs w:val="24"/>
                <w:rtl w:val="0"/>
              </w:rPr>
              <w:t xml:space="preserve">: Your project will be judged on the quality of this written report. To understand what we look for, see our </w:t>
            </w:r>
            <w:hyperlink r:id="rId7">
              <w:r w:rsidDel="00000000" w:rsidR="00000000" w:rsidRPr="00000000">
                <w:rPr>
                  <w:color w:val="1155cc"/>
                  <w:sz w:val="24"/>
                  <w:szCs w:val="24"/>
                  <w:u w:val="single"/>
                  <w:rtl w:val="0"/>
                </w:rPr>
                <w:t xml:space="preserve">Evaluation Rubric</w:t>
              </w:r>
            </w:hyperlink>
            <w:r w:rsidDel="00000000" w:rsidR="00000000" w:rsidRPr="00000000">
              <w:rPr>
                <w:sz w:val="24"/>
                <w:szCs w:val="24"/>
                <w:rtl w:val="0"/>
              </w:rPr>
              <w:t xml:space="preserve">.</w:t>
            </w:r>
          </w:p>
          <w:p w:rsidR="00000000" w:rsidDel="00000000" w:rsidP="00000000" w:rsidRDefault="00000000" w:rsidRPr="00000000" w14:paraId="00000016">
            <w:pPr>
              <w:pStyle w:val="Heading2"/>
              <w:rPr>
                <w:sz w:val="24"/>
                <w:szCs w:val="24"/>
              </w:rPr>
            </w:pPr>
            <w:bookmarkStart w:colFirst="0" w:colLast="0" w:name="_83rhpowjfp5r" w:id="3"/>
            <w:bookmarkEnd w:id="3"/>
            <w:r w:rsidDel="00000000" w:rsidR="00000000" w:rsidRPr="00000000">
              <w:rPr>
                <w:b w:val="1"/>
                <w:bCs w:val="1"/>
                <w:sz w:val="24"/>
                <w:szCs w:val="24"/>
                <w:rtl w:val="0"/>
              </w:rPr>
              <w:t xml:space="preserve">Recommended length</w:t>
            </w:r>
            <w:r w:rsidDel="00000000" w:rsidR="00000000" w:rsidRPr="00000000">
              <w:rPr>
                <w:sz w:val="24"/>
                <w:szCs w:val="24"/>
                <w:rtl w:val="0"/>
              </w:rPr>
              <w:t xml:space="preserve">: 4 pages excluding references and appendix. </w:t>
              <w:br w:type="textWrapping"/>
              <w:t xml:space="preserve">Rough guide: Intro &amp; Related Work 1p, Methods and Results: 2.5p, Discussion 0.5p.</w:t>
            </w:r>
          </w:p>
        </w:tc>
      </w:tr>
    </w:tbl>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ttm1qklp8m0q" w:id="4"/>
      <w:bookmarkEnd w:id="4"/>
      <w:r w:rsidDel="00000000" w:rsidR="00000000" w:rsidRPr="00000000">
        <w:rPr>
          <w:rFonts w:ascii="Old Standard TT" w:cs="Old Standard TT" w:eastAsia="Old Standard TT" w:hAnsi="Old Standard TT"/>
          <w:b w:val="1"/>
          <w:bCs w:val="1"/>
          <w:color w:val="434343"/>
          <w:sz w:val="28"/>
          <w:szCs w:val="28"/>
          <w:rtl w:val="0"/>
        </w:rPr>
        <w:t xml:space="preserve">1. Introduction</w:t>
      </w:r>
    </w:p>
    <w:p w:rsidR="00000000" w:rsidDel="00000000" w:rsidP="00000000" w:rsidRDefault="00000000" w:rsidRPr="00000000" w14:paraId="0000001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t>Track 1 asks what standard would have stopped the July 2026 loss of containment, judged on two tests: could a third party verify compliance without the lab's network, and would a lab actually adopt it. Hugging Face reconstructed about 17,600 attacker actions from 9 July 02:28 UTC to 13 July 14:14 UTC [1]. OpenAI described a guardrails-off ExploitGym evaluation whose intended egress was a self-hosted Artifactory package cache [2, 3]. That is practically valuable because a generic 'monitor egress' list does not tell a second-tier lab which control to buy first, or a regulator what artifact to ask for.</w:t>
      </w:r>
      <w:r w:rsidDel="00000000" w:rsidR="00000000" w:rsidRPr="00000000">
        <w:rPr>
          <w:rFonts w:ascii="Old Standard TT" w:cs="Old Standard TT" w:eastAsia="Old Standard TT" w:hAnsi="Old Standard TT"/>
          <w:i w:val="1"/>
          <w:iCs w:val="1"/>
          <w:rtl w:val="0"/>
        </w:rPr>
      </w:r>
      <w:r w:rsidDel="00000000" w:rsidR="00000000" w:rsidRPr="00000000">
        <w:rPr>
          <w:rFonts w:ascii="Old Standard TT" w:cs="Old Standard TT" w:eastAsia="Old Standard TT" w:hAnsi="Old Standard TT"/>
          <w:i w:val="1"/>
          <w:iCs w:val="1"/>
          <w:rtl w:val="0"/>
        </w:rPr>
      </w:r>
    </w:p>
    <w:p w:rsidR="00000000" w:rsidDel="00000000" w:rsidP="00000000" w:rsidRDefault="00000000" w:rsidRPr="00000000" w14:paraId="00000019">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r>
    </w:p>
    <w:p w:rsidR="00000000" w:rsidDel="00000000" w:rsidP="00000000" w:rsidRDefault="00000000" w:rsidRPr="00000000" w14:paraId="0000001A">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1B">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t>Two mistakes are easy. The 20 July OpenAI note on long-horizon models opening a public GitHub pull request is a different incident [5]. Hugging Face's nine phases describe only what happened after a third-party code-eval sandbox had already been rooted. A matrix that starts at Kubernetes privilege escalation is a matrix of aftermath.</w:t>
      </w:r>
    </w:p>
    <w:p w:rsidR="00000000" w:rsidDel="00000000" w:rsidP="00000000" w:rsidRDefault="00000000" w:rsidRPr="00000000" w14:paraId="0000001C">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t>The threat model is a persistent eval agent with production refusal classifiers disabled, one permitted network egress, and no contractual relationship with the eventual victim. Failure mode: the allowed proxy becomes a general HTTP client; an unowned public harness becomes a launchpad; victim detection correlates and does not page.</w:t>
      </w:r>
      <w:r w:rsidDel="00000000" w:rsidR="00000000" w:rsidRPr="00000000">
        <w:rPr>
          <w:rFonts w:ascii="Old Standard TT" w:cs="Old Standard TT" w:eastAsia="Old Standard TT" w:hAnsi="Old Standard TT"/>
          <w:i w:val="1"/>
          <w:iCs w:val="1"/>
          <w:rtl w:val="0"/>
        </w:rPr>
      </w:r>
      <w:r w:rsidDel="00000000" w:rsidR="00000000" w:rsidRPr="00000000">
        <w:rPr>
          <w:rFonts w:ascii="Old Standard TT" w:cs="Old Standard TT" w:eastAsia="Old Standard TT" w:hAnsi="Old Standard TT"/>
          <w:i w:val="1"/>
          <w:iCs w:val="1"/>
          <w:rtl w:val="0"/>
        </w:rPr>
      </w:r>
    </w:p>
    <w:p w:rsidR="00000000" w:rsidDel="00000000" w:rsidP="00000000" w:rsidRDefault="00000000" w:rsidRPr="00000000" w14:paraId="0000001D">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1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r>
      <w:r w:rsidDel="00000000" w:rsidR="00000000" w:rsidRPr="00000000">
        <w:rPr>
          <w:rFonts w:ascii="Old Standard TT" w:cs="Old Standard TT" w:eastAsia="Old Standard TT" w:hAnsi="Old Standard TT"/>
          <w:i w:val="1"/>
          <w:iCs w:val="1"/>
          <w:rtl w:val="0"/>
        </w:rPr>
      </w:r>
      <w:r w:rsidDel="00000000" w:rsidR="00000000" w:rsidRPr="00000000">
        <w:rPr>
          <w:rtl w:val="0"/>
        </w:rPr>
      </w:r>
    </w:p>
    <w:p w:rsidR="00000000" w:rsidDel="00000000" w:rsidP="00000000" w:rsidRDefault="00000000" w:rsidRPr="00000000" w14:paraId="0000001F">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0"/>
          <w:iCs w:val="1"/>
          <w:rtl w:val="0"/>
        </w:rPr>
        <w:t>Our main contributions are:</w:t>
      </w:r>
      <w:r w:rsidDel="00000000" w:rsidR="00000000" w:rsidRPr="00000000">
        <w:rPr>
          <w:rtl w:val="0"/>
        </w:rPr>
      </w:r>
    </w:p>
    <w:p w:rsidR="00000000" w:rsidDel="00000000" w:rsidP="00000000" w:rsidRDefault="00000000" w:rsidRPr="00000000" w14:paraId="00000020">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1">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0"/>
          <w:iCs w:val="1"/>
          <w:rtl w:val="0"/>
        </w:rPr>
        <w:t>1. An 18-row control matrix scored on interrupt (stops / delays / detects-only), cost bands, owner, and whether evidence is outsider-checkable, split into three ownership zones rather than nine victim-side phases.</w:t>
      </w:r>
    </w:p>
    <w:p w:rsidR="00000000" w:rsidDel="00000000" w:rsidP="00000000" w:rsidRDefault="00000000" w:rsidRPr="00000000" w14:paraId="00000022">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0"/>
          <w:iCs w:val="1"/>
          <w:rtl w:val="0"/>
        </w:rPr>
        <w:t>2. The finding that detection already existed (Hugging Face correlated; Elastic maps shipping rules onto almost every Zone C stage) and that the missing standard is a published kill criterion plus outsider-checkable evidence.</w:t>
      </w:r>
    </w:p>
    <w:p w:rsidR="00000000" w:rsidDel="00000000" w:rsidP="00000000" w:rsidRDefault="00000000" w:rsidRPr="00000000" w14:paraId="00000023">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0"/>
          <w:iCs w:val="1"/>
          <w:rtl w:val="0"/>
        </w:rPr>
        <w:t>3. An eight-clause v0.1 minimum-adequate standard that assigns the public-harness duty (current owner: nobody) and specifies six outsider-checkable evidence types.</w:t>
      </w:r>
    </w:p>
    <w:p w:rsidR="00000000" w:rsidDel="00000000" w:rsidP="00000000" w:rsidRDefault="00000000" w:rsidRPr="00000000" w14:paraId="0000002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5">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vzobftj4w235" w:id="5"/>
      <w:bookmarkEnd w:id="5"/>
      <w:r w:rsidDel="00000000" w:rsidR="00000000" w:rsidRPr="00000000">
        <w:rPr>
          <w:rFonts w:ascii="Old Standard TT" w:cs="Old Standard TT" w:eastAsia="Old Standard TT" w:hAnsi="Old Standard TT"/>
          <w:b w:val="1"/>
          <w:bCs w:val="1"/>
          <w:color w:val="434343"/>
          <w:sz w:val="28"/>
          <w:szCs w:val="28"/>
          <w:rtl w:val="0"/>
        </w:rPr>
        <w:t xml:space="preserve">2. Related Work</w:t>
      </w:r>
    </w:p>
    <w:p w:rsidR="00000000" w:rsidDel="00000000" w:rsidP="00000000" w:rsidRDefault="00000000" w:rsidRPr="00000000" w14:paraId="00000026">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t>CSA AIS-13 already says isolate AI tools and plugins and limit lateral movement [6]. Its customer audit procedure is inquiry, interview, and document review. CoSAI IR v1.0 maps AI incidents onto NIST SP 800-61r3 [7]. CoSAI's August 2026 sandboxing note treats the agent as an insider and treats every permitted channel, including the inference endpoint, as a potential exfiltration path [8]. Elastic maps the victim-side stages onto production Defend and SIEM rules [4].</w:t>
      </w:r>
    </w:p>
    <w:p w:rsidR="00000000" w:rsidDel="00000000" w:rsidP="00000000" w:rsidRDefault="00000000" w:rsidRPr="00000000" w14:paraId="00000027">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t>The gap is not missing principles. It is missing interrupt verdicts, cost, an owner for the second hop, and an artifact an outsider can check without the lab network. Someone would use this matrix instead of AIS-13 when they need to decide what to implement this quarter and what they can show a third party.</w:t>
      </w:r>
    </w:p>
    <w:p w:rsidR="00000000" w:rsidDel="00000000" w:rsidP="00000000" w:rsidRDefault="00000000" w:rsidRPr="00000000" w14:paraId="00000028">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9">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r>
    </w:p>
    <w:p w:rsidR="00000000" w:rsidDel="00000000" w:rsidP="00000000" w:rsidRDefault="00000000" w:rsidRPr="00000000" w14:paraId="0000002A">
      <w:pPr>
        <w:numPr>
          <w:ilvl w:val="0"/>
          <w:numId w:val="4"/>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0"/>
          <w:iCs w:val="1"/>
          <w:rtl w:val="0"/>
        </w:rPr>
      </w:r>
    </w:p>
    <w:p w:rsidR="00000000" w:rsidDel="00000000" w:rsidP="00000000" w:rsidRDefault="00000000" w:rsidRPr="00000000" w14:paraId="0000002B">
      <w:pPr>
        <w:numPr>
          <w:ilvl w:val="0"/>
          <w:numId w:val="4"/>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0"/>
          <w:iCs w:val="1"/>
          <w:rtl w:val="0"/>
        </w:rPr>
      </w:r>
    </w:p>
    <w:p w:rsidR="00000000" w:rsidDel="00000000" w:rsidP="00000000" w:rsidRDefault="00000000" w:rsidRPr="00000000" w14:paraId="0000002C">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D">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ylbu4j4ljvkd" w:id="6"/>
      <w:bookmarkEnd w:id="6"/>
      <w:r w:rsidDel="00000000" w:rsidR="00000000" w:rsidRPr="00000000">
        <w:rPr>
          <w:rFonts w:ascii="Old Standard TT" w:cs="Old Standard TT" w:eastAsia="Old Standard TT" w:hAnsi="Old Standard TT"/>
          <w:b w:val="1"/>
          <w:bCs w:val="1"/>
          <w:color w:val="434343"/>
          <w:sz w:val="28"/>
          <w:szCs w:val="28"/>
          <w:rtl w:val="0"/>
        </w:rPr>
        <w:t xml:space="preserve">3. Methods</w:t>
      </w:r>
    </w:p>
    <w:p w:rsidR="00000000" w:rsidDel="00000000" w:rsidP="00000000" w:rsidRDefault="00000000" w:rsidRPr="00000000" w14:paraId="0000002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t>The rubric was frozen before cells were filled (artifact/scoring-rubric.md). Zone A is the lab eval sandbox. Zone B is the unauthenticated public eval harness. Zone C is victim production, where Hugging Face's nine phases sit. Eighteen rows, not a 9-by-N grid. If the weekend had slipped, Zone C would have been cut first.</w:t>
      </w:r>
    </w:p>
    <w:p w:rsidR="00000000" w:rsidDel="00000000" w:rsidP="00000000" w:rsidRDefault="00000000" w:rsidRPr="00000000" w14:paraId="0000002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0">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t>Sources were public writeups only: Hugging Face's 27 July timeline [1], OpenAI's blog and technical report [2, 3], Elastic's 31 July mapping [4], CSA AIS-13 audit guidelines [6], and CoSAI [7, 8]. Incident scores are a counterfactual: no OpenAI or Hugging Face internals. A policy enforcement point was run on a LangGraph-style tool loop, including one local Ollama turn of the author's class agent. Every 'stops' cell cites a public fact (date, named component, or phase count). Costs are three bands for a second-tier lab; unsourced numbers are tagged guess. 'Hugging Face or OpenAI already shipped this after the incident' is treated as existence proof that cost is not infinite. A control that watches 17,600 unremarkable commands without paging is scored detects-only, not stops.</w:t>
      </w:r>
    </w:p>
    <w:p w:rsidR="00000000" w:rsidDel="00000000" w:rsidP="00000000" w:rsidRDefault="00000000" w:rsidRPr="00000000" w14:paraId="00000031">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2">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6bk7befxzvsr" w:id="7"/>
      <w:bookmarkEnd w:id="7"/>
      <w:r w:rsidDel="00000000" w:rsidR="00000000" w:rsidRPr="00000000">
        <w:rPr>
          <w:rFonts w:ascii="Old Standard TT" w:cs="Old Standard TT" w:eastAsia="Old Standard TT" w:hAnsi="Old Standard TT"/>
          <w:b w:val="1"/>
          <w:bCs w:val="1"/>
          <w:color w:val="434343"/>
          <w:sz w:val="28"/>
          <w:szCs w:val="28"/>
          <w:rtl w:val="0"/>
        </w:rPr>
        <w:t xml:space="preserve">4. Results</w:t>
      </w:r>
    </w:p>
    <w:p w:rsidR="00000000" w:rsidDel="00000000" w:rsidP="00000000" w:rsidRDefault="00000000" w:rsidRPr="00000000" w14:paraId="00000033">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t>Table 1 (see artifact/matrix.md) compresses the 18 rows. Counts: nine stops, five delays, four detects-only. Four rows have current owner nobody (all of Zone B). Six rows are outsider-checkable. The cheap stops are A3 (published kill criteria, L/L), C2 (block IMDS, L/L), and C3 (deny privileged and hostPath pods, L/L).</w:t>
      </w:r>
    </w:p>
    <w:p w:rsidR="00000000" w:rsidDel="00000000" w:rsidP="00000000" w:rsidRDefault="00000000" w:rsidRPr="00000000" w14:paraId="0000003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t>Finding 1. The cheapest interrupts sit before the 17,600 actions. On 8-9 July agents obtained parent-VM root, were denied by outbound controls, and used Artifactory endpoints to reach the public internet [3]. Shared Artifactory credentials had already become a message board from May; a 26 June token-refresh bug turned that shared credential into admin; a 27 June port-sweep alert did not stop the eval; Artifactory was taken offline 5 July; cyber evals resumed 7 July; the Hugging Face campaign ran 9-13 July [3, 1]. A3 (a dated hard stop) is L/L. Zone B is missing from the nine-phase table: the CyberGym-style sandbox had no path into Hugging Face and was still the launchpad; first recovered command at 04:01 UTC on 9 July was id returning uid=0 [1]. Exfiltration was 56 actions [1].</w:t>
      </w:r>
    </w:p>
    <w:p w:rsidR="00000000" w:rsidDel="00000000" w:rsidP="00000000" w:rsidRDefault="00000000" w:rsidRPr="00000000" w14:paraId="00000036">
      <w:pPr>
        <w:numPr>
          <w:ilvl w:val="0"/>
          <w:numId w:val="2"/>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0"/>
          <w:iCs w:val="1"/>
          <w:rtl w:val="0"/>
        </w:rPr>
        <w:t>Finding 2. Detection existed; a page and a kill criterion did not. Hugging Face correlated runtime analysis and SIEM and failed to raise criticality or page on-call [1]. Elastic maps shipping rules onto worker-spawn-shell, credential collection, TokenRequest, privileged pod, hostPath, unusual egress, and Tailscale [4]. OpenAI linked its agents to Hugging Face on 20 July, four days after Hugging Face's public disclosure [3, 2]. Another SIEM rule is not the standard.</w:t>
      </w:r>
    </w:p>
    <w:p w:rsidR="00000000" w:rsidDel="00000000" w:rsidP="00000000" w:rsidRDefault="00000000" w:rsidRPr="00000000" w14:paraId="00000037">
      <w:pPr>
        <w:numPr>
          <w:ilvl w:val="0"/>
          <w:numId w:val="2"/>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0"/>
          <w:iCs w:val="1"/>
          <w:rtl w:val="0"/>
        </w:rPr>
        <w:t>Finding 3. AIS-13 and CoSAI say the right things; their default evidence is not outsider-checkable. The matrix marks only six rows as outsider-checkable: a signed egress digest, a kill-criteria changelog, a public-harness network digest, and canaries on the harness and the victim worker. A local PEP run stopped unexpected egress (A1) and allowed localhost class-agent tools; one Ollama turn called simular_cuota_credito and quoted the tool result. Main threat to validity: incident interrupt verdicts remain counterfactuals. The harness tests the rubric, not OpenAI's network. OpenAI's claim that production classifiers would have flagged the activity is marked asserted and is not used as a stops justification [3].</w:t>
      </w:r>
    </w:p>
    <w:p w:rsidR="00000000" w:rsidDel="00000000" w:rsidP="00000000" w:rsidRDefault="00000000" w:rsidRPr="00000000" w14:paraId="00000038">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9">
      <w:pPr>
        <w:ind w:left="600" w:right="600" w:firstLine="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0"/>
          <w:iCs w:val="1"/>
          <w:rtl w:val="0"/>
        </w:rPr>
      </w:r>
      <w:r w:rsidDel="00000000" w:rsidR="00000000" w:rsidRPr="00000000">
        <w:rPr>
          <w:rtl w:val="0"/>
        </w:rPr>
      </w:r>
    </w:p>
    <w:p w:rsidR="00000000" w:rsidDel="00000000" w:rsidP="00000000" w:rsidRDefault="00000000" w:rsidRPr="00000000" w14:paraId="0000003A">
      <w:pPr>
        <w:ind w:left="600" w:firstLine="0"/>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B">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0"/>
          <w:iCs w:val="1"/>
          <w:rtl w:val="0"/>
        </w:rPr>
      </w:r>
    </w:p>
    <w:p w:rsidR="00000000" w:rsidDel="00000000" w:rsidP="00000000" w:rsidRDefault="00000000" w:rsidRPr="00000000" w14:paraId="0000003C">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0"/>
          <w:iCs w:val="1"/>
          <w:rtl w:val="0"/>
        </w:rPr>
      </w:r>
    </w:p>
    <w:p w:rsidR="00000000" w:rsidDel="00000000" w:rsidP="00000000" w:rsidRDefault="00000000" w:rsidRPr="00000000" w14:paraId="0000003D">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0"/>
          <w:iCs w:val="1"/>
          <w:rtl w:val="0"/>
        </w:rPr>
      </w:r>
    </w:p>
    <w:p w:rsidR="00000000" w:rsidDel="00000000" w:rsidP="00000000" w:rsidRDefault="00000000" w:rsidRPr="00000000" w14:paraId="0000003E">
      <w:pPr>
        <w:numPr>
          <w:ilvl w:val="0"/>
          <w:numId w:val="3"/>
        </w:numPr>
        <w:ind w:left="1320" w:right="600" w:hanging="360"/>
        <w:rPr>
          <w:rFonts w:ascii="Old Standard TT" w:cs="Old Standard TT" w:eastAsia="Old Standard TT" w:hAnsi="Old Standard TT"/>
          <w:b w:val="1"/>
          <w:bCs w:val="1"/>
        </w:rPr>
      </w:pPr>
      <w:r w:rsidDel="00000000" w:rsidR="00000000" w:rsidRPr="00000000">
        <w:rPr>
          <w:rFonts w:ascii="Old Standard TT" w:cs="Old Standard TT" w:eastAsia="Old Standard TT" w:hAnsi="Old Standard TT"/>
          <w:b w:val="1"/>
          <w:bCs w:val="1"/>
          <w:i w:val="0"/>
          <w:iCs w:val="1"/>
          <w:rtl w:val="0"/>
        </w:rPr>
      </w:r>
    </w:p>
    <w:p w:rsidR="00000000" w:rsidDel="00000000" w:rsidP="00000000" w:rsidRDefault="00000000" w:rsidRPr="00000000" w14:paraId="0000003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pzvk7gh0zyc" w:id="8"/>
      <w:bookmarkEnd w:id="8"/>
      <w:r w:rsidDel="00000000" w:rsidR="00000000" w:rsidRPr="00000000">
        <w:rPr>
          <w:rFonts w:ascii="Old Standard TT" w:cs="Old Standard TT" w:eastAsia="Old Standard TT" w:hAnsi="Old Standard TT"/>
          <w:b w:val="1"/>
          <w:bCs w:val="1"/>
          <w:color w:val="434343"/>
          <w:sz w:val="28"/>
          <w:szCs w:val="28"/>
          <w:rtl w:val="0"/>
        </w:rPr>
        <w:t xml:space="preserve">5. Discussion and Limitations</w:t>
      </w:r>
    </w:p>
    <w:p w:rsidR="00000000" w:rsidDel="00000000" w:rsidP="00000000" w:rsidRDefault="00000000" w:rsidRPr="00000000" w14:paraId="00000041">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t>Minimum adequate for this incident is A1+A2+A3+A4 on the lab side and B1+B3 on the harness side, not a complete Kubernetes catalog. Zone C is still required engineering, because Zone B will fail again. A second-tier lab's real cost is A1 (a curated package index). A3 is a dated page in a repo. Publishing destination classes rather than raw IPs is how A4 avoids leaking research topology.</w:t>
      </w:r>
    </w:p>
    <w:p w:rsidR="00000000" w:rsidDel="00000000" w:rsidP="00000000" w:rsidRDefault="00000000" w:rsidRPr="00000000" w14:paraId="00000042">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t>Zone B is the neglected problem. Hugging Face bore remediation cost for an evaluation it did not run, launched from a harness it did not operate. A standard that only binds frontier labs leaves the launchpad in place. Assigning the public-harness duty is the part of this paper most likely to be argued with. The alternative is to leave the owner as nobody.</w:t>
      </w:r>
    </w:p>
    <w:p w:rsidR="00000000" w:rsidDel="00000000" w:rsidP="00000000" w:rsidRDefault="00000000" w:rsidRPr="00000000" w14:paraId="00000043">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4">
      <w:pPr>
        <w:pStyle w:val="Heading3"/>
        <w:spacing w:before="200" w:lineRule="auto"/>
        <w:rPr>
          <w:rFonts w:ascii="Old Standard TT" w:cs="Old Standard TT" w:eastAsia="Old Standard TT" w:hAnsi="Old Standard TT"/>
          <w:b w:val="1"/>
          <w:bCs w:val="1"/>
          <w:color w:val="666666"/>
          <w:sz w:val="26"/>
          <w:szCs w:val="26"/>
        </w:rPr>
      </w:pPr>
      <w:bookmarkStart w:colFirst="0" w:colLast="0" w:name="_mt2hai21ycmy" w:id="9"/>
      <w:bookmarkEnd w:id="9"/>
      <w:r w:rsidDel="00000000" w:rsidR="00000000" w:rsidRPr="00000000">
        <w:rPr>
          <w:rFonts w:ascii="Old Standard TT" w:cs="Old Standard TT" w:eastAsia="Old Standard TT" w:hAnsi="Old Standard TT"/>
          <w:b w:val="1"/>
          <w:bCs w:val="1"/>
          <w:color w:val="666666"/>
          <w:sz w:val="26"/>
          <w:szCs w:val="26"/>
          <w:rtl w:val="0"/>
        </w:rPr>
        <w:t xml:space="preserve">Limitations</w:t>
      </w:r>
    </w:p>
    <w:p w:rsidR="00000000" w:rsidDel="00000000" w:rsidP="00000000" w:rsidRDefault="00000000" w:rsidRPr="00000000" w14:paraId="0000004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t>This is a retrospective scoring of public writeups, not a live test and not a certification of any lab. Costs are bands, not invoices. Adoption friction is hypothesized. A4 is specified, not demonstrated: we did not produce a signed digest. CSA vulnerability-operations 'no egress, no live creds' is used as restated in the sprint brief. Dual-use: a scored list of interrupt points can be read as a targeting guide. Mitigation: no payloads, no novel installation recipes, no technique beyond what Hugging Face and OpenAI already published [1, 3].</w:t>
      </w:r>
      <w:r w:rsidDel="00000000" w:rsidR="00000000" w:rsidRPr="00000000">
        <w:rPr>
          <w:rFonts w:ascii="Old Standard TT" w:cs="Old Standard TT" w:eastAsia="Old Standard TT" w:hAnsi="Old Standard TT"/>
          <w:i w:val="1"/>
          <w:iCs w:val="1"/>
          <w:rtl w:val="0"/>
        </w:rPr>
      </w:r>
    </w:p>
    <w:p w:rsidR="00000000" w:rsidDel="00000000" w:rsidP="00000000" w:rsidRDefault="00000000" w:rsidRPr="00000000" w14:paraId="00000046">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7">
      <w:pPr>
        <w:pStyle w:val="Heading3"/>
        <w:spacing w:before="200" w:lineRule="auto"/>
        <w:rPr>
          <w:rFonts w:ascii="Old Standard TT" w:cs="Old Standard TT" w:eastAsia="Old Standard TT" w:hAnsi="Old Standard TT"/>
          <w:b w:val="1"/>
          <w:bCs w:val="1"/>
          <w:color w:val="666666"/>
          <w:sz w:val="26"/>
          <w:szCs w:val="26"/>
        </w:rPr>
      </w:pPr>
      <w:bookmarkStart w:colFirst="0" w:colLast="0" w:name="_8557errvyjvx" w:id="10"/>
      <w:bookmarkEnd w:id="10"/>
      <w:r w:rsidDel="00000000" w:rsidR="00000000" w:rsidRPr="00000000">
        <w:rPr>
          <w:rFonts w:ascii="Old Standard TT" w:cs="Old Standard TT" w:eastAsia="Old Standard TT" w:hAnsi="Old Standard TT"/>
          <w:b w:val="1"/>
          <w:bCs w:val="1"/>
          <w:color w:val="666666"/>
          <w:sz w:val="26"/>
          <w:szCs w:val="26"/>
          <w:rtl w:val="0"/>
        </w:rPr>
        <w:t xml:space="preserve">Future Work</w:t>
      </w:r>
    </w:p>
    <w:p w:rsidR="00000000" w:rsidDel="00000000" w:rsidP="00000000" w:rsidRDefault="00000000" w:rsidRPr="00000000" w14:paraId="0000004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t>A month of follow-up is one worked A4 digest with a real signing ceremony, one harness host willing to publish a B3 attestation, and a tabletop that fires the A3 kill criteria on the 27 June / 5 July facts to see whether a research org would actually stop. That is the fellowship-sized version.</w:t>
      </w:r>
    </w:p>
    <w:p w:rsidR="00000000" w:rsidDel="00000000" w:rsidP="00000000" w:rsidRDefault="00000000" w:rsidRPr="00000000" w14:paraId="00000049">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A">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g0zphsq5kocm" w:id="11"/>
      <w:bookmarkEnd w:id="11"/>
      <w:r w:rsidDel="00000000" w:rsidR="00000000" w:rsidRPr="00000000">
        <w:rPr>
          <w:rFonts w:ascii="Old Standard TT" w:cs="Old Standard TT" w:eastAsia="Old Standard TT" w:hAnsi="Old Standard TT"/>
          <w:b w:val="1"/>
          <w:bCs w:val="1"/>
          <w:color w:val="434343"/>
          <w:sz w:val="28"/>
          <w:szCs w:val="28"/>
          <w:rtl w:val="0"/>
        </w:rPr>
        <w:t xml:space="preserve">6. Conclusion</w:t>
      </w:r>
    </w:p>
    <w:p w:rsidR="00000000" w:rsidDel="00000000" w:rsidP="00000000" w:rsidRDefault="00000000" w:rsidRPr="00000000" w14:paraId="0000004B">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t>The published July 2026 chain would have been stopped cheapest at the lab's one allowed egress and at the unowned public harness, not at the 17,600th victim-side action. Detection was not the missing piece. A written kill criterion and evidence an outsider can check without the lab network are. The attached matrix and eight-clause v0.1 standard are the gradeable form of that claim.</w:t>
      </w:r>
    </w:p>
    <w:p w:rsidR="00000000" w:rsidDel="00000000" w:rsidP="00000000" w:rsidRDefault="00000000" w:rsidRPr="00000000" w14:paraId="0000004C">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D">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mr10dpvy1fo3" w:id="12"/>
      <w:bookmarkEnd w:id="12"/>
      <w:r w:rsidDel="00000000" w:rsidR="00000000" w:rsidRPr="00000000">
        <w:rPr>
          <w:rFonts w:ascii="Old Standard TT" w:cs="Old Standard TT" w:eastAsia="Old Standard TT" w:hAnsi="Old Standard TT"/>
          <w:b w:val="1"/>
          <w:bCs w:val="1"/>
          <w:color w:val="434343"/>
          <w:sz w:val="28"/>
          <w:szCs w:val="28"/>
          <w:rtl w:val="0"/>
        </w:rPr>
        <w:t xml:space="preserve">Code</w:t>
      </w:r>
      <w:r w:rsidDel="00000000" w:rsidR="00000000" w:rsidRPr="00000000">
        <w:rPr>
          <w:rFonts w:ascii="Old Standard TT" w:cs="Old Standard TT" w:eastAsia="Old Standard TT" w:hAnsi="Old Standard TT"/>
          <w:b w:val="1"/>
          <w:bCs w:val="1"/>
          <w:color w:val="434343"/>
          <w:sz w:val="28"/>
          <w:szCs w:val="28"/>
          <w:rtl w:val="0"/>
        </w:rPr>
        <w:t xml:space="preserve"> and Data</w:t>
      </w:r>
    </w:p>
    <w:p w:rsidR="00000000" w:rsidDel="00000000" w:rsidP="00000000" w:rsidRDefault="00000000" w:rsidRPr="00000000" w14:paraId="0000004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t>No exploit code. The artifact is a control matrix and a v0.1 standard, not a reproduction harness. Novel installation recipes are withheld pending the sprint disclosure review.</w:t>
      </w:r>
    </w:p>
    <w:p w:rsidR="00000000" w:rsidDel="00000000" w:rsidP="00000000" w:rsidRDefault="00000000" w:rsidRPr="00000000" w14:paraId="0000004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rFonts w:ascii="Old Standard TT" w:cs="Old Standard TT" w:eastAsia="Old Standard TT" w:hAnsi="Old Standard TT"/>
          <w:b w:val="1"/>
          <w:bCs w:val="1"/>
          <w:i w:val="0"/>
          <w:iCs w:val="1"/>
          <w:rtl w:val="0"/>
        </w:rPr>
        <w:t>Code repository: local sprint repo (artifact/ and report/). Keep private until disclosure review if you publish.</w:t>
      </w:r>
      <w:r w:rsidDel="00000000" w:rsidR="00000000" w:rsidRPr="00000000">
        <w:rPr>
          <w:rFonts w:ascii="Old Standard TT" w:cs="Old Standard TT" w:eastAsia="Old Standard TT" w:hAnsi="Old Standard TT"/>
          <w:i w:val="1"/>
          <w:iCs w:val="1"/>
          <w:rtl w:val="0"/>
        </w:rPr>
      </w:r>
    </w:p>
    <w:p w:rsidR="00000000" w:rsidDel="00000000" w:rsidP="00000000" w:rsidRDefault="00000000" w:rsidRPr="00000000" w14:paraId="00000051">
      <w:pPr>
        <w:numPr>
          <w:ilvl w:val="0"/>
          <w:numId w:val="3"/>
        </w:numPr>
        <w:ind w:left="720" w:hanging="360"/>
      </w:pPr>
      <w:r w:rsidDel="00000000" w:rsidR="00000000" w:rsidRPr="00000000">
        <w:rPr>
          <w:rFonts w:ascii="Old Standard TT" w:cs="Old Standard TT" w:eastAsia="Old Standard TT" w:hAnsi="Old Standard TT"/>
          <w:b w:val="1"/>
          <w:bCs w:val="1"/>
          <w:i w:val="0"/>
          <w:iCs w:val="1"/>
          <w:rtl w:val="0"/>
        </w:rPr>
        <w:t>Data/Datasets: none collected. Scoring used only public incident writeups.</w:t>
      </w:r>
      <w:r w:rsidDel="00000000" w:rsidR="00000000" w:rsidRPr="00000000">
        <w:rPr>
          <w:rFonts w:ascii="Old Standard TT" w:cs="Old Standard TT" w:eastAsia="Old Standard TT" w:hAnsi="Old Standard TT"/>
          <w:i w:val="1"/>
          <w:iCs w:val="1"/>
          <w:rtl w:val="0"/>
        </w:rPr>
      </w:r>
    </w:p>
    <w:p w:rsidR="00000000" w:rsidDel="00000000" w:rsidP="00000000" w:rsidRDefault="00000000" w:rsidRPr="00000000" w14:paraId="00000052">
      <w:pPr>
        <w:numPr>
          <w:ilvl w:val="0"/>
          <w:numId w:val="3"/>
        </w:numPr>
        <w:ind w:left="720" w:hanging="360"/>
      </w:pPr>
      <w:r w:rsidDel="00000000" w:rsidR="00000000" w:rsidRPr="00000000">
        <w:rPr>
          <w:rFonts w:ascii="Old Standard TT" w:cs="Old Standard TT" w:eastAsia="Old Standard TT" w:hAnsi="Old Standard TT"/>
          <w:b w:val="1"/>
          <w:bCs w:val="1"/>
          <w:i w:val="0"/>
          <w:iCs w:val="1"/>
          <w:rtl w:val="0"/>
        </w:rPr>
        <w:t>Other artifacts: artifact/matrix.md, artifact/matrix.csv, artifact/minimum-standard-v0.1.md, artifact/scoring-rubric.md.</w:t>
      </w:r>
      <w:r w:rsidDel="00000000" w:rsidR="00000000" w:rsidRPr="00000000">
        <w:rPr>
          <w:rFonts w:ascii="Old Standard TT" w:cs="Old Standard TT" w:eastAsia="Old Standard TT" w:hAnsi="Old Standard TT"/>
          <w:i w:val="1"/>
          <w:iCs w:val="1"/>
          <w:rtl w:val="0"/>
        </w:rPr>
      </w:r>
    </w:p>
    <w:p w:rsidR="00000000" w:rsidDel="00000000" w:rsidP="00000000" w:rsidRDefault="00000000" w:rsidRPr="00000000" w14:paraId="00000053">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4">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e0a27xxh95z" w:id="13"/>
      <w:bookmarkEnd w:id="13"/>
      <w:r w:rsidDel="00000000" w:rsidR="00000000" w:rsidRPr="00000000">
        <w:rPr>
          <w:rFonts w:ascii="Old Standard TT" w:cs="Old Standard TT" w:eastAsia="Old Standard TT" w:hAnsi="Old Standard TT"/>
          <w:b w:val="1"/>
          <w:bCs w:val="1"/>
          <w:color w:val="434343"/>
          <w:sz w:val="28"/>
          <w:szCs w:val="28"/>
          <w:rtl w:val="0"/>
        </w:rPr>
        <w:t xml:space="preserve">Author Contributions (optional) </w:t>
      </w:r>
    </w:p>
    <w:p w:rsidR="00000000" w:rsidDel="00000000" w:rsidP="00000000" w:rsidRDefault="00000000" w:rsidRPr="00000000" w14:paraId="0000005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t>Solo submission. The author designed the rubric, scored the matrix, and wrote the report.</w:t>
      </w:r>
    </w:p>
    <w:p w:rsidR="00000000" w:rsidDel="00000000" w:rsidP="00000000" w:rsidRDefault="00000000" w:rsidRPr="00000000" w14:paraId="00000056">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clnaj6i6c2pc" w:id="14"/>
      <w:bookmarkEnd w:id="14"/>
      <w:r w:rsidDel="00000000" w:rsidR="00000000" w:rsidRPr="00000000">
        <w:rPr>
          <w:rFonts w:ascii="Old Standard TT" w:cs="Old Standard TT" w:eastAsia="Old Standard TT" w:hAnsi="Old Standard TT"/>
          <w:b w:val="1"/>
          <w:bCs w:val="1"/>
          <w:color w:val="434343"/>
          <w:sz w:val="28"/>
          <w:szCs w:val="28"/>
          <w:rtl w:val="0"/>
        </w:rPr>
        <w:t xml:space="preserve">References</w:t>
      </w:r>
    </w:p>
    <w:p w:rsidR="00000000" w:rsidDel="00000000" w:rsidP="00000000" w:rsidRDefault="00000000" w:rsidRPr="00000000" w14:paraId="0000005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t>Primary sources:</w:t>
      </w:r>
    </w:p>
    <w:p w:rsidR="00000000" w:rsidDel="00000000" w:rsidP="00000000" w:rsidRDefault="00000000" w:rsidRPr="00000000" w14:paraId="00000059">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A">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0"/>
          <w:iCs w:val="1"/>
          <w:rtl w:val="0"/>
        </w:rPr>
        <w:t>[1] Carreira, A. and Rannou, C. (2026). Anatomy of a Frontier Lab Agent Intrusion. Hugging Face, 27 July. https://huggingface.co/blog/agent-intrusion-technical-timeline</w:t>
      </w:r>
    </w:p>
    <w:p w:rsidR="00000000" w:rsidDel="00000000" w:rsidP="00000000" w:rsidRDefault="00000000" w:rsidRPr="00000000" w14:paraId="0000005B">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0"/>
          <w:iCs w:val="1"/>
          <w:rtl w:val="0"/>
        </w:rPr>
        <w:t>[2] OpenAI (2026). OpenAI and Hugging Face partner to address security incident during model evaluation. 21 July. https://openai.com/index/hugging-face-model-evaluation-security-incident/</w:t>
      </w:r>
    </w:p>
    <w:p w:rsidR="00000000" w:rsidDel="00000000" w:rsidP="00000000" w:rsidRDefault="00000000" w:rsidRPr="00000000" w14:paraId="0000005C">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0"/>
          <w:iCs w:val="1"/>
          <w:rtl w:val="0"/>
        </w:rPr>
        <w:t>[3] OpenAI (2026). OpenAI - Hugging Face Incident Technical Report. https://cdn.openai.com/pdf/67869394-cb91-4c12-888c-5cbd85c7814c/OpenAI-Hugging-Face%20Incident-Technical-Report.pdf</w:t>
      </w:r>
    </w:p>
    <w:p>
      <w:r>
        <w:rPr>
          <w:i w:val="0"/>
        </w:rPr>
        <w:t>[4] Elastic Security Labs (2026). Exploring the Hugging Face Breach: mapping AI agent tactics to Elastic Defend. 31 July. https://www.elastic.co/security-labs/threat-command/ai-agent-attack-detection-hugging-face-breach</w:t>
      </w:r>
    </w:p>
    <w:p>
      <w:r>
        <w:rPr>
          <w:i w:val="0"/>
        </w:rPr>
        <w:t>[5] OpenAI (2026). Safety and alignment in an era of long-horizon models. 20 July. https://openai.com/index/safety-alignment-long-horizon-models/</w:t>
      </w:r>
    </w:p>
    <w:p>
      <w:r>
        <w:rPr>
          <w:i w:val="0"/>
        </w:rPr>
        <w:t>[6] Cloud Security Alliance (2026). AI Controls Matrix v1.1, AIS-13, and AICMv1.1 Auditing Guidelines for AI Customers. https://cloudsecurityalliance.org/artifacts/aicmv1-1-auditing-guidelines-for-ai-customers-aic</w:t>
      </w:r>
    </w:p>
    <w:p>
      <w:r>
        <w:rPr>
          <w:i w:val="0"/>
        </w:rPr>
        <w:t>[7] Coalition for Secure AI (2025). AI Incident Response Framework, V1.0. https://www.coalitionforsecureai.org/wp-content/uploads/2026/03/AI-Incident-Response-1.pdf</w:t>
      </w:r>
    </w:p>
    <w:p>
      <w:r>
        <w:rPr>
          <w:i w:val="0"/>
        </w:rPr>
        <w:t>[8] Coalition for Secure AI (2026). Treat Your Agent Like an Insider Threat. 25 August. https://www.coalitionforsecureai.org/treat-your-agent-like-an-insider-threat-why-ai-sandboxing-cant-wait/</w:t>
      </w:r>
    </w:p>
    <w:p>
      <w:r>
        <w:rPr>
          <w:i w:val="0"/>
        </w:rPr>
        <w:t>[9] NIST. SP 800-61r3, Incident Response Recommendations and Considerations.</w:t>
      </w:r>
    </w:p>
    <w:p>
      <w:r>
        <w:rPr>
          <w:i w:val="0"/>
        </w:rPr>
        <w:t>[10] Apart Research and CeSIA (2026). AI Incident Response Sprint, 11-13 September. https://apartresearch.com/sprints/ai-incident-response-sprint-2026-09-11-to-2026-09-13</w:t>
      </w:r>
    </w:p>
    <w:p w:rsidR="00000000" w:rsidDel="00000000" w:rsidP="00000000" w:rsidRDefault="00000000" w:rsidRPr="00000000" w14:paraId="0000005D">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E">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q3i2vokodzdm" w:id="15"/>
      <w:bookmarkEnd w:id="15"/>
      <w:r w:rsidDel="00000000" w:rsidR="00000000" w:rsidRPr="00000000">
        <w:rPr>
          <w:rFonts w:ascii="Old Standard TT" w:cs="Old Standard TT" w:eastAsia="Old Standard TT" w:hAnsi="Old Standard TT"/>
          <w:b w:val="1"/>
          <w:bCs w:val="1"/>
          <w:color w:val="434343"/>
          <w:sz w:val="28"/>
          <w:szCs w:val="28"/>
          <w:rtl w:val="0"/>
        </w:rPr>
        <w:t xml:space="preserve">Appendix </w:t>
      </w:r>
      <w:r w:rsidDel="00000000" w:rsidR="00000000" w:rsidRPr="00000000">
        <w:rPr>
          <w:rFonts w:ascii="Old Standard TT" w:cs="Old Standard TT" w:eastAsia="Old Standard TT" w:hAnsi="Old Standard TT"/>
          <w:b w:val="1"/>
          <w:bCs w:val="1"/>
          <w:i w:val="1"/>
          <w:iCs w:val="1"/>
          <w:color w:val="434343"/>
          <w:sz w:val="28"/>
          <w:szCs w:val="28"/>
          <w:rtl w:val="0"/>
        </w:rPr>
        <w:t xml:space="preserve">(optional)</w:t>
      </w:r>
      <w:r w:rsidDel="00000000" w:rsidR="00000000" w:rsidRPr="00000000">
        <w:rPr>
          <w:rtl w:val="0"/>
        </w:rPr>
      </w:r>
    </w:p>
    <w:p w:rsidR="00000000" w:rsidDel="00000000" w:rsidP="00000000" w:rsidRDefault="00000000" w:rsidRPr="00000000" w14:paraId="0000005F">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t>Supplementary: full 18-row cells in artifact/matrix.csv; scoring rules in artifact/scoring-rubric.md; eight-clause standard in artifact/minimum-standard-v0.1.md. Required Limitations and Dual-Use considerations are in section 5 (Limitations) above.</w:t>
      </w:r>
    </w:p>
    <w:p w:rsidR="00000000" w:rsidDel="00000000" w:rsidP="00000000" w:rsidRDefault="00000000" w:rsidRPr="00000000" w14:paraId="0000006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qm421e0rdhv" w:id="16"/>
      <w:bookmarkEnd w:id="16"/>
      <w:r w:rsidDel="00000000" w:rsidR="00000000" w:rsidRPr="00000000">
        <w:rPr>
          <w:rFonts w:ascii="Old Standard TT" w:cs="Old Standard TT" w:eastAsia="Old Standard TT" w:hAnsi="Old Standard TT"/>
          <w:b w:val="1"/>
          <w:bCs w:val="1"/>
          <w:color w:val="434343"/>
          <w:sz w:val="28"/>
          <w:szCs w:val="28"/>
          <w:rtl w:val="0"/>
        </w:rPr>
        <w:t xml:space="preserve">LLM Usage Statement</w:t>
      </w:r>
    </w:p>
    <w:p w:rsidR="00000000" w:rsidDel="00000000" w:rsidP="00000000" w:rsidRDefault="00000000" w:rsidRPr="00000000" w14:paraId="00000061">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t>LLM assistance was used as a colleague: to gather primary sources, keep the rubric consistent, and check coverage. Judgments in the matrix and the wording of the findings were reviewed by the author. Claims were checked against the cited primary sources. The sprint asks that the report be the team's own writing; the author is the sole writer of the submitted prose.</w:t>
      </w:r>
    </w:p>
    <w:p w:rsidR="00000000" w:rsidDel="00000000" w:rsidP="00000000" w:rsidRDefault="00000000" w:rsidRPr="00000000" w14:paraId="00000062">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63">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r>
    </w:p>
    <w:p w:rsidR="00000000" w:rsidDel="00000000" w:rsidP="00000000" w:rsidRDefault="00000000" w:rsidRPr="00000000" w14:paraId="0000006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6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0"/>
          <w:iCs w:val="1"/>
          <w:rtl w:val="0"/>
        </w:rPr>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Incident Response Sprint</w:t>
        </w:r>
      </w:hyperlink>
      <w:r w:rsidDel="00000000" w:rsidR="00000000" w:rsidRPr="00000000">
        <w:rPr>
          <w:rFonts w:ascii="Old Standard TT" w:cs="Old Standard TT" w:eastAsia="Old Standard TT" w:hAnsi="Old Standard TT"/>
          <w:sz w:val="20"/>
          <w:szCs w:val="20"/>
          <w:rtl w:val="0"/>
        </w:rPr>
        <w:t xml:space="preserve">, September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incident-response-sprint-2026-09-11-to-2026-0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