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85156" w14:textId="77777777" w:rsidR="00A41BF1" w:rsidRPr="00857C34" w:rsidRDefault="00F901C8">
      <w:pPr>
        <w:pStyle w:val="Ttulo"/>
        <w:rPr>
          <w:rFonts w:ascii="Times New Roman" w:hAnsi="Times New Roman" w:cs="Times New Roman"/>
          <w:color w:val="auto"/>
        </w:rPr>
      </w:pPr>
      <w:r w:rsidRPr="00857C34">
        <w:rPr>
          <w:rFonts w:ascii="Times New Roman" w:hAnsi="Times New Roman" w:cs="Times New Roman"/>
          <w:color w:val="auto"/>
        </w:rPr>
        <w:t>Taller – Gobierno de Arquitectura aplicado a KOOLT</w:t>
      </w:r>
    </w:p>
    <w:p w14:paraId="54F51F37" w14:textId="77777777" w:rsidR="00A41BF1" w:rsidRPr="00857C34" w:rsidRDefault="00F901C8">
      <w:pPr>
        <w:pStyle w:val="Author"/>
        <w:rPr>
          <w:rFonts w:ascii="Times New Roman" w:hAnsi="Times New Roman" w:cs="Times New Roman"/>
        </w:rPr>
      </w:pPr>
      <w:r w:rsidRPr="00857C34">
        <w:rPr>
          <w:rFonts w:ascii="Times New Roman" w:hAnsi="Times New Roman" w:cs="Times New Roman"/>
        </w:rPr>
        <w:t>Juan Pablo Restrepo · Andrés Mauricio Ricaurte · Juan Felipe Jaime</w:t>
      </w:r>
    </w:p>
    <w:p w14:paraId="5ABB6C0D" w14:textId="77777777" w:rsidR="00A41BF1" w:rsidRPr="00857C34" w:rsidRDefault="00F901C8">
      <w:pPr>
        <w:pStyle w:val="Fecha"/>
        <w:rPr>
          <w:rFonts w:ascii="Times New Roman" w:hAnsi="Times New Roman" w:cs="Times New Roman"/>
        </w:rPr>
      </w:pPr>
      <w:r w:rsidRPr="00857C34">
        <w:rPr>
          <w:rFonts w:ascii="Times New Roman" w:hAnsi="Times New Roman" w:cs="Times New Roman"/>
        </w:rPr>
        <w:t>Universidad de La Sabana · Semestre 2026-1</w:t>
      </w:r>
    </w:p>
    <w:p w14:paraId="632D1E37" w14:textId="77777777" w:rsidR="00A41BF1" w:rsidRPr="00857C34" w:rsidRDefault="00F901C8">
      <w:pPr>
        <w:pStyle w:val="Ttulo1"/>
        <w:rPr>
          <w:rFonts w:ascii="Times New Roman" w:hAnsi="Times New Roman" w:cs="Times New Roman"/>
          <w:color w:val="auto"/>
        </w:rPr>
      </w:pPr>
      <w:bookmarkStart w:id="0" w:name="introducción"/>
      <w:r w:rsidRPr="00857C34">
        <w:rPr>
          <w:rFonts w:ascii="Times New Roman" w:hAnsi="Times New Roman" w:cs="Times New Roman"/>
          <w:color w:val="auto"/>
        </w:rPr>
        <w:t>1. Introducción</w:t>
      </w:r>
    </w:p>
    <w:p w14:paraId="54ED089C"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rPr>
        <w:t>El gobierno de arquitectura no debe entenderse como una capa burocrática adicional, sino como el mecanismo que permite que las decisiones tecnológicas mantengan coherencia con las necesidades del negocio a lo largo del tiempo. En el caso de KOOLT, esta necesidad es especialmente relevante porque la solución integra funciones operativas críticas en un mismo ecosistema: atención al cliente, toma de pedidos desde POS, control de inventarios, validación de insumos y vencimientos, registro de ventas, manejo de c</w:t>
      </w:r>
      <w:r w:rsidRPr="00857C34">
        <w:rPr>
          <w:rFonts w:ascii="Times New Roman" w:hAnsi="Times New Roman" w:cs="Times New Roman"/>
        </w:rPr>
        <w:t>aja, facturación y entrega final del producto.</w:t>
      </w:r>
    </w:p>
    <w:p w14:paraId="24702057" w14:textId="77777777" w:rsidR="00A41BF1" w:rsidRPr="00857C34" w:rsidRDefault="00F901C8">
      <w:pPr>
        <w:pStyle w:val="Textoindependiente"/>
        <w:rPr>
          <w:rFonts w:ascii="Times New Roman" w:hAnsi="Times New Roman" w:cs="Times New Roman"/>
        </w:rPr>
      </w:pPr>
      <w:r w:rsidRPr="00857C34">
        <w:rPr>
          <w:rFonts w:ascii="Times New Roman" w:hAnsi="Times New Roman" w:cs="Times New Roman"/>
        </w:rPr>
        <w:t>Bajo ese contexto, el propósito de este documento es aplicar los conceptos del taller para definir principios arquitectónicos, establecer estándares tecnológicos y documentar decisiones clave mediante ADRs (Architecture Decision Records). El resultado no solo organiza la arquitectura del proyecto, sino que también deja una base clara para futuras evoluciones del sistema.</w:t>
      </w:r>
    </w:p>
    <w:p w14:paraId="7C957102" w14:textId="77777777" w:rsidR="00A41BF1" w:rsidRPr="00857C34" w:rsidRDefault="00F901C8">
      <w:pPr>
        <w:pStyle w:val="Ttulo1"/>
        <w:rPr>
          <w:rFonts w:ascii="Times New Roman" w:hAnsi="Times New Roman" w:cs="Times New Roman"/>
          <w:color w:val="auto"/>
        </w:rPr>
      </w:pPr>
      <w:bookmarkStart w:id="1" w:name="contexto-del-proyecto-koolt"/>
      <w:bookmarkEnd w:id="0"/>
      <w:r w:rsidRPr="00857C34">
        <w:rPr>
          <w:rFonts w:ascii="Times New Roman" w:hAnsi="Times New Roman" w:cs="Times New Roman"/>
          <w:color w:val="auto"/>
        </w:rPr>
        <w:t>2. Contexto del proyecto KOOLT</w:t>
      </w:r>
    </w:p>
    <w:p w14:paraId="0C1D5DE7"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rPr>
        <w:t>KOOLT es una heladería con operación física apoyada por una solución digital que busca centralizar el flujo completo del servicio. El flujo objetivo es el siguiente: llega el cliente, el pedido se registra en el POS, se valida la disponibilidad de inventario, se controla el stock y los vencimientos, se calcula la venta, se gestiona la caja, se factura dentro de la aplicación y finalmente se entrega el producto al cliente.</w:t>
      </w:r>
    </w:p>
    <w:p w14:paraId="5DA82A47" w14:textId="77777777" w:rsidR="00A41BF1" w:rsidRPr="00857C34" w:rsidRDefault="00F901C8">
      <w:pPr>
        <w:pStyle w:val="Textoindependiente"/>
        <w:rPr>
          <w:rFonts w:ascii="Times New Roman" w:hAnsi="Times New Roman" w:cs="Times New Roman"/>
        </w:rPr>
      </w:pPr>
      <w:r w:rsidRPr="00857C34">
        <w:rPr>
          <w:rFonts w:ascii="Times New Roman" w:hAnsi="Times New Roman" w:cs="Times New Roman"/>
        </w:rPr>
        <w:t>Desde el punto de vista arquitectónico, el proyecto necesita evitar dos riesgos frecuentes: por un lado, la fragmentación tecnológica entre módulos aislados; por otro, la pérdida de trazabilidad operativa cuando diferentes áreas trabajan con datos inconsistentes. Por eso, el gobierno de arquitectura debe garantizar tres cosas: decisiones alineadas con el negocio, reducción de variabilidad innecesaria y memoria institucional sobre las decisiones tomadas.</w:t>
      </w:r>
    </w:p>
    <w:p w14:paraId="176ACAF3" w14:textId="77777777" w:rsidR="00A41BF1" w:rsidRPr="00857C34" w:rsidRDefault="00F901C8">
      <w:pPr>
        <w:pStyle w:val="Ttulo1"/>
        <w:rPr>
          <w:rFonts w:ascii="Times New Roman" w:hAnsi="Times New Roman" w:cs="Times New Roman"/>
          <w:color w:val="auto"/>
        </w:rPr>
      </w:pPr>
      <w:bookmarkStart w:id="2" w:name="principios-arquitectónicos"/>
      <w:bookmarkEnd w:id="1"/>
      <w:r w:rsidRPr="00857C34">
        <w:rPr>
          <w:rFonts w:ascii="Times New Roman" w:hAnsi="Times New Roman" w:cs="Times New Roman"/>
          <w:color w:val="auto"/>
        </w:rPr>
        <w:t>3. Principios arquitectónicos</w:t>
      </w:r>
    </w:p>
    <w:p w14:paraId="76F887FE" w14:textId="77777777" w:rsidR="00A41BF1" w:rsidRPr="00857C34" w:rsidRDefault="00F901C8">
      <w:pPr>
        <w:pStyle w:val="Ttulo2"/>
        <w:rPr>
          <w:rFonts w:ascii="Times New Roman" w:hAnsi="Times New Roman" w:cs="Times New Roman"/>
          <w:color w:val="auto"/>
        </w:rPr>
      </w:pPr>
      <w:bookmarkStart w:id="3" w:name="fuente-única-de-verdad-operativa"/>
      <w:r w:rsidRPr="00857C34">
        <w:rPr>
          <w:rFonts w:ascii="Times New Roman" w:hAnsi="Times New Roman" w:cs="Times New Roman"/>
          <w:color w:val="auto"/>
        </w:rPr>
        <w:t>3.1. Fuente única de verdad operativa</w:t>
      </w:r>
    </w:p>
    <w:p w14:paraId="3786128F"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b/>
          <w:bCs/>
        </w:rPr>
        <w:t>Declaración.</w:t>
      </w:r>
      <w:r w:rsidRPr="00857C34">
        <w:rPr>
          <w:rFonts w:ascii="Times New Roman" w:hAnsi="Times New Roman" w:cs="Times New Roman"/>
        </w:rPr>
        <w:t xml:space="preserve"> Toda la información crítica del negocio —pedidos, pagos, inventario, caja, facturación y vencimientos— debe mantenerse en una única fuente transaccional consistente.</w:t>
      </w:r>
    </w:p>
    <w:p w14:paraId="2D82D862" w14:textId="77777777" w:rsidR="00A41BF1" w:rsidRPr="00857C34" w:rsidRDefault="00F901C8">
      <w:pPr>
        <w:pStyle w:val="Textoindependiente"/>
        <w:rPr>
          <w:rFonts w:ascii="Times New Roman" w:hAnsi="Times New Roman" w:cs="Times New Roman"/>
        </w:rPr>
      </w:pPr>
      <w:r w:rsidRPr="00857C34">
        <w:rPr>
          <w:rFonts w:ascii="Times New Roman" w:hAnsi="Times New Roman" w:cs="Times New Roman"/>
          <w:b/>
          <w:bCs/>
        </w:rPr>
        <w:lastRenderedPageBreak/>
        <w:t>Explicación.</w:t>
      </w:r>
      <w:r w:rsidRPr="00857C34">
        <w:rPr>
          <w:rFonts w:ascii="Times New Roman" w:hAnsi="Times New Roman" w:cs="Times New Roman"/>
        </w:rPr>
        <w:t xml:space="preserve"> Un principio arquitectónico no define una herramienta específica; define cómo debe pensarse el sistema. En este caso, la regla de diseño es que ninguna parte de la operación debe depender de registros paralelos, cálculos manuales o bases no sincronizadas.</w:t>
      </w:r>
    </w:p>
    <w:p w14:paraId="0FB3F8AD" w14:textId="77777777" w:rsidR="00A41BF1" w:rsidRPr="00857C34" w:rsidRDefault="00F901C8">
      <w:pPr>
        <w:pStyle w:val="Textoindependiente"/>
        <w:rPr>
          <w:rFonts w:ascii="Times New Roman" w:hAnsi="Times New Roman" w:cs="Times New Roman"/>
        </w:rPr>
      </w:pPr>
      <w:r w:rsidRPr="00857C34">
        <w:rPr>
          <w:rFonts w:ascii="Times New Roman" w:hAnsi="Times New Roman" w:cs="Times New Roman"/>
          <w:b/>
          <w:bCs/>
        </w:rPr>
        <w:t>Justificación en KOOLT.</w:t>
      </w:r>
      <w:r w:rsidRPr="00857C34">
        <w:rPr>
          <w:rFonts w:ascii="Times New Roman" w:hAnsi="Times New Roman" w:cs="Times New Roman"/>
        </w:rPr>
        <w:t xml:space="preserve"> Para KOOLT, este principio es esencial porque la operación depende de que caja, inventario, cocina y administración trabajen sobre el mismo dato. Si el POS registra una venta pero el inventario no se actualiza en el mismo punto de verdad, aparecen inconsistencias en stock, errores de caja o problemas con productos vencidos. Este principio </w:t>
      </w:r>
      <w:proofErr w:type="gramStart"/>
      <w:r w:rsidRPr="00857C34">
        <w:rPr>
          <w:rFonts w:ascii="Times New Roman" w:hAnsi="Times New Roman" w:cs="Times New Roman"/>
        </w:rPr>
        <w:t>reduce</w:t>
      </w:r>
      <w:proofErr w:type="gramEnd"/>
      <w:r w:rsidRPr="00857C34">
        <w:rPr>
          <w:rFonts w:ascii="Times New Roman" w:hAnsi="Times New Roman" w:cs="Times New Roman"/>
        </w:rPr>
        <w:t xml:space="preserve"> la entropía del sistema y mejora la trazabilidad de extremo </w:t>
      </w:r>
      <w:proofErr w:type="gramStart"/>
      <w:r w:rsidRPr="00857C34">
        <w:rPr>
          <w:rFonts w:ascii="Times New Roman" w:hAnsi="Times New Roman" w:cs="Times New Roman"/>
        </w:rPr>
        <w:t>a</w:t>
      </w:r>
      <w:proofErr w:type="gramEnd"/>
      <w:r w:rsidRPr="00857C34">
        <w:rPr>
          <w:rFonts w:ascii="Times New Roman" w:hAnsi="Times New Roman" w:cs="Times New Roman"/>
        </w:rPr>
        <w:t xml:space="preserve"> extremo.</w:t>
      </w:r>
    </w:p>
    <w:p w14:paraId="0657CCDC" w14:textId="77777777" w:rsidR="00A41BF1" w:rsidRPr="00857C34" w:rsidRDefault="00F901C8">
      <w:pPr>
        <w:pStyle w:val="Ttulo2"/>
        <w:rPr>
          <w:rFonts w:ascii="Times New Roman" w:hAnsi="Times New Roman" w:cs="Times New Roman"/>
          <w:color w:val="auto"/>
        </w:rPr>
      </w:pPr>
      <w:bookmarkStart w:id="4" w:name="trazabilidad-completa-del-pedido"/>
      <w:bookmarkEnd w:id="3"/>
      <w:r w:rsidRPr="00857C34">
        <w:rPr>
          <w:rFonts w:ascii="Times New Roman" w:hAnsi="Times New Roman" w:cs="Times New Roman"/>
          <w:color w:val="auto"/>
        </w:rPr>
        <w:t>3.2. Trazabilidad completa del pedido</w:t>
      </w:r>
    </w:p>
    <w:p w14:paraId="715AB663"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b/>
          <w:bCs/>
        </w:rPr>
        <w:t>Declaración.</w:t>
      </w:r>
      <w:r w:rsidRPr="00857C34">
        <w:rPr>
          <w:rFonts w:ascii="Times New Roman" w:hAnsi="Times New Roman" w:cs="Times New Roman"/>
        </w:rPr>
        <w:t xml:space="preserve"> Cada pedido debe poder seguirse desde la toma inicial hasta la entrega y facturación final.</w:t>
      </w:r>
    </w:p>
    <w:p w14:paraId="4013E315" w14:textId="77777777" w:rsidR="00A41BF1" w:rsidRPr="00857C34" w:rsidRDefault="00F901C8">
      <w:pPr>
        <w:pStyle w:val="Textoindependiente"/>
        <w:rPr>
          <w:rFonts w:ascii="Times New Roman" w:hAnsi="Times New Roman" w:cs="Times New Roman"/>
        </w:rPr>
      </w:pPr>
      <w:r w:rsidRPr="00857C34">
        <w:rPr>
          <w:rFonts w:ascii="Times New Roman" w:hAnsi="Times New Roman" w:cs="Times New Roman"/>
          <w:b/>
          <w:bCs/>
        </w:rPr>
        <w:t>Explicación.</w:t>
      </w:r>
      <w:r w:rsidRPr="00857C34">
        <w:rPr>
          <w:rFonts w:ascii="Times New Roman" w:hAnsi="Times New Roman" w:cs="Times New Roman"/>
        </w:rPr>
        <w:t xml:space="preserve"> La trazabilidad implica que cada paso deje evidencia suficiente para reconstruir qué ocurrió, cuándo ocurrió y quién intervino. Esto incluye cambios de estado, validaciones, eventos de pago y cierre del proceso.</w:t>
      </w:r>
    </w:p>
    <w:p w14:paraId="55FB84DA" w14:textId="77777777" w:rsidR="00A41BF1" w:rsidRPr="00857C34" w:rsidRDefault="00F901C8">
      <w:pPr>
        <w:pStyle w:val="Textoindependiente"/>
        <w:rPr>
          <w:rFonts w:ascii="Times New Roman" w:hAnsi="Times New Roman" w:cs="Times New Roman"/>
        </w:rPr>
      </w:pPr>
      <w:r w:rsidRPr="00857C34">
        <w:rPr>
          <w:rFonts w:ascii="Times New Roman" w:hAnsi="Times New Roman" w:cs="Times New Roman"/>
          <w:b/>
          <w:bCs/>
        </w:rPr>
        <w:t>Justificación en KOOLT.</w:t>
      </w:r>
      <w:r w:rsidRPr="00857C34">
        <w:rPr>
          <w:rFonts w:ascii="Times New Roman" w:hAnsi="Times New Roman" w:cs="Times New Roman"/>
        </w:rPr>
        <w:t xml:space="preserve"> En un entorno de operación presencial, la trazabilidad permite resolver reclamos, identificar retrasos, detectar errores de facturación y entender mejor la operación real de la tienda. Además, sirve como base para auditoría, control de caja y análisis de eficiencia. Este principio conecta directamente con la necesidad de gobierno porque permite tomar decisiones sobre hechos verificables, no sobre suposiciones.</w:t>
      </w:r>
    </w:p>
    <w:p w14:paraId="2D249270" w14:textId="77777777" w:rsidR="00A41BF1" w:rsidRPr="00857C34" w:rsidRDefault="00F901C8">
      <w:pPr>
        <w:pStyle w:val="Ttulo2"/>
        <w:rPr>
          <w:rFonts w:ascii="Times New Roman" w:hAnsi="Times New Roman" w:cs="Times New Roman"/>
          <w:color w:val="auto"/>
        </w:rPr>
      </w:pPr>
      <w:bookmarkStart w:id="5" w:name="Xed59af7d24689b4e264d9346c6d2aee1946bdf2"/>
      <w:bookmarkEnd w:id="4"/>
      <w:r w:rsidRPr="00857C34">
        <w:rPr>
          <w:rFonts w:ascii="Times New Roman" w:hAnsi="Times New Roman" w:cs="Times New Roman"/>
          <w:color w:val="auto"/>
        </w:rPr>
        <w:t>3.3. Simplicidad tecnológica con bajo acoplamiento</w:t>
      </w:r>
    </w:p>
    <w:p w14:paraId="6F129419"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b/>
          <w:bCs/>
        </w:rPr>
        <w:t>Declaración.</w:t>
      </w:r>
      <w:r w:rsidRPr="00857C34">
        <w:rPr>
          <w:rFonts w:ascii="Times New Roman" w:hAnsi="Times New Roman" w:cs="Times New Roman"/>
        </w:rPr>
        <w:t xml:space="preserve"> La solución debe mantenerse simple de operar, pero con componentes desacoplados funcionalmente.</w:t>
      </w:r>
    </w:p>
    <w:p w14:paraId="36C872E0" w14:textId="77777777" w:rsidR="00A41BF1" w:rsidRPr="00857C34" w:rsidRDefault="00F901C8">
      <w:pPr>
        <w:pStyle w:val="Textoindependiente"/>
        <w:rPr>
          <w:rFonts w:ascii="Times New Roman" w:hAnsi="Times New Roman" w:cs="Times New Roman"/>
        </w:rPr>
      </w:pPr>
      <w:r w:rsidRPr="00857C34">
        <w:rPr>
          <w:rFonts w:ascii="Times New Roman" w:hAnsi="Times New Roman" w:cs="Times New Roman"/>
          <w:b/>
          <w:bCs/>
        </w:rPr>
        <w:t>Explicación.</w:t>
      </w:r>
      <w:r w:rsidRPr="00857C34">
        <w:rPr>
          <w:rFonts w:ascii="Times New Roman" w:hAnsi="Times New Roman" w:cs="Times New Roman"/>
        </w:rPr>
        <w:t xml:space="preserve"> La simplicidad evita sobreingeniería; el bajo acoplamiento evita que un cambio menor rompa el sistema completo. El objetivo no es diseñar una arquitectura maximalista, sino una arquitectura sostenible.</w:t>
      </w:r>
    </w:p>
    <w:p w14:paraId="42EBD584" w14:textId="77777777" w:rsidR="00A41BF1" w:rsidRPr="00857C34" w:rsidRDefault="00F901C8">
      <w:pPr>
        <w:pStyle w:val="Textoindependiente"/>
        <w:rPr>
          <w:rFonts w:ascii="Times New Roman" w:hAnsi="Times New Roman" w:cs="Times New Roman"/>
        </w:rPr>
      </w:pPr>
      <w:r w:rsidRPr="00857C34">
        <w:rPr>
          <w:rFonts w:ascii="Times New Roman" w:hAnsi="Times New Roman" w:cs="Times New Roman"/>
          <w:b/>
          <w:bCs/>
        </w:rPr>
        <w:t>Justificación en KOOLT.</w:t>
      </w:r>
      <w:r w:rsidRPr="00857C34">
        <w:rPr>
          <w:rFonts w:ascii="Times New Roman" w:hAnsi="Times New Roman" w:cs="Times New Roman"/>
        </w:rPr>
        <w:t xml:space="preserve"> KOOLT no requiere una plataforma sobredimensionada, pero sí necesita que POS, inventario, facturación, caja y administración puedan evolucionar sin generar dependencias innecesarias. Este principio permite que el sistema crezca de manera controlada y reduce el costo futuro de mantenimiento.</w:t>
      </w:r>
    </w:p>
    <w:p w14:paraId="6C6AF022" w14:textId="77777777" w:rsidR="00A41BF1" w:rsidRPr="00857C34" w:rsidRDefault="00F901C8">
      <w:pPr>
        <w:pStyle w:val="Ttulo1"/>
        <w:rPr>
          <w:rFonts w:ascii="Times New Roman" w:hAnsi="Times New Roman" w:cs="Times New Roman"/>
          <w:color w:val="auto"/>
        </w:rPr>
      </w:pPr>
      <w:bookmarkStart w:id="6" w:name="estándares-tecnológicos-definidos"/>
      <w:bookmarkEnd w:id="2"/>
      <w:bookmarkEnd w:id="5"/>
      <w:r w:rsidRPr="00857C34">
        <w:rPr>
          <w:rFonts w:ascii="Times New Roman" w:hAnsi="Times New Roman" w:cs="Times New Roman"/>
          <w:color w:val="auto"/>
        </w:rPr>
        <w:t>4. Estándares tecnológicos definidos</w:t>
      </w:r>
    </w:p>
    <w:p w14:paraId="5D8B379E"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rPr>
        <w:t>Los estándares son el catálogo aprobado de tecnologías y prácticas permitidas. Su función es reducir la variabilidad innecesaria, facilitar mantenimiento y asegurar que el equipo tome decisiones dentro de un marco controlado.</w:t>
      </w:r>
    </w:p>
    <w:tbl>
      <w:tblPr>
        <w:tblStyle w:val="Table"/>
        <w:tblW w:w="5000" w:type="pct"/>
        <w:tblLayout w:type="fixed"/>
        <w:tblLook w:val="0020" w:firstRow="1" w:lastRow="0" w:firstColumn="0" w:lastColumn="0" w:noHBand="0" w:noVBand="0"/>
      </w:tblPr>
      <w:tblGrid>
        <w:gridCol w:w="2209"/>
        <w:gridCol w:w="2209"/>
        <w:gridCol w:w="2210"/>
        <w:gridCol w:w="2210"/>
      </w:tblGrid>
      <w:tr w:rsidR="00A41BF1" w:rsidRPr="00857C34" w14:paraId="3B742F21" w14:textId="77777777" w:rsidTr="00A41BF1">
        <w:trPr>
          <w:cnfStyle w:val="100000000000" w:firstRow="1" w:lastRow="0" w:firstColumn="0" w:lastColumn="0" w:oddVBand="0" w:evenVBand="0" w:oddHBand="0" w:evenHBand="0" w:firstRowFirstColumn="0" w:firstRowLastColumn="0" w:lastRowFirstColumn="0" w:lastRowLastColumn="0"/>
          <w:tblHeader/>
        </w:trPr>
        <w:tc>
          <w:tcPr>
            <w:tcW w:w="1980" w:type="dxa"/>
          </w:tcPr>
          <w:p w14:paraId="40E19E90"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t>Categoría</w:t>
            </w:r>
          </w:p>
        </w:tc>
        <w:tc>
          <w:tcPr>
            <w:tcW w:w="1980" w:type="dxa"/>
          </w:tcPr>
          <w:p w14:paraId="2A8CBEF3"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t>Estándar definido</w:t>
            </w:r>
          </w:p>
        </w:tc>
        <w:tc>
          <w:tcPr>
            <w:tcW w:w="1980" w:type="dxa"/>
          </w:tcPr>
          <w:p w14:paraId="74863270"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t>Razón de adopción</w:t>
            </w:r>
          </w:p>
        </w:tc>
        <w:tc>
          <w:tcPr>
            <w:tcW w:w="1980" w:type="dxa"/>
          </w:tcPr>
          <w:p w14:paraId="5B49DB70"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t>Aplicación en KOOLT</w:t>
            </w:r>
          </w:p>
        </w:tc>
      </w:tr>
      <w:tr w:rsidR="00A41BF1" w:rsidRPr="00857C34" w14:paraId="0E8CFFE0" w14:textId="77777777">
        <w:tc>
          <w:tcPr>
            <w:tcW w:w="1980" w:type="dxa"/>
          </w:tcPr>
          <w:p w14:paraId="7340DDDA"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t xml:space="preserve">Lenguaje / </w:t>
            </w:r>
            <w:r w:rsidRPr="00857C34">
              <w:rPr>
                <w:rFonts w:ascii="Times New Roman" w:hAnsi="Times New Roman" w:cs="Times New Roman"/>
              </w:rPr>
              <w:lastRenderedPageBreak/>
              <w:t>framework</w:t>
            </w:r>
          </w:p>
        </w:tc>
        <w:tc>
          <w:tcPr>
            <w:tcW w:w="1980" w:type="dxa"/>
          </w:tcPr>
          <w:p w14:paraId="1A8BDE5F"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lastRenderedPageBreak/>
              <w:t xml:space="preserve">TypeScript para </w:t>
            </w:r>
            <w:r w:rsidRPr="00857C34">
              <w:rPr>
                <w:rFonts w:ascii="Times New Roman" w:hAnsi="Times New Roman" w:cs="Times New Roman"/>
              </w:rPr>
              <w:lastRenderedPageBreak/>
              <w:t>interfaces y Supabase como plataforma principal de backend y datos.</w:t>
            </w:r>
          </w:p>
        </w:tc>
        <w:tc>
          <w:tcPr>
            <w:tcW w:w="1980" w:type="dxa"/>
          </w:tcPr>
          <w:p w14:paraId="02DEA4D4"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lastRenderedPageBreak/>
              <w:t xml:space="preserve">Reduce dispersión </w:t>
            </w:r>
            <w:r w:rsidRPr="00857C34">
              <w:rPr>
                <w:rFonts w:ascii="Times New Roman" w:hAnsi="Times New Roman" w:cs="Times New Roman"/>
              </w:rPr>
              <w:lastRenderedPageBreak/>
              <w:t>tecnológica y facilita mantenimiento.</w:t>
            </w:r>
          </w:p>
        </w:tc>
        <w:tc>
          <w:tcPr>
            <w:tcW w:w="1980" w:type="dxa"/>
          </w:tcPr>
          <w:p w14:paraId="326602FA"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lastRenderedPageBreak/>
              <w:t xml:space="preserve">Permite soportar </w:t>
            </w:r>
            <w:r w:rsidRPr="00857C34">
              <w:rPr>
                <w:rFonts w:ascii="Times New Roman" w:hAnsi="Times New Roman" w:cs="Times New Roman"/>
              </w:rPr>
              <w:lastRenderedPageBreak/>
              <w:t>POS, administración, inventario y facturación con una base tecnológica coherente.</w:t>
            </w:r>
          </w:p>
        </w:tc>
      </w:tr>
      <w:tr w:rsidR="00A41BF1" w:rsidRPr="00857C34" w14:paraId="4AFD9337" w14:textId="77777777">
        <w:tc>
          <w:tcPr>
            <w:tcW w:w="1980" w:type="dxa"/>
          </w:tcPr>
          <w:p w14:paraId="5240F0B1"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lastRenderedPageBreak/>
              <w:t>Comunicación</w:t>
            </w:r>
          </w:p>
        </w:tc>
        <w:tc>
          <w:tcPr>
            <w:tcW w:w="1980" w:type="dxa"/>
          </w:tcPr>
          <w:p w14:paraId="205E989C"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t>REST para operaciones críticas y sincronización en tiempo real para cambios de estado.</w:t>
            </w:r>
          </w:p>
        </w:tc>
        <w:tc>
          <w:tcPr>
            <w:tcW w:w="1980" w:type="dxa"/>
          </w:tcPr>
          <w:p w14:paraId="68115822"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t>Mantiene simplicidad para transacciones y agilidad para la operación.</w:t>
            </w:r>
          </w:p>
        </w:tc>
        <w:tc>
          <w:tcPr>
            <w:tcW w:w="1980" w:type="dxa"/>
          </w:tcPr>
          <w:p w14:paraId="7C6F0AC8"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t>Pedido, inventario, caja y facturación viajan por REST; los estados visibles para la operación se reflejan en tiempo real.</w:t>
            </w:r>
          </w:p>
        </w:tc>
      </w:tr>
      <w:tr w:rsidR="00A41BF1" w:rsidRPr="00857C34" w14:paraId="534811BD" w14:textId="77777777">
        <w:tc>
          <w:tcPr>
            <w:tcW w:w="1980" w:type="dxa"/>
          </w:tcPr>
          <w:p w14:paraId="7D0588DB"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t>Infraestructura</w:t>
            </w:r>
          </w:p>
        </w:tc>
        <w:tc>
          <w:tcPr>
            <w:tcW w:w="1980" w:type="dxa"/>
          </w:tcPr>
          <w:p w14:paraId="58603EA1"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t>Supabase Cloud como base transaccional, autenticación y persistencia; dispositivos POS/tablet en tienda conectados a la aplicación.</w:t>
            </w:r>
          </w:p>
        </w:tc>
        <w:tc>
          <w:tcPr>
            <w:tcW w:w="1980" w:type="dxa"/>
          </w:tcPr>
          <w:p w14:paraId="7F4F971A"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t>Reduce complejidad de despliegue y acelera la implementación.</w:t>
            </w:r>
          </w:p>
        </w:tc>
        <w:tc>
          <w:tcPr>
            <w:tcW w:w="1980" w:type="dxa"/>
          </w:tcPr>
          <w:p w14:paraId="2B64C0E0" w14:textId="77777777" w:rsidR="00A41BF1" w:rsidRPr="00857C34" w:rsidRDefault="00F901C8">
            <w:pPr>
              <w:pStyle w:val="Compact"/>
              <w:rPr>
                <w:rFonts w:ascii="Times New Roman" w:hAnsi="Times New Roman" w:cs="Times New Roman"/>
              </w:rPr>
            </w:pPr>
            <w:r w:rsidRPr="00857C34">
              <w:rPr>
                <w:rFonts w:ascii="Times New Roman" w:hAnsi="Times New Roman" w:cs="Times New Roman"/>
              </w:rPr>
              <w:t>Soporta ventas, caja, vencimientos, inventario y trazabilidad desde una sola plataforma gestionada.</w:t>
            </w:r>
          </w:p>
        </w:tc>
      </w:tr>
    </w:tbl>
    <w:p w14:paraId="0EDD5AA0" w14:textId="77777777" w:rsidR="00A41BF1" w:rsidRPr="00857C34" w:rsidRDefault="00F901C8">
      <w:pPr>
        <w:pStyle w:val="Ttulo2"/>
        <w:rPr>
          <w:rFonts w:ascii="Times New Roman" w:hAnsi="Times New Roman" w:cs="Times New Roman"/>
          <w:color w:val="auto"/>
        </w:rPr>
      </w:pPr>
      <w:bookmarkStart w:id="7" w:name="estándar-de-lenguaje-y-framework"/>
      <w:r w:rsidRPr="00857C34">
        <w:rPr>
          <w:rFonts w:ascii="Times New Roman" w:hAnsi="Times New Roman" w:cs="Times New Roman"/>
          <w:color w:val="auto"/>
        </w:rPr>
        <w:t>4.1. Estándar de lenguaje y framework</w:t>
      </w:r>
    </w:p>
    <w:p w14:paraId="5CEA733B"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rPr>
        <w:t>Se adopta TypeScript como lenguaje principal para las interfaces de usuario y Supabase como plataforma administrada para los servicios centrales del sistema. Esta decisión responde a una necesidad clara: evitar un ecosistema híbrido difícil de mantener. Un stack acotado mejora el onboarding del equipo, simplifica el soporte y reduce errores de integración.</w:t>
      </w:r>
    </w:p>
    <w:p w14:paraId="295386BC" w14:textId="77777777" w:rsidR="00A41BF1" w:rsidRPr="00857C34" w:rsidRDefault="00F901C8">
      <w:pPr>
        <w:pStyle w:val="Ttulo2"/>
        <w:rPr>
          <w:rFonts w:ascii="Times New Roman" w:hAnsi="Times New Roman" w:cs="Times New Roman"/>
          <w:color w:val="auto"/>
        </w:rPr>
      </w:pPr>
      <w:bookmarkStart w:id="8" w:name="estándar-de-comunicación"/>
      <w:bookmarkEnd w:id="7"/>
      <w:r w:rsidRPr="00857C34">
        <w:rPr>
          <w:rFonts w:ascii="Times New Roman" w:hAnsi="Times New Roman" w:cs="Times New Roman"/>
          <w:color w:val="auto"/>
        </w:rPr>
        <w:t>4.2. Estándar de comunicación</w:t>
      </w:r>
    </w:p>
    <w:p w14:paraId="0464AE25"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rPr>
        <w:t>La arquitectura de KOOLT debe privilegiar comunicación síncrona vía REST para operaciones críticas como registrar pedidos, validar inventario, procesar caja y emitir factura. Sin embargo, para cambios de estado operativos visibles por varias áreas, se recomienda aprovechar capacidades de sincronización en tiempo real. Este estándar es coherente con el principio de simplicidad tecnológica: se resuelve la necesidad real sin introducir complejidad de una arquitectura de eventos completa.</w:t>
      </w:r>
    </w:p>
    <w:p w14:paraId="25797EBC" w14:textId="77777777" w:rsidR="00A41BF1" w:rsidRPr="00857C34" w:rsidRDefault="00F901C8">
      <w:pPr>
        <w:pStyle w:val="Ttulo2"/>
        <w:rPr>
          <w:rFonts w:ascii="Times New Roman" w:hAnsi="Times New Roman" w:cs="Times New Roman"/>
          <w:color w:val="auto"/>
        </w:rPr>
      </w:pPr>
      <w:bookmarkStart w:id="9" w:name="estándar-de-infraestructura"/>
      <w:bookmarkEnd w:id="8"/>
      <w:r w:rsidRPr="00857C34">
        <w:rPr>
          <w:rFonts w:ascii="Times New Roman" w:hAnsi="Times New Roman" w:cs="Times New Roman"/>
          <w:color w:val="auto"/>
        </w:rPr>
        <w:t>4.3. Estándar de infraestructura</w:t>
      </w:r>
    </w:p>
    <w:p w14:paraId="40FFBC1A"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rPr>
        <w:t>La infraestructura aprobada se basa en una solución cloud administrada centrada en Supabase, con dispositivos de tienda conectados al servicio. El valor de este estándar está en que la operación no depende de desplegar y mantener infraestructura propia compleja, lo cual es razonable para el tamaño y la madurez actual del proyecto.</w:t>
      </w:r>
    </w:p>
    <w:p w14:paraId="2DE00810" w14:textId="77777777" w:rsidR="00A41BF1" w:rsidRPr="00857C34" w:rsidRDefault="00F901C8">
      <w:pPr>
        <w:pStyle w:val="Ttulo1"/>
        <w:rPr>
          <w:rFonts w:ascii="Times New Roman" w:hAnsi="Times New Roman" w:cs="Times New Roman"/>
          <w:color w:val="auto"/>
        </w:rPr>
      </w:pPr>
      <w:bookmarkStart w:id="10" w:name="trade-offs-asumidos"/>
      <w:bookmarkEnd w:id="6"/>
      <w:bookmarkEnd w:id="9"/>
      <w:r w:rsidRPr="00857C34">
        <w:rPr>
          <w:rFonts w:ascii="Times New Roman" w:hAnsi="Times New Roman" w:cs="Times New Roman"/>
          <w:color w:val="auto"/>
        </w:rPr>
        <w:lastRenderedPageBreak/>
        <w:t>5. Trade-offs asumidos</w:t>
      </w:r>
    </w:p>
    <w:p w14:paraId="06A226C2"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rPr>
        <w:t>La arquitectura siempre implica compensaciones. El objetivo del gobierno no es eliminar los trade-offs, sino hacerlos explícitos y aceptarlos conscientemente.</w:t>
      </w:r>
    </w:p>
    <w:p w14:paraId="15B584E5" w14:textId="77777777" w:rsidR="00A41BF1" w:rsidRPr="00857C34" w:rsidRDefault="00F901C8">
      <w:pPr>
        <w:pStyle w:val="Ttulo2"/>
        <w:rPr>
          <w:rFonts w:ascii="Times New Roman" w:hAnsi="Times New Roman" w:cs="Times New Roman"/>
          <w:color w:val="auto"/>
        </w:rPr>
      </w:pPr>
      <w:bookmarkStart w:id="11" w:name="simplicidad-vs.-desacoplamiento-extremo"/>
      <w:r w:rsidRPr="00857C34">
        <w:rPr>
          <w:rFonts w:ascii="Times New Roman" w:hAnsi="Times New Roman" w:cs="Times New Roman"/>
          <w:color w:val="auto"/>
        </w:rPr>
        <w:t>5.1. Simplicidad vs. desacoplamiento extremo</w:t>
      </w:r>
    </w:p>
    <w:p w14:paraId="6FB8034E"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rPr>
        <w:t>Se descarta, por ahora, una arquitectura de microservicios completa con bus de eventos independiente. Aunque esa opción podría aumentar el desacoplamiento, también elevaría de forma innecesaria la complejidad operativa. En el contexto actual de KOOLT, es más valioso mantener una solución simple, entendible y sostenible.</w:t>
      </w:r>
    </w:p>
    <w:p w14:paraId="0163B76F" w14:textId="77777777" w:rsidR="00A41BF1" w:rsidRPr="00857C34" w:rsidRDefault="00F901C8">
      <w:pPr>
        <w:pStyle w:val="Ttulo2"/>
        <w:rPr>
          <w:rFonts w:ascii="Times New Roman" w:hAnsi="Times New Roman" w:cs="Times New Roman"/>
          <w:color w:val="auto"/>
        </w:rPr>
      </w:pPr>
      <w:bookmarkStart w:id="12" w:name="Xdd3100260120580549bbfb6cff0f89b98dc2598"/>
      <w:bookmarkEnd w:id="11"/>
      <w:r w:rsidRPr="00857C34">
        <w:rPr>
          <w:rFonts w:ascii="Times New Roman" w:hAnsi="Times New Roman" w:cs="Times New Roman"/>
          <w:color w:val="auto"/>
        </w:rPr>
        <w:t>5.2. Dependencia de plataforma administrada vs. velocidad de implementación</w:t>
      </w:r>
    </w:p>
    <w:p w14:paraId="6980C69C"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rPr>
        <w:t>Adoptar Supabase como núcleo del sistema implica depender de una plataforma externa gestionada. El costo de esta decisión es una menor flexibilidad absoluta frente a un backend construido totalmente a medida. Sin embargo, el beneficio inmediato es una implementación más rápida, menor carga operativa y un punto único de verdad para la operación.</w:t>
      </w:r>
    </w:p>
    <w:p w14:paraId="0C502BBD" w14:textId="77777777" w:rsidR="00A41BF1" w:rsidRPr="00857C34" w:rsidRDefault="00F901C8">
      <w:pPr>
        <w:pStyle w:val="Ttulo2"/>
        <w:rPr>
          <w:rFonts w:ascii="Times New Roman" w:hAnsi="Times New Roman" w:cs="Times New Roman"/>
          <w:color w:val="auto"/>
        </w:rPr>
      </w:pPr>
      <w:bookmarkStart w:id="13" w:name="X8215801d0908004d65db529baabb21e13429d34"/>
      <w:bookmarkEnd w:id="12"/>
      <w:r w:rsidRPr="00857C34">
        <w:rPr>
          <w:rFonts w:ascii="Times New Roman" w:hAnsi="Times New Roman" w:cs="Times New Roman"/>
          <w:color w:val="auto"/>
        </w:rPr>
        <w:t>5.3. Consistencia fuerte operativa vs. experiencia fluida en tiempo real</w:t>
      </w:r>
    </w:p>
    <w:p w14:paraId="7AAAA129"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rPr>
        <w:t>Para caja, inventario y facturación se privilegia la consistencia transaccional. Para cambios de estado operativos se acepta sincronización en tiempo real que no necesariamente requiere el mismo rigor transaccional de una operación financiera. Esta compensación es razonable, porque protege los procesos más sensibles y al mismo tiempo mantiene una experiencia ágil para la operación diaria.</w:t>
      </w:r>
    </w:p>
    <w:p w14:paraId="7EF5A83D" w14:textId="77777777" w:rsidR="00A41BF1" w:rsidRPr="00857C34" w:rsidRDefault="00F901C8">
      <w:pPr>
        <w:pStyle w:val="Ttulo1"/>
        <w:rPr>
          <w:rFonts w:ascii="Times New Roman" w:hAnsi="Times New Roman" w:cs="Times New Roman"/>
          <w:color w:val="auto"/>
        </w:rPr>
      </w:pPr>
      <w:bookmarkStart w:id="14" w:name="X57669d95aadf2ef0ea63e9d77615f72d4f3d7df"/>
      <w:bookmarkEnd w:id="10"/>
      <w:bookmarkEnd w:id="13"/>
      <w:r w:rsidRPr="00857C34">
        <w:rPr>
          <w:rFonts w:ascii="Times New Roman" w:hAnsi="Times New Roman" w:cs="Times New Roman"/>
          <w:color w:val="auto"/>
        </w:rPr>
        <w:t>6. Decisiones arquitectónicas documentadas (ADRs)</w:t>
      </w:r>
    </w:p>
    <w:p w14:paraId="3144203A" w14:textId="77777777" w:rsidR="00A41BF1" w:rsidRPr="00857C34" w:rsidRDefault="00F901C8">
      <w:pPr>
        <w:pStyle w:val="Ttulo2"/>
        <w:rPr>
          <w:rFonts w:ascii="Times New Roman" w:hAnsi="Times New Roman" w:cs="Times New Roman"/>
          <w:color w:val="auto"/>
        </w:rPr>
      </w:pPr>
      <w:bookmarkStart w:id="15" w:name="X9546f40fd664c456fabfe6ac2253a979bf9c6bc"/>
      <w:r w:rsidRPr="00857C34">
        <w:rPr>
          <w:rFonts w:ascii="Times New Roman" w:hAnsi="Times New Roman" w:cs="Times New Roman"/>
          <w:color w:val="auto"/>
        </w:rPr>
        <w:t>ADR-01. Adoptar Supabase como núcleo transaccional del sistema</w:t>
      </w:r>
    </w:p>
    <w:p w14:paraId="1D95127C"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b/>
          <w:bCs/>
        </w:rPr>
        <w:t>Contexto del problema.</w:t>
      </w:r>
      <w:r w:rsidRPr="00857C34">
        <w:rPr>
          <w:rFonts w:ascii="Times New Roman" w:hAnsi="Times New Roman" w:cs="Times New Roman"/>
        </w:rPr>
        <w:t xml:space="preserve"> KOOLT necesita centralizar pedidos, ventas, caja, inventario, control de vencimientos y facturación en una sola plataforma. Un enfoque disperso, con múltiples herramientas o registros paralelos, incrementaría la probabilidad de inconsistencias y haría más difícil la trazabilidad.</w:t>
      </w:r>
    </w:p>
    <w:p w14:paraId="7AF2E879" w14:textId="77777777" w:rsidR="00A41BF1" w:rsidRPr="00857C34" w:rsidRDefault="00F901C8">
      <w:pPr>
        <w:pStyle w:val="Textoindependiente"/>
        <w:rPr>
          <w:rFonts w:ascii="Times New Roman" w:hAnsi="Times New Roman" w:cs="Times New Roman"/>
        </w:rPr>
      </w:pPr>
      <w:r w:rsidRPr="00857C34">
        <w:rPr>
          <w:rFonts w:ascii="Times New Roman" w:hAnsi="Times New Roman" w:cs="Times New Roman"/>
          <w:b/>
          <w:bCs/>
        </w:rPr>
        <w:t>Alternativas evaluadas.</w:t>
      </w:r>
    </w:p>
    <w:p w14:paraId="53CD6A75" w14:textId="77777777" w:rsidR="00A41BF1" w:rsidRPr="00857C34" w:rsidRDefault="00F901C8">
      <w:pPr>
        <w:pStyle w:val="Compact"/>
        <w:numPr>
          <w:ilvl w:val="0"/>
          <w:numId w:val="2"/>
        </w:numPr>
        <w:rPr>
          <w:rFonts w:ascii="Times New Roman" w:hAnsi="Times New Roman" w:cs="Times New Roman"/>
        </w:rPr>
      </w:pPr>
      <w:r w:rsidRPr="00857C34">
        <w:rPr>
          <w:rFonts w:ascii="Times New Roman" w:hAnsi="Times New Roman" w:cs="Times New Roman"/>
        </w:rPr>
        <w:t>Construir un backend propio con base de datos administrada por el equipo.</w:t>
      </w:r>
    </w:p>
    <w:p w14:paraId="0A79F821" w14:textId="77777777" w:rsidR="00A41BF1" w:rsidRPr="00857C34" w:rsidRDefault="00F901C8">
      <w:pPr>
        <w:pStyle w:val="Compact"/>
        <w:numPr>
          <w:ilvl w:val="0"/>
          <w:numId w:val="2"/>
        </w:numPr>
        <w:rPr>
          <w:rFonts w:ascii="Times New Roman" w:hAnsi="Times New Roman" w:cs="Times New Roman"/>
        </w:rPr>
      </w:pPr>
      <w:r w:rsidRPr="00857C34">
        <w:rPr>
          <w:rFonts w:ascii="Times New Roman" w:hAnsi="Times New Roman" w:cs="Times New Roman"/>
        </w:rPr>
        <w:t>Usar varias herramientas separadas por módulo (ventas, inventario, caja, etc.).</w:t>
      </w:r>
    </w:p>
    <w:p w14:paraId="0430B381" w14:textId="77777777" w:rsidR="00A41BF1" w:rsidRPr="00857C34" w:rsidRDefault="00F901C8">
      <w:pPr>
        <w:pStyle w:val="Compact"/>
        <w:numPr>
          <w:ilvl w:val="0"/>
          <w:numId w:val="2"/>
        </w:numPr>
        <w:rPr>
          <w:rFonts w:ascii="Times New Roman" w:hAnsi="Times New Roman" w:cs="Times New Roman"/>
        </w:rPr>
      </w:pPr>
      <w:r w:rsidRPr="00857C34">
        <w:rPr>
          <w:rFonts w:ascii="Times New Roman" w:hAnsi="Times New Roman" w:cs="Times New Roman"/>
        </w:rPr>
        <w:t>Centralizar la operación sobre Supabase.</w:t>
      </w:r>
    </w:p>
    <w:p w14:paraId="5B63011A"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b/>
          <w:bCs/>
        </w:rPr>
        <w:t>Decisión tomada.</w:t>
      </w:r>
      <w:r w:rsidRPr="00857C34">
        <w:rPr>
          <w:rFonts w:ascii="Times New Roman" w:hAnsi="Times New Roman" w:cs="Times New Roman"/>
        </w:rPr>
        <w:t xml:space="preserve"> Se adopta Supabase como núcleo transaccional del sistema, utilizando su base de datos PostgreSQL, capacidades de autenticación, persistencia y sincronización en tiempo real para soportar la operación principal.</w:t>
      </w:r>
    </w:p>
    <w:p w14:paraId="002E26DA" w14:textId="77777777" w:rsidR="00A41BF1" w:rsidRPr="00857C34" w:rsidRDefault="00F901C8">
      <w:pPr>
        <w:pStyle w:val="Textoindependiente"/>
        <w:rPr>
          <w:rFonts w:ascii="Times New Roman" w:hAnsi="Times New Roman" w:cs="Times New Roman"/>
        </w:rPr>
      </w:pPr>
      <w:r w:rsidRPr="00857C34">
        <w:rPr>
          <w:rFonts w:ascii="Times New Roman" w:hAnsi="Times New Roman" w:cs="Times New Roman"/>
          <w:b/>
          <w:bCs/>
        </w:rPr>
        <w:lastRenderedPageBreak/>
        <w:t>Consecuencias.</w:t>
      </w:r>
      <w:r w:rsidRPr="00857C34">
        <w:rPr>
          <w:rFonts w:ascii="Times New Roman" w:hAnsi="Times New Roman" w:cs="Times New Roman"/>
        </w:rPr>
        <w:t xml:space="preserve"> La decisión aporta consistencia, rapidez de implementación y mejor trazabilidad. Como contrapartida, aumenta la dependencia de un proveedor administrado y exige definir políticas de respaldo, control de cambios y gobernanza de accesos.</w:t>
      </w:r>
    </w:p>
    <w:p w14:paraId="05953BF6" w14:textId="77777777" w:rsidR="00A41BF1" w:rsidRPr="00857C34" w:rsidRDefault="00F901C8">
      <w:pPr>
        <w:pStyle w:val="Ttulo2"/>
        <w:rPr>
          <w:rFonts w:ascii="Times New Roman" w:hAnsi="Times New Roman" w:cs="Times New Roman"/>
          <w:color w:val="auto"/>
        </w:rPr>
      </w:pPr>
      <w:bookmarkStart w:id="16" w:name="X19de7fecf2e553ccf9589ef199728da8ce9c340"/>
      <w:bookmarkEnd w:id="15"/>
      <w:r w:rsidRPr="00857C34">
        <w:rPr>
          <w:rFonts w:ascii="Times New Roman" w:hAnsi="Times New Roman" w:cs="Times New Roman"/>
          <w:color w:val="auto"/>
        </w:rPr>
        <w:t>ADR-02. Usar REST para transacciones críticas y sincronización en tiempo real para estados operativos</w:t>
      </w:r>
    </w:p>
    <w:p w14:paraId="4929F9C6"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b/>
          <w:bCs/>
        </w:rPr>
        <w:t>Contexto del problema.</w:t>
      </w:r>
      <w:r w:rsidRPr="00857C34">
        <w:rPr>
          <w:rFonts w:ascii="Times New Roman" w:hAnsi="Times New Roman" w:cs="Times New Roman"/>
        </w:rPr>
        <w:t xml:space="preserve"> El flujo operativo de KOOLT exige que el pedido se registre, se cobre, se facture y se entregue sin fricción. Al mismo tiempo, distintos actores necesitan ver el estado del proceso con rapidez.</w:t>
      </w:r>
    </w:p>
    <w:p w14:paraId="6A600BFC" w14:textId="77777777" w:rsidR="00A41BF1" w:rsidRPr="00857C34" w:rsidRDefault="00F901C8">
      <w:pPr>
        <w:pStyle w:val="Textoindependiente"/>
        <w:rPr>
          <w:rFonts w:ascii="Times New Roman" w:hAnsi="Times New Roman" w:cs="Times New Roman"/>
        </w:rPr>
      </w:pPr>
      <w:r w:rsidRPr="00857C34">
        <w:rPr>
          <w:rFonts w:ascii="Times New Roman" w:hAnsi="Times New Roman" w:cs="Times New Roman"/>
          <w:b/>
          <w:bCs/>
        </w:rPr>
        <w:t>Alternativas evaluadas.</w:t>
      </w:r>
    </w:p>
    <w:p w14:paraId="01B8C18E" w14:textId="77777777" w:rsidR="00A41BF1" w:rsidRPr="00857C34" w:rsidRDefault="00F901C8">
      <w:pPr>
        <w:pStyle w:val="Compact"/>
        <w:numPr>
          <w:ilvl w:val="0"/>
          <w:numId w:val="3"/>
        </w:numPr>
        <w:rPr>
          <w:rFonts w:ascii="Times New Roman" w:hAnsi="Times New Roman" w:cs="Times New Roman"/>
        </w:rPr>
      </w:pPr>
      <w:r w:rsidRPr="00857C34">
        <w:rPr>
          <w:rFonts w:ascii="Times New Roman" w:hAnsi="Times New Roman" w:cs="Times New Roman"/>
        </w:rPr>
        <w:t>Comunicación totalmente síncrona para toda la solución.</w:t>
      </w:r>
    </w:p>
    <w:p w14:paraId="27E6137E" w14:textId="77777777" w:rsidR="00A41BF1" w:rsidRPr="00857C34" w:rsidRDefault="00F901C8">
      <w:pPr>
        <w:pStyle w:val="Compact"/>
        <w:numPr>
          <w:ilvl w:val="0"/>
          <w:numId w:val="3"/>
        </w:numPr>
        <w:rPr>
          <w:rFonts w:ascii="Times New Roman" w:hAnsi="Times New Roman" w:cs="Times New Roman"/>
        </w:rPr>
      </w:pPr>
      <w:r w:rsidRPr="00857C34">
        <w:rPr>
          <w:rFonts w:ascii="Times New Roman" w:hAnsi="Times New Roman" w:cs="Times New Roman"/>
        </w:rPr>
        <w:t xml:space="preserve">Arquitectura completamente orientada </w:t>
      </w:r>
      <w:proofErr w:type="gramStart"/>
      <w:r w:rsidRPr="00857C34">
        <w:rPr>
          <w:rFonts w:ascii="Times New Roman" w:hAnsi="Times New Roman" w:cs="Times New Roman"/>
        </w:rPr>
        <w:t>a</w:t>
      </w:r>
      <w:proofErr w:type="gramEnd"/>
      <w:r w:rsidRPr="00857C34">
        <w:rPr>
          <w:rFonts w:ascii="Times New Roman" w:hAnsi="Times New Roman" w:cs="Times New Roman"/>
        </w:rPr>
        <w:t xml:space="preserve"> eventos.</w:t>
      </w:r>
    </w:p>
    <w:p w14:paraId="40869760" w14:textId="77777777" w:rsidR="00A41BF1" w:rsidRPr="00857C34" w:rsidRDefault="00F901C8">
      <w:pPr>
        <w:pStyle w:val="Compact"/>
        <w:numPr>
          <w:ilvl w:val="0"/>
          <w:numId w:val="3"/>
        </w:numPr>
        <w:rPr>
          <w:rFonts w:ascii="Times New Roman" w:hAnsi="Times New Roman" w:cs="Times New Roman"/>
        </w:rPr>
      </w:pPr>
      <w:r w:rsidRPr="00857C34">
        <w:rPr>
          <w:rFonts w:ascii="Times New Roman" w:hAnsi="Times New Roman" w:cs="Times New Roman"/>
        </w:rPr>
        <w:t>Estrategia híbrida con REST para operaciones críticas y sincronización en tiempo real para estados.</w:t>
      </w:r>
    </w:p>
    <w:p w14:paraId="066A1D1D"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b/>
          <w:bCs/>
        </w:rPr>
        <w:t>Decisión tomada.</w:t>
      </w:r>
      <w:r w:rsidRPr="00857C34">
        <w:rPr>
          <w:rFonts w:ascii="Times New Roman" w:hAnsi="Times New Roman" w:cs="Times New Roman"/>
        </w:rPr>
        <w:t xml:space="preserve"> </w:t>
      </w:r>
      <w:r w:rsidRPr="00857C34">
        <w:rPr>
          <w:rFonts w:ascii="Times New Roman" w:hAnsi="Times New Roman" w:cs="Times New Roman"/>
        </w:rPr>
        <w:t>Se adopta una estrategia híbrida: REST para pedido, inventario, caja y facturación; sincronización en tiempo real para actualizaciones visibles por la operación.</w:t>
      </w:r>
    </w:p>
    <w:p w14:paraId="2FEB8FD8" w14:textId="77777777" w:rsidR="00A41BF1" w:rsidRPr="00857C34" w:rsidRDefault="00F901C8">
      <w:pPr>
        <w:pStyle w:val="Textoindependiente"/>
        <w:rPr>
          <w:rFonts w:ascii="Times New Roman" w:hAnsi="Times New Roman" w:cs="Times New Roman"/>
        </w:rPr>
      </w:pPr>
      <w:r w:rsidRPr="00857C34">
        <w:rPr>
          <w:rFonts w:ascii="Times New Roman" w:hAnsi="Times New Roman" w:cs="Times New Roman"/>
          <w:b/>
          <w:bCs/>
        </w:rPr>
        <w:t>Consecuencias.</w:t>
      </w:r>
      <w:r w:rsidRPr="00857C34">
        <w:rPr>
          <w:rFonts w:ascii="Times New Roman" w:hAnsi="Times New Roman" w:cs="Times New Roman"/>
        </w:rPr>
        <w:t xml:space="preserve"> La decisión reduce complejidad y mantiene buena trazabilidad. El trade-off es que no se obtiene el nivel de desacoplamiento de una solución totalmente event-driven; aun así, la decisión es adecuada para la escala y madurez actual de KOOLT.</w:t>
      </w:r>
    </w:p>
    <w:p w14:paraId="7AFA0EAF" w14:textId="77777777" w:rsidR="00A41BF1" w:rsidRPr="00857C34" w:rsidRDefault="00F901C8">
      <w:pPr>
        <w:pStyle w:val="Ttulo1"/>
        <w:rPr>
          <w:rFonts w:ascii="Times New Roman" w:hAnsi="Times New Roman" w:cs="Times New Roman"/>
          <w:color w:val="auto"/>
        </w:rPr>
      </w:pPr>
      <w:bookmarkStart w:id="17" w:name="Xad6e0536a3ba5f50dd66c37da41241d49c8e9fd"/>
      <w:bookmarkEnd w:id="14"/>
      <w:bookmarkEnd w:id="16"/>
      <w:r w:rsidRPr="00857C34">
        <w:rPr>
          <w:rFonts w:ascii="Times New Roman" w:hAnsi="Times New Roman" w:cs="Times New Roman"/>
          <w:color w:val="auto"/>
        </w:rPr>
        <w:t>7. Recomendaciones de gobierno para el proyecto</w:t>
      </w:r>
    </w:p>
    <w:p w14:paraId="661238C6" w14:textId="77777777" w:rsidR="00A41BF1" w:rsidRPr="00857C34" w:rsidRDefault="00F901C8">
      <w:pPr>
        <w:pStyle w:val="Compact"/>
        <w:numPr>
          <w:ilvl w:val="0"/>
          <w:numId w:val="4"/>
        </w:numPr>
        <w:rPr>
          <w:rFonts w:ascii="Times New Roman" w:hAnsi="Times New Roman" w:cs="Times New Roman"/>
        </w:rPr>
      </w:pPr>
      <w:r w:rsidRPr="00857C34">
        <w:rPr>
          <w:rFonts w:ascii="Times New Roman" w:hAnsi="Times New Roman" w:cs="Times New Roman"/>
          <w:b/>
          <w:bCs/>
        </w:rPr>
        <w:t>Formalizar un repositorio de ADRs.</w:t>
      </w:r>
      <w:r w:rsidRPr="00857C34">
        <w:rPr>
          <w:rFonts w:ascii="Times New Roman" w:hAnsi="Times New Roman" w:cs="Times New Roman"/>
        </w:rPr>
        <w:t xml:space="preserve"> Cada decisión relevante debe quedar documentada y versionada.</w:t>
      </w:r>
    </w:p>
    <w:p w14:paraId="6418DEAA" w14:textId="77777777" w:rsidR="00A41BF1" w:rsidRPr="00857C34" w:rsidRDefault="00F901C8">
      <w:pPr>
        <w:pStyle w:val="Compact"/>
        <w:numPr>
          <w:ilvl w:val="0"/>
          <w:numId w:val="4"/>
        </w:numPr>
        <w:rPr>
          <w:rFonts w:ascii="Times New Roman" w:hAnsi="Times New Roman" w:cs="Times New Roman"/>
        </w:rPr>
      </w:pPr>
      <w:r w:rsidRPr="00857C34">
        <w:rPr>
          <w:rFonts w:ascii="Times New Roman" w:hAnsi="Times New Roman" w:cs="Times New Roman"/>
          <w:b/>
          <w:bCs/>
        </w:rPr>
        <w:t>Mantener un catálogo aprobado de estándares.</w:t>
      </w:r>
      <w:r w:rsidRPr="00857C34">
        <w:rPr>
          <w:rFonts w:ascii="Times New Roman" w:hAnsi="Times New Roman" w:cs="Times New Roman"/>
        </w:rPr>
        <w:t xml:space="preserve"> Cualquier incorporación tecnológica nueva debería justificarse contra ese catálogo.</w:t>
      </w:r>
    </w:p>
    <w:p w14:paraId="29231EB0" w14:textId="77777777" w:rsidR="00A41BF1" w:rsidRPr="00857C34" w:rsidRDefault="00F901C8">
      <w:pPr>
        <w:pStyle w:val="Compact"/>
        <w:numPr>
          <w:ilvl w:val="0"/>
          <w:numId w:val="4"/>
        </w:numPr>
        <w:rPr>
          <w:rFonts w:ascii="Times New Roman" w:hAnsi="Times New Roman" w:cs="Times New Roman"/>
        </w:rPr>
      </w:pPr>
      <w:r w:rsidRPr="00857C34">
        <w:rPr>
          <w:rFonts w:ascii="Times New Roman" w:hAnsi="Times New Roman" w:cs="Times New Roman"/>
          <w:b/>
          <w:bCs/>
        </w:rPr>
        <w:t>Definir un mecanismo ligero de revisión arquitectónica.</w:t>
      </w:r>
      <w:r w:rsidRPr="00857C34">
        <w:rPr>
          <w:rFonts w:ascii="Times New Roman" w:hAnsi="Times New Roman" w:cs="Times New Roman"/>
        </w:rPr>
        <w:t xml:space="preserve"> No para frenar el avance, sino para asegurar coherencia antes de cambios de alto impacto.</w:t>
      </w:r>
    </w:p>
    <w:p w14:paraId="435D143D" w14:textId="77777777" w:rsidR="00A41BF1" w:rsidRPr="00857C34" w:rsidRDefault="00F901C8">
      <w:pPr>
        <w:pStyle w:val="Compact"/>
        <w:numPr>
          <w:ilvl w:val="0"/>
          <w:numId w:val="4"/>
        </w:numPr>
        <w:rPr>
          <w:rFonts w:ascii="Times New Roman" w:hAnsi="Times New Roman" w:cs="Times New Roman"/>
        </w:rPr>
      </w:pPr>
      <w:r w:rsidRPr="00857C34">
        <w:rPr>
          <w:rFonts w:ascii="Times New Roman" w:hAnsi="Times New Roman" w:cs="Times New Roman"/>
          <w:b/>
          <w:bCs/>
        </w:rPr>
        <w:t>Asegurar trazabilidad de roles y accesos.</w:t>
      </w:r>
      <w:r w:rsidRPr="00857C34">
        <w:rPr>
          <w:rFonts w:ascii="Times New Roman" w:hAnsi="Times New Roman" w:cs="Times New Roman"/>
        </w:rPr>
        <w:t xml:space="preserve"> El gobierno también debe cubrir quién puede modificar inventario, caja, facturación o configuraciones críticas.</w:t>
      </w:r>
    </w:p>
    <w:p w14:paraId="64DE3AE1" w14:textId="77777777" w:rsidR="00A41BF1" w:rsidRPr="00857C34" w:rsidRDefault="00F901C8">
      <w:pPr>
        <w:pStyle w:val="Compact"/>
        <w:numPr>
          <w:ilvl w:val="0"/>
          <w:numId w:val="4"/>
        </w:numPr>
        <w:rPr>
          <w:rFonts w:ascii="Times New Roman" w:hAnsi="Times New Roman" w:cs="Times New Roman"/>
        </w:rPr>
      </w:pPr>
      <w:r w:rsidRPr="00857C34">
        <w:rPr>
          <w:rFonts w:ascii="Times New Roman" w:hAnsi="Times New Roman" w:cs="Times New Roman"/>
          <w:b/>
          <w:bCs/>
        </w:rPr>
        <w:t>Revisar periódicamente los principios definidos.</w:t>
      </w:r>
      <w:r w:rsidRPr="00857C34">
        <w:rPr>
          <w:rFonts w:ascii="Times New Roman" w:hAnsi="Times New Roman" w:cs="Times New Roman"/>
        </w:rPr>
        <w:t xml:space="preserve"> Un principio deja de ser útil si no orienta decisiones reales del equipo.</w:t>
      </w:r>
    </w:p>
    <w:p w14:paraId="3C85B7F5" w14:textId="77777777" w:rsidR="00A41BF1" w:rsidRPr="00857C34" w:rsidRDefault="00F901C8">
      <w:pPr>
        <w:pStyle w:val="Ttulo1"/>
        <w:rPr>
          <w:rFonts w:ascii="Times New Roman" w:hAnsi="Times New Roman" w:cs="Times New Roman"/>
          <w:color w:val="auto"/>
        </w:rPr>
      </w:pPr>
      <w:bookmarkStart w:id="18" w:name="conclusión"/>
      <w:bookmarkEnd w:id="17"/>
      <w:r w:rsidRPr="00857C34">
        <w:rPr>
          <w:rFonts w:ascii="Times New Roman" w:hAnsi="Times New Roman" w:cs="Times New Roman"/>
          <w:color w:val="auto"/>
        </w:rPr>
        <w:t>8. Conclusión</w:t>
      </w:r>
    </w:p>
    <w:p w14:paraId="70EF1342" w14:textId="77777777" w:rsidR="00A41BF1" w:rsidRPr="00857C34" w:rsidRDefault="00F901C8">
      <w:pPr>
        <w:pStyle w:val="FirstParagraph"/>
        <w:rPr>
          <w:rFonts w:ascii="Times New Roman" w:hAnsi="Times New Roman" w:cs="Times New Roman"/>
        </w:rPr>
      </w:pPr>
      <w:r w:rsidRPr="00857C34">
        <w:rPr>
          <w:rFonts w:ascii="Times New Roman" w:hAnsi="Times New Roman" w:cs="Times New Roman"/>
        </w:rPr>
        <w:t>El valor del gobierno de arquitectura en KOOLT está en convertir la arquitectura en una capacidad organizacional, no en un conjunto aislado de diagramas. Los principios aquí definidos orientan la forma de pensar el sistema; los estándares limitan la variabilidad innecesaria; y los ADRs dejan memoria institucional sobre decisiones clave.</w:t>
      </w:r>
    </w:p>
    <w:p w14:paraId="1EC2C257" w14:textId="77777777" w:rsidR="00A41BF1" w:rsidRPr="00857C34" w:rsidRDefault="00F901C8">
      <w:pPr>
        <w:pStyle w:val="Textoindependiente"/>
        <w:rPr>
          <w:rFonts w:ascii="Times New Roman" w:hAnsi="Times New Roman" w:cs="Times New Roman"/>
        </w:rPr>
      </w:pPr>
      <w:r w:rsidRPr="00857C34">
        <w:rPr>
          <w:rFonts w:ascii="Times New Roman" w:hAnsi="Times New Roman" w:cs="Times New Roman"/>
        </w:rPr>
        <w:t xml:space="preserve">En conjunto, este marco ayuda a que KOOLT evolucione su solución tecnológica con coherencia, sostenibilidad y mejor alineación con las necesidades del negocio. </w:t>
      </w:r>
      <w:proofErr w:type="gramStart"/>
      <w:r w:rsidRPr="00857C34">
        <w:rPr>
          <w:rFonts w:ascii="Times New Roman" w:hAnsi="Times New Roman" w:cs="Times New Roman"/>
        </w:rPr>
        <w:t>Más</w:t>
      </w:r>
      <w:proofErr w:type="gramEnd"/>
      <w:r w:rsidRPr="00857C34">
        <w:rPr>
          <w:rFonts w:ascii="Times New Roman" w:hAnsi="Times New Roman" w:cs="Times New Roman"/>
        </w:rPr>
        <w:t xml:space="preserve"> que </w:t>
      </w:r>
      <w:r w:rsidRPr="00857C34">
        <w:rPr>
          <w:rFonts w:ascii="Times New Roman" w:hAnsi="Times New Roman" w:cs="Times New Roman"/>
        </w:rPr>
        <w:lastRenderedPageBreak/>
        <w:t>restringir, el gobierno habilita decisiones más rápidas y seguras, porque reduce la improvisación y fortalece la calidad del diseño.</w:t>
      </w:r>
    </w:p>
    <w:p w14:paraId="5F04BBFD" w14:textId="79D65D7F" w:rsidR="00A41BF1" w:rsidRDefault="00A41BF1" w:rsidP="00857C34">
      <w:pPr>
        <w:pStyle w:val="Compact"/>
      </w:pPr>
      <w:bookmarkStart w:id="19" w:name="referencias-de-clase"/>
      <w:bookmarkEnd w:id="18"/>
      <w:bookmarkEnd w:id="19"/>
    </w:p>
    <w:sectPr w:rsidR="00A41BF1">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0E870" w14:textId="77777777" w:rsidR="00F901C8" w:rsidRDefault="00F901C8">
      <w:pPr>
        <w:spacing w:after="0"/>
      </w:pPr>
      <w:r>
        <w:separator/>
      </w:r>
    </w:p>
  </w:endnote>
  <w:endnote w:type="continuationSeparator" w:id="0">
    <w:p w14:paraId="37C35952" w14:textId="77777777" w:rsidR="00F901C8" w:rsidRDefault="00F901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D766D" w14:textId="77777777" w:rsidR="00F901C8" w:rsidRDefault="00F901C8">
      <w:r>
        <w:separator/>
      </w:r>
    </w:p>
  </w:footnote>
  <w:footnote w:type="continuationSeparator" w:id="0">
    <w:p w14:paraId="32235DC7" w14:textId="77777777" w:rsidR="00F901C8" w:rsidRDefault="00F90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10187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476F0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AD8188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41543962">
    <w:abstractNumId w:val="0"/>
  </w:num>
  <w:num w:numId="2" w16cid:durableId="836190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3116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113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3626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BF1"/>
    <w:rsid w:val="002C12B7"/>
    <w:rsid w:val="00857C34"/>
    <w:rsid w:val="00A41BF1"/>
    <w:rsid w:val="00F90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0608A"/>
  <w15:docId w15:val="{9837DFE4-E829-4B63-988D-89F4C843C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1822</Words>
  <Characters>10023</Characters>
  <Application>Microsoft Office Word</Application>
  <DocSecurity>0</DocSecurity>
  <Lines>83</Lines>
  <Paragraphs>23</Paragraphs>
  <ScaleCrop>false</ScaleCrop>
  <Company/>
  <LinksUpToDate>false</LinksUpToDate>
  <CharactersWithSpaces>11822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 Gobierno de Arquitectura aplicado a KOOLT</dc:title>
  <dc:creator>Juan Pablo Restrepo · Andrés Mauricio Ricaurte · Juan Felipe Jaime</dc:creator>
  <cp:keywords/>
  <cp:lastModifiedBy>Juan Pablo Restrepo Coca</cp:lastModifiedBy>
  <cp:revision>2</cp:revision>
  <dcterms:created xsi:type="dcterms:W3CDTF">2026-04-25T14:37:00Z</dcterms:created>
  <dcterms:modified xsi:type="dcterms:W3CDTF">2026-04-25T14:37:00Z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Universidad de La Sabana · Semestre 2026-1</vt:lpwstr>
  </property>
</Properties>
</file>