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WebSearch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 WebSearch allows the user to search the web for new entries and import them directly into a library.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Primary: User.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Secondary: Web.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Name: GetHelp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Description: Directs the user to the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https://docs.jabref.org/</w:t>
        </w:r>
      </w:hyperlink>
      <w:r w:rsidDel="00000000" w:rsidR="00000000" w:rsidRPr="00000000">
        <w:rPr>
          <w:rtl w:val="0"/>
        </w:rPr>
        <w:t xml:space="preserve">” web page where they can find the information they were looking for.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Primary: User.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Secondary: Web.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jabre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