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49" w:rsidRPr="00507B30" w:rsidRDefault="00B87C68" w:rsidP="00507B30">
      <w:pPr>
        <w:spacing w:line="240" w:lineRule="auto"/>
        <w:jc w:val="both"/>
        <w:rPr>
          <w:rFonts w:ascii="Arial" w:hAnsi="Arial" w:cs="Arial"/>
          <w:sz w:val="24"/>
          <w:lang w:val="es-ES"/>
        </w:rPr>
      </w:pPr>
      <w:r w:rsidRPr="00507B30">
        <w:rPr>
          <w:rFonts w:ascii="Arial" w:hAnsi="Arial" w:cs="Arial"/>
          <w:sz w:val="24"/>
          <w:lang w:val="es-ES"/>
        </w:rPr>
        <w:t xml:space="preserve">Prueba ADRES Analista de datos </w:t>
      </w:r>
    </w:p>
    <w:p w:rsidR="00B87C68" w:rsidRPr="00507B30" w:rsidRDefault="00B87C68" w:rsidP="00507B30">
      <w:pPr>
        <w:spacing w:line="240" w:lineRule="auto"/>
        <w:jc w:val="both"/>
        <w:rPr>
          <w:rFonts w:ascii="Arial" w:hAnsi="Arial" w:cs="Arial"/>
          <w:sz w:val="24"/>
          <w:lang w:val="es-ES"/>
        </w:rPr>
      </w:pPr>
      <w:r w:rsidRPr="00507B30">
        <w:rPr>
          <w:rFonts w:ascii="Arial" w:hAnsi="Arial" w:cs="Arial"/>
          <w:sz w:val="24"/>
          <w:lang w:val="es-ES"/>
        </w:rPr>
        <w:t>Autor: Juan Pablo Holguín Marín</w:t>
      </w:r>
    </w:p>
    <w:p w:rsidR="00B87C68" w:rsidRPr="00507B30" w:rsidRDefault="00B87C68" w:rsidP="00507B30">
      <w:pPr>
        <w:spacing w:line="240" w:lineRule="auto"/>
        <w:jc w:val="both"/>
        <w:rPr>
          <w:rFonts w:ascii="Arial" w:hAnsi="Arial" w:cs="Arial"/>
          <w:sz w:val="24"/>
          <w:lang w:val="es-ES"/>
        </w:rPr>
      </w:pPr>
    </w:p>
    <w:p w:rsidR="00B87C68" w:rsidRPr="00507B30" w:rsidRDefault="00B87C68" w:rsidP="00507B30">
      <w:pPr>
        <w:spacing w:line="240" w:lineRule="auto"/>
        <w:jc w:val="both"/>
        <w:rPr>
          <w:rFonts w:ascii="Arial" w:hAnsi="Arial" w:cs="Arial"/>
          <w:b/>
          <w:sz w:val="24"/>
          <w:u w:val="single"/>
          <w:lang w:val="es-ES"/>
        </w:rPr>
      </w:pPr>
      <w:r w:rsidRPr="00507B30">
        <w:rPr>
          <w:rFonts w:ascii="Arial" w:hAnsi="Arial" w:cs="Arial"/>
          <w:b/>
          <w:sz w:val="24"/>
          <w:u w:val="single"/>
          <w:lang w:val="es-ES"/>
        </w:rPr>
        <w:t xml:space="preserve">Metodología </w:t>
      </w:r>
    </w:p>
    <w:p w:rsidR="00B87C68" w:rsidRPr="00507B30" w:rsidRDefault="00B87C68" w:rsidP="00507B30">
      <w:pPr>
        <w:spacing w:line="240" w:lineRule="auto"/>
        <w:jc w:val="both"/>
        <w:rPr>
          <w:rFonts w:ascii="Arial" w:hAnsi="Arial" w:cs="Arial"/>
          <w:sz w:val="24"/>
          <w:lang w:val="es-ES"/>
        </w:rPr>
      </w:pPr>
      <w:r w:rsidRPr="00507B30">
        <w:rPr>
          <w:rFonts w:ascii="Arial" w:hAnsi="Arial" w:cs="Arial"/>
          <w:sz w:val="24"/>
          <w:lang w:val="es-ES"/>
        </w:rPr>
        <w:t xml:space="preserve">Para el desarrollo de la actividad inicialmente se comenzó descargando e instalando las herramientas necesarias, como el gestor de bases de datos </w:t>
      </w:r>
      <w:proofErr w:type="spellStart"/>
      <w:r w:rsidRPr="00507B30">
        <w:rPr>
          <w:rFonts w:ascii="Arial" w:hAnsi="Arial" w:cs="Arial"/>
          <w:sz w:val="24"/>
          <w:lang w:val="es-ES"/>
        </w:rPr>
        <w:t>SQlite</w:t>
      </w:r>
      <w:proofErr w:type="spellEnd"/>
      <w:r w:rsidRPr="00507B30">
        <w:rPr>
          <w:rFonts w:ascii="Arial" w:hAnsi="Arial" w:cs="Arial"/>
          <w:sz w:val="24"/>
          <w:lang w:val="es-ES"/>
        </w:rPr>
        <w:t xml:space="preserve"> y las diferentes librerías en R.</w:t>
      </w:r>
    </w:p>
    <w:p w:rsidR="00B87C68" w:rsidRPr="00507B30" w:rsidRDefault="00B87C68" w:rsidP="00507B30">
      <w:pPr>
        <w:spacing w:line="240" w:lineRule="auto"/>
        <w:jc w:val="both"/>
        <w:rPr>
          <w:rFonts w:ascii="Arial" w:hAnsi="Arial" w:cs="Arial"/>
          <w:sz w:val="24"/>
          <w:lang w:val="es-ES"/>
        </w:rPr>
      </w:pPr>
      <w:r w:rsidRPr="00507B30">
        <w:rPr>
          <w:rFonts w:ascii="Arial" w:hAnsi="Arial" w:cs="Arial"/>
          <w:sz w:val="24"/>
          <w:lang w:val="es-ES"/>
        </w:rPr>
        <w:t xml:space="preserve">En primer </w:t>
      </w:r>
      <w:proofErr w:type="gramStart"/>
      <w:r w:rsidRPr="00507B30">
        <w:rPr>
          <w:rFonts w:ascii="Arial" w:hAnsi="Arial" w:cs="Arial"/>
          <w:sz w:val="24"/>
          <w:lang w:val="es-ES"/>
        </w:rPr>
        <w:t>lugar</w:t>
      </w:r>
      <w:proofErr w:type="gramEnd"/>
      <w:r w:rsidRPr="00507B30">
        <w:rPr>
          <w:rFonts w:ascii="Arial" w:hAnsi="Arial" w:cs="Arial"/>
          <w:sz w:val="24"/>
          <w:lang w:val="es-ES"/>
        </w:rPr>
        <w:t xml:space="preserve"> se inspeccionaron los archivos compartidos y se indagó sobre la naturaleza de los datos allí consignados y los posibles análisis que podrían desarrollarse con los mismos, apuntando a resolver preguntas cómo el nivel de cobertura de prestadores de servicios de salud en diferentes unidades territoriales como municipios, departamentos y regiones. </w:t>
      </w:r>
    </w:p>
    <w:p w:rsidR="00B87C68" w:rsidRPr="00507B30" w:rsidRDefault="00B87C68" w:rsidP="00507B30">
      <w:pPr>
        <w:spacing w:line="240" w:lineRule="auto"/>
        <w:jc w:val="both"/>
        <w:rPr>
          <w:rFonts w:ascii="Arial" w:hAnsi="Arial" w:cs="Arial"/>
          <w:sz w:val="24"/>
          <w:lang w:val="es-ES"/>
        </w:rPr>
      </w:pPr>
      <w:r w:rsidRPr="00507B30">
        <w:rPr>
          <w:rFonts w:ascii="Arial" w:hAnsi="Arial" w:cs="Arial"/>
          <w:sz w:val="24"/>
          <w:lang w:val="es-ES"/>
        </w:rPr>
        <w:t xml:space="preserve">Una vez comprendido el problema y su solución se preparó el ambiente de trabajo para leer los archivos, crear una conexión desde R hacía una base de datos en </w:t>
      </w:r>
      <w:proofErr w:type="spellStart"/>
      <w:r w:rsidRPr="00507B30">
        <w:rPr>
          <w:rFonts w:ascii="Arial" w:hAnsi="Arial" w:cs="Arial"/>
          <w:sz w:val="24"/>
          <w:lang w:val="es-ES"/>
        </w:rPr>
        <w:t>SQLite</w:t>
      </w:r>
      <w:proofErr w:type="spellEnd"/>
      <w:r w:rsidRPr="00507B30">
        <w:rPr>
          <w:rFonts w:ascii="Arial" w:hAnsi="Arial" w:cs="Arial"/>
          <w:sz w:val="24"/>
          <w:lang w:val="es-ES"/>
        </w:rPr>
        <w:t xml:space="preserve"> para insertar allí los datos y comenzar la exploración de los mismos a través de consultas SQL ejecutadas y almacenadas en R.</w:t>
      </w:r>
    </w:p>
    <w:p w:rsidR="00B87C68" w:rsidRPr="00507B30" w:rsidRDefault="00B87C68" w:rsidP="00507B30">
      <w:pPr>
        <w:spacing w:line="240" w:lineRule="auto"/>
        <w:jc w:val="both"/>
        <w:rPr>
          <w:rFonts w:ascii="Arial" w:hAnsi="Arial" w:cs="Arial"/>
          <w:sz w:val="24"/>
          <w:lang w:val="es-ES"/>
        </w:rPr>
      </w:pPr>
      <w:r w:rsidRPr="00507B30">
        <w:rPr>
          <w:rFonts w:ascii="Arial" w:hAnsi="Arial" w:cs="Arial"/>
          <w:sz w:val="24"/>
          <w:lang w:val="es-ES"/>
        </w:rPr>
        <w:t>Posteriormente se evaluó el comportamiento de las variables cuantitativas como la superficie de cada municipio y su población. Se evaluaron aspectos como la distribución estadística de los datos y su normalidad por medio de pruebas estadísticas y gráficos.</w:t>
      </w:r>
    </w:p>
    <w:p w:rsidR="00B87C68" w:rsidRPr="00507B30" w:rsidRDefault="00B87C68" w:rsidP="00507B30">
      <w:pPr>
        <w:spacing w:line="240" w:lineRule="auto"/>
        <w:jc w:val="both"/>
        <w:rPr>
          <w:rFonts w:ascii="Arial" w:hAnsi="Arial" w:cs="Arial"/>
          <w:sz w:val="24"/>
          <w:lang w:val="es-ES"/>
        </w:rPr>
      </w:pPr>
      <w:r w:rsidRPr="00507B30">
        <w:rPr>
          <w:rFonts w:ascii="Arial" w:hAnsi="Arial" w:cs="Arial"/>
          <w:sz w:val="24"/>
          <w:lang w:val="es-ES"/>
        </w:rPr>
        <w:t xml:space="preserve">Una vez se tuvo mayor conocimiento de cada conjunto de datos, se procedió a </w:t>
      </w:r>
      <w:r w:rsidR="00507B30" w:rsidRPr="00507B30">
        <w:rPr>
          <w:rFonts w:ascii="Arial" w:hAnsi="Arial" w:cs="Arial"/>
          <w:sz w:val="24"/>
          <w:lang w:val="es-ES"/>
        </w:rPr>
        <w:t xml:space="preserve">unirlos a través del código DIVIPOLA, el cual se extrajo de los primeros cinco caracteres de la variable código habilitación en la tabla de Prestadores, y en la de Municipios ya venía incorporado en la variable </w:t>
      </w:r>
      <w:proofErr w:type="spellStart"/>
      <w:r w:rsidR="00507B30" w:rsidRPr="00507B30">
        <w:rPr>
          <w:rFonts w:ascii="Arial" w:hAnsi="Arial" w:cs="Arial"/>
          <w:sz w:val="24"/>
          <w:lang w:val="es-ES"/>
        </w:rPr>
        <w:t>Depmun</w:t>
      </w:r>
      <w:proofErr w:type="spellEnd"/>
      <w:r w:rsidR="00507B30" w:rsidRPr="00507B30">
        <w:rPr>
          <w:rFonts w:ascii="Arial" w:hAnsi="Arial" w:cs="Arial"/>
          <w:sz w:val="24"/>
          <w:lang w:val="es-ES"/>
        </w:rPr>
        <w:t xml:space="preserve">. Con esta unión de los archivos se logró identificar cuantos prestadores estaban asociados o prestaban sus servicios en cada unidad territorial, y se exportó el archivo con el cual se construyó una visualización de los hallazgos usando las bondades del software </w:t>
      </w:r>
      <w:proofErr w:type="spellStart"/>
      <w:r w:rsidR="00507B30" w:rsidRPr="00507B30">
        <w:rPr>
          <w:rFonts w:ascii="Arial" w:hAnsi="Arial" w:cs="Arial"/>
          <w:sz w:val="24"/>
          <w:lang w:val="es-ES"/>
        </w:rPr>
        <w:t>Power</w:t>
      </w:r>
      <w:proofErr w:type="spellEnd"/>
      <w:r w:rsidR="00507B30" w:rsidRPr="00507B30">
        <w:rPr>
          <w:rFonts w:ascii="Arial" w:hAnsi="Arial" w:cs="Arial"/>
          <w:sz w:val="24"/>
          <w:lang w:val="es-ES"/>
        </w:rPr>
        <w:t xml:space="preserve"> BI.</w:t>
      </w:r>
    </w:p>
    <w:p w:rsidR="00507B30" w:rsidRPr="00507B30" w:rsidRDefault="00507B30" w:rsidP="00507B30">
      <w:pPr>
        <w:spacing w:line="240" w:lineRule="auto"/>
        <w:jc w:val="both"/>
        <w:rPr>
          <w:rFonts w:ascii="Arial" w:hAnsi="Arial" w:cs="Arial"/>
          <w:sz w:val="24"/>
          <w:lang w:val="es-ES"/>
        </w:rPr>
      </w:pPr>
    </w:p>
    <w:p w:rsidR="00507B30" w:rsidRPr="00507B30" w:rsidRDefault="00507B30" w:rsidP="00507B30">
      <w:pPr>
        <w:spacing w:line="240" w:lineRule="auto"/>
        <w:jc w:val="both"/>
        <w:rPr>
          <w:rFonts w:ascii="Arial" w:hAnsi="Arial" w:cs="Arial"/>
          <w:b/>
          <w:sz w:val="24"/>
          <w:u w:val="single"/>
          <w:lang w:val="es-ES"/>
        </w:rPr>
      </w:pPr>
      <w:r w:rsidRPr="00507B30">
        <w:rPr>
          <w:rFonts w:ascii="Arial" w:hAnsi="Arial" w:cs="Arial"/>
          <w:b/>
          <w:sz w:val="24"/>
          <w:u w:val="single"/>
          <w:lang w:val="es-ES"/>
        </w:rPr>
        <w:t>Resultados</w:t>
      </w:r>
    </w:p>
    <w:p w:rsidR="00B87C68" w:rsidRDefault="00507B30" w:rsidP="00507B30">
      <w:pPr>
        <w:spacing w:line="240" w:lineRule="auto"/>
        <w:jc w:val="both"/>
        <w:rPr>
          <w:rFonts w:ascii="Arial" w:hAnsi="Arial" w:cs="Arial"/>
          <w:sz w:val="24"/>
          <w:lang w:val="es-ES"/>
        </w:rPr>
      </w:pPr>
      <w:r>
        <w:rPr>
          <w:rFonts w:ascii="Arial" w:hAnsi="Arial" w:cs="Arial"/>
          <w:sz w:val="24"/>
          <w:lang w:val="es-ES"/>
        </w:rPr>
        <w:t>Las primeras consultas de exploración de datos permitieron observar las principales características de los datos y sus problemas má</w:t>
      </w:r>
      <w:r w:rsidR="00057C6A">
        <w:rPr>
          <w:rFonts w:ascii="Arial" w:hAnsi="Arial" w:cs="Arial"/>
          <w:sz w:val="24"/>
          <w:lang w:val="es-ES"/>
        </w:rPr>
        <w:t xml:space="preserve">s relevantes, comenzando por los caracteres especiales en los nombres de los municipios y departamentos, lo cual planteó un primer desafío de limpieza de los datos. Sin embargo, al explorar a mayor profundidad los mismos, se logró identificar que los primeros cinco caracteres de la columna </w:t>
      </w:r>
      <w:proofErr w:type="spellStart"/>
      <w:r w:rsidR="00057C6A">
        <w:rPr>
          <w:rFonts w:ascii="Arial" w:hAnsi="Arial" w:cs="Arial"/>
          <w:sz w:val="24"/>
          <w:lang w:val="es-ES"/>
        </w:rPr>
        <w:t>código_habilitación</w:t>
      </w:r>
      <w:proofErr w:type="spellEnd"/>
      <w:r w:rsidR="00057C6A">
        <w:rPr>
          <w:rFonts w:ascii="Arial" w:hAnsi="Arial" w:cs="Arial"/>
          <w:sz w:val="24"/>
          <w:lang w:val="es-ES"/>
        </w:rPr>
        <w:t xml:space="preserve"> conformaban el código DIVIPOLA del municipio y departamento en conjunto, por lo cual se descartó la limpieza de texto en ambas tablas y se optó por acudir al código DIVIPOLA que brindaba mayor integridad de los datos.</w:t>
      </w:r>
    </w:p>
    <w:p w:rsidR="00057C6A" w:rsidRDefault="00057C6A" w:rsidP="00507B30">
      <w:pPr>
        <w:spacing w:line="240" w:lineRule="auto"/>
        <w:jc w:val="both"/>
        <w:rPr>
          <w:rFonts w:ascii="Arial" w:hAnsi="Arial" w:cs="Arial"/>
          <w:sz w:val="24"/>
          <w:lang w:val="es-ES"/>
        </w:rPr>
      </w:pPr>
      <w:r>
        <w:rPr>
          <w:rFonts w:ascii="Arial" w:hAnsi="Arial" w:cs="Arial"/>
          <w:sz w:val="24"/>
          <w:lang w:val="es-ES"/>
        </w:rPr>
        <w:t xml:space="preserve">Al construir gráficos para evaluar la normalidad y distribución de las variables cuantitativas, se observó que por ejemplo en variables como la superficie y población de las unidades territoriales, la mayor cantidad de datos se encontraba agrupada en </w:t>
      </w:r>
      <w:proofErr w:type="gramStart"/>
      <w:r w:rsidR="00836C96">
        <w:rPr>
          <w:rFonts w:ascii="Arial" w:hAnsi="Arial" w:cs="Arial"/>
          <w:sz w:val="24"/>
          <w:lang w:val="es-ES"/>
        </w:rPr>
        <w:t>las primeros valores</w:t>
      </w:r>
      <w:proofErr w:type="gramEnd"/>
      <w:r w:rsidR="00836C96">
        <w:rPr>
          <w:rFonts w:ascii="Arial" w:hAnsi="Arial" w:cs="Arial"/>
          <w:sz w:val="24"/>
          <w:lang w:val="es-ES"/>
        </w:rPr>
        <w:t xml:space="preserve">, lo cual puede brindar un indicio de que los </w:t>
      </w:r>
      <w:r w:rsidR="00836C96" w:rsidRPr="00836C96">
        <w:rPr>
          <w:rFonts w:ascii="Arial" w:hAnsi="Arial" w:cs="Arial"/>
          <w:sz w:val="24"/>
          <w:lang w:val="es-ES"/>
        </w:rPr>
        <w:t>datos pueden estar sesgados hacia valores más pequeños</w:t>
      </w:r>
      <w:r w:rsidR="00836C96">
        <w:rPr>
          <w:rFonts w:ascii="Arial" w:hAnsi="Arial" w:cs="Arial"/>
          <w:sz w:val="24"/>
          <w:lang w:val="es-ES"/>
        </w:rPr>
        <w:t xml:space="preserve"> y se tienen registros de valores con superficies muy altas, situación similar a lo evidenciado con la variable población. El comportamiento del gráfico de normalidad de la población </w:t>
      </w:r>
      <w:r w:rsidR="00836C96" w:rsidRPr="00836C96">
        <w:rPr>
          <w:rFonts w:ascii="Arial" w:hAnsi="Arial" w:cs="Arial"/>
          <w:sz w:val="24"/>
          <w:lang w:val="es-ES"/>
        </w:rPr>
        <w:t xml:space="preserve">podría significar que </w:t>
      </w:r>
      <w:r w:rsidR="00836C96">
        <w:rPr>
          <w:rFonts w:ascii="Arial" w:hAnsi="Arial" w:cs="Arial"/>
          <w:sz w:val="24"/>
          <w:lang w:val="es-ES"/>
        </w:rPr>
        <w:t>los</w:t>
      </w:r>
      <w:r w:rsidR="00836C96" w:rsidRPr="00836C96">
        <w:rPr>
          <w:rFonts w:ascii="Arial" w:hAnsi="Arial" w:cs="Arial"/>
          <w:sz w:val="24"/>
          <w:lang w:val="es-ES"/>
        </w:rPr>
        <w:t xml:space="preserve"> datos tienen una mayor concentración de observaciones en la parte inferior de la distribución, pero también tienen un número inusualmente alto de valores extremadamente altos en comparación con una distribución normal. Las colas más pesadas en el extremo derecho sugieren una mayor variabilidad o valores atípicos en el lado superior de la distribución</w:t>
      </w:r>
      <w:r w:rsidR="00485C05">
        <w:rPr>
          <w:rFonts w:ascii="Arial" w:hAnsi="Arial" w:cs="Arial"/>
          <w:sz w:val="24"/>
          <w:lang w:val="es-ES"/>
        </w:rPr>
        <w:t xml:space="preserve"> (Figura 1).</w:t>
      </w:r>
    </w:p>
    <w:tbl>
      <w:tblPr>
        <w:tblStyle w:val="Tablaconcuadrcula"/>
        <w:tblW w:w="0" w:type="auto"/>
        <w:tblLook w:val="04A0" w:firstRow="1" w:lastRow="0" w:firstColumn="1" w:lastColumn="0" w:noHBand="0" w:noVBand="1"/>
      </w:tblPr>
      <w:tblGrid>
        <w:gridCol w:w="5264"/>
        <w:gridCol w:w="5264"/>
      </w:tblGrid>
      <w:tr w:rsidR="00057C6A" w:rsidTr="00057C6A">
        <w:tc>
          <w:tcPr>
            <w:tcW w:w="5264" w:type="dxa"/>
          </w:tcPr>
          <w:p w:rsidR="00057C6A" w:rsidRDefault="00057C6A" w:rsidP="00507B30">
            <w:pPr>
              <w:jc w:val="both"/>
              <w:rPr>
                <w:rFonts w:ascii="Arial" w:hAnsi="Arial" w:cs="Arial"/>
                <w:sz w:val="24"/>
                <w:lang w:val="es-ES"/>
              </w:rPr>
            </w:pPr>
            <w:r>
              <w:rPr>
                <w:noProof/>
              </w:rPr>
              <w:lastRenderedPageBreak/>
              <w:drawing>
                <wp:inline distT="0" distB="0" distL="0" distR="0" wp14:anchorId="602FEAEA" wp14:editId="6D7EDFE0">
                  <wp:extent cx="3094222" cy="1846022"/>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1260" cy="1856187"/>
                          </a:xfrm>
                          <a:prstGeom prst="rect">
                            <a:avLst/>
                          </a:prstGeom>
                        </pic:spPr>
                      </pic:pic>
                    </a:graphicData>
                  </a:graphic>
                </wp:inline>
              </w:drawing>
            </w:r>
          </w:p>
        </w:tc>
        <w:tc>
          <w:tcPr>
            <w:tcW w:w="5264" w:type="dxa"/>
          </w:tcPr>
          <w:p w:rsidR="00057C6A" w:rsidRDefault="00057C6A" w:rsidP="00507B30">
            <w:pPr>
              <w:jc w:val="both"/>
              <w:rPr>
                <w:rFonts w:ascii="Arial" w:hAnsi="Arial" w:cs="Arial"/>
                <w:sz w:val="24"/>
                <w:lang w:val="es-ES"/>
              </w:rPr>
            </w:pPr>
            <w:r>
              <w:rPr>
                <w:noProof/>
              </w:rPr>
              <w:drawing>
                <wp:inline distT="0" distB="0" distL="0" distR="0" wp14:anchorId="21ECB427" wp14:editId="17FDF800">
                  <wp:extent cx="3154919" cy="1882233"/>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0799" cy="1897673"/>
                          </a:xfrm>
                          <a:prstGeom prst="rect">
                            <a:avLst/>
                          </a:prstGeom>
                        </pic:spPr>
                      </pic:pic>
                    </a:graphicData>
                  </a:graphic>
                </wp:inline>
              </w:drawing>
            </w:r>
          </w:p>
        </w:tc>
      </w:tr>
      <w:tr w:rsidR="00057C6A" w:rsidTr="00057C6A">
        <w:tc>
          <w:tcPr>
            <w:tcW w:w="5264" w:type="dxa"/>
          </w:tcPr>
          <w:p w:rsidR="00057C6A" w:rsidRDefault="00057C6A" w:rsidP="00507B30">
            <w:pPr>
              <w:jc w:val="both"/>
              <w:rPr>
                <w:rFonts w:ascii="Arial" w:hAnsi="Arial" w:cs="Arial"/>
                <w:sz w:val="24"/>
                <w:lang w:val="es-ES"/>
              </w:rPr>
            </w:pPr>
            <w:r>
              <w:rPr>
                <w:noProof/>
              </w:rPr>
              <w:drawing>
                <wp:inline distT="0" distB="0" distL="0" distR="0" wp14:anchorId="62C5C64A" wp14:editId="7DABA227">
                  <wp:extent cx="3075305" cy="1834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2920" cy="1845244"/>
                          </a:xfrm>
                          <a:prstGeom prst="rect">
                            <a:avLst/>
                          </a:prstGeom>
                        </pic:spPr>
                      </pic:pic>
                    </a:graphicData>
                  </a:graphic>
                </wp:inline>
              </w:drawing>
            </w:r>
          </w:p>
        </w:tc>
        <w:tc>
          <w:tcPr>
            <w:tcW w:w="5264" w:type="dxa"/>
          </w:tcPr>
          <w:p w:rsidR="00057C6A" w:rsidRDefault="00057C6A" w:rsidP="00507B30">
            <w:pPr>
              <w:jc w:val="both"/>
              <w:rPr>
                <w:rFonts w:ascii="Arial" w:hAnsi="Arial" w:cs="Arial"/>
                <w:sz w:val="24"/>
                <w:lang w:val="es-ES"/>
              </w:rPr>
            </w:pPr>
            <w:r>
              <w:rPr>
                <w:noProof/>
              </w:rPr>
              <w:drawing>
                <wp:inline distT="0" distB="0" distL="0" distR="0" wp14:anchorId="2567EDCF" wp14:editId="29C39FBE">
                  <wp:extent cx="3113008" cy="18572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6153" cy="1871038"/>
                          </a:xfrm>
                          <a:prstGeom prst="rect">
                            <a:avLst/>
                          </a:prstGeom>
                        </pic:spPr>
                      </pic:pic>
                    </a:graphicData>
                  </a:graphic>
                </wp:inline>
              </w:drawing>
            </w:r>
          </w:p>
        </w:tc>
      </w:tr>
    </w:tbl>
    <w:p w:rsidR="00485C05" w:rsidRDefault="00485C05" w:rsidP="00507B30">
      <w:pPr>
        <w:spacing w:line="240" w:lineRule="auto"/>
        <w:jc w:val="both"/>
        <w:rPr>
          <w:rFonts w:ascii="Arial" w:hAnsi="Arial" w:cs="Arial"/>
          <w:sz w:val="24"/>
          <w:lang w:val="es-ES"/>
        </w:rPr>
      </w:pPr>
      <w:r w:rsidRPr="00485C05">
        <w:rPr>
          <w:rFonts w:ascii="Arial" w:hAnsi="Arial" w:cs="Arial"/>
          <w:b/>
          <w:sz w:val="24"/>
          <w:lang w:val="es-ES"/>
        </w:rPr>
        <w:t>Figura 1.</w:t>
      </w:r>
      <w:r>
        <w:rPr>
          <w:rFonts w:ascii="Arial" w:hAnsi="Arial" w:cs="Arial"/>
          <w:sz w:val="24"/>
          <w:lang w:val="es-ES"/>
        </w:rPr>
        <w:t xml:space="preserve"> Distribución y normalidad de variables cuantitativas. </w:t>
      </w:r>
    </w:p>
    <w:p w:rsidR="00485C05" w:rsidRDefault="00485C05" w:rsidP="00507B30">
      <w:pPr>
        <w:spacing w:line="240" w:lineRule="auto"/>
        <w:jc w:val="both"/>
        <w:rPr>
          <w:rFonts w:ascii="Arial" w:hAnsi="Arial" w:cs="Arial"/>
          <w:sz w:val="24"/>
          <w:lang w:val="es-ES"/>
        </w:rPr>
      </w:pPr>
      <w:r>
        <w:rPr>
          <w:rFonts w:ascii="Arial" w:hAnsi="Arial" w:cs="Arial"/>
          <w:sz w:val="24"/>
          <w:lang w:val="es-ES"/>
        </w:rPr>
        <w:t xml:space="preserve">Por último, se exportó el archivo que relacionaba a cada prestador en cada unidad territorial para ser analizado visualmente en </w:t>
      </w:r>
      <w:proofErr w:type="spellStart"/>
      <w:r>
        <w:rPr>
          <w:rFonts w:ascii="Arial" w:hAnsi="Arial" w:cs="Arial"/>
          <w:sz w:val="24"/>
          <w:lang w:val="es-ES"/>
        </w:rPr>
        <w:t>Power</w:t>
      </w:r>
      <w:proofErr w:type="spellEnd"/>
      <w:r>
        <w:rPr>
          <w:rFonts w:ascii="Arial" w:hAnsi="Arial" w:cs="Arial"/>
          <w:sz w:val="24"/>
          <w:lang w:val="es-ES"/>
        </w:rPr>
        <w:t xml:space="preserve"> BI, en donde se construyó una nueva variable llamada densidad poblacional para determinar el número de personas por área y así permitir realizar un análisis de la cobertura de los prestadores de se</w:t>
      </w:r>
      <w:bookmarkStart w:id="0" w:name="_GoBack"/>
      <w:bookmarkEnd w:id="0"/>
      <w:r>
        <w:rPr>
          <w:rFonts w:ascii="Arial" w:hAnsi="Arial" w:cs="Arial"/>
          <w:sz w:val="24"/>
          <w:lang w:val="es-ES"/>
        </w:rPr>
        <w:t xml:space="preserve">rvicios de salud según la densidad poblacional y no solamente sobre la población o superficie de una unidad territorial. De esta manera se logró evidenciar cuales eran los municipios con mayor densidad poblacional, y </w:t>
      </w:r>
      <w:proofErr w:type="spellStart"/>
      <w:r>
        <w:rPr>
          <w:rFonts w:ascii="Arial" w:hAnsi="Arial" w:cs="Arial"/>
          <w:sz w:val="24"/>
          <w:lang w:val="es-ES"/>
        </w:rPr>
        <w:t>analizaer</w:t>
      </w:r>
      <w:proofErr w:type="spellEnd"/>
      <w:r>
        <w:rPr>
          <w:rFonts w:ascii="Arial" w:hAnsi="Arial" w:cs="Arial"/>
          <w:sz w:val="24"/>
          <w:lang w:val="es-ES"/>
        </w:rPr>
        <w:t xml:space="preserve"> si eran estos mismos quienes presentaron una mayor cobertura por parte de los prestadores que allí operan o no, caracterizando esta cobertura según la región, el carácter y razón social de los prestadores, su nivel de servicio, y si eran ESE o no. </w:t>
      </w:r>
    </w:p>
    <w:p w:rsidR="00485C05" w:rsidRDefault="00485C05" w:rsidP="00485C05">
      <w:pPr>
        <w:spacing w:line="240" w:lineRule="auto"/>
        <w:jc w:val="center"/>
        <w:rPr>
          <w:rFonts w:ascii="Arial" w:hAnsi="Arial" w:cs="Arial"/>
          <w:sz w:val="24"/>
          <w:lang w:val="es-ES"/>
        </w:rPr>
      </w:pPr>
      <w:r>
        <w:rPr>
          <w:noProof/>
        </w:rPr>
        <w:drawing>
          <wp:inline distT="0" distB="0" distL="0" distR="0" wp14:anchorId="372215F8" wp14:editId="37132BD4">
            <wp:extent cx="5213022" cy="2926080"/>
            <wp:effectExtent l="0" t="0" r="698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1536" cy="2936472"/>
                    </a:xfrm>
                    <a:prstGeom prst="rect">
                      <a:avLst/>
                    </a:prstGeom>
                  </pic:spPr>
                </pic:pic>
              </a:graphicData>
            </a:graphic>
          </wp:inline>
        </w:drawing>
      </w:r>
    </w:p>
    <w:p w:rsidR="00485C05" w:rsidRPr="00507B30" w:rsidRDefault="00485C05" w:rsidP="00485C05">
      <w:pPr>
        <w:spacing w:line="240" w:lineRule="auto"/>
        <w:jc w:val="center"/>
        <w:rPr>
          <w:rFonts w:ascii="Arial" w:hAnsi="Arial" w:cs="Arial"/>
          <w:sz w:val="24"/>
          <w:lang w:val="es-ES"/>
        </w:rPr>
      </w:pPr>
      <w:r w:rsidRPr="00485C05">
        <w:rPr>
          <w:rFonts w:ascii="Arial" w:hAnsi="Arial" w:cs="Arial"/>
          <w:b/>
          <w:sz w:val="24"/>
          <w:lang w:val="es-ES"/>
        </w:rPr>
        <w:t>Figura 2.</w:t>
      </w:r>
      <w:r>
        <w:rPr>
          <w:rFonts w:ascii="Arial" w:hAnsi="Arial" w:cs="Arial"/>
          <w:sz w:val="24"/>
          <w:lang w:val="es-ES"/>
        </w:rPr>
        <w:t xml:space="preserve"> Análisis descriptivo de la cobertura de los prestadores en Colombia</w:t>
      </w:r>
    </w:p>
    <w:sectPr w:rsidR="00485C05" w:rsidRPr="00507B30" w:rsidSect="00507B30">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68"/>
    <w:rsid w:val="00057C6A"/>
    <w:rsid w:val="00485C05"/>
    <w:rsid w:val="00507B30"/>
    <w:rsid w:val="00836C96"/>
    <w:rsid w:val="00B87C68"/>
    <w:rsid w:val="00E3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42A7"/>
  <w15:chartTrackingRefBased/>
  <w15:docId w15:val="{73D54D79-C631-4758-A3C2-3CF16468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644</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GESIS SALUD MENTAL</dc:creator>
  <cp:keywords/>
  <dc:description/>
  <cp:lastModifiedBy>GESIS SALUD MENTAL</cp:lastModifiedBy>
  <cp:revision>1</cp:revision>
  <dcterms:created xsi:type="dcterms:W3CDTF">2024-03-01T02:08:00Z</dcterms:created>
  <dcterms:modified xsi:type="dcterms:W3CDTF">2024-03-01T02:58:00Z</dcterms:modified>
</cp:coreProperties>
</file>