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8"/>
          <w:szCs w:val="28"/>
        </w:rPr>
        <w:t xml:space="preserve">HU-21 · Evaluar opciones de financiación</w:t>
      </w:r>
    </w:p>
    <w:p>
      <w:pPr>
        <w:spacing w:after="20" w:before="0" w:line="276"/>
        <w:jc w:val="left"/>
      </w:pPr>
      <w:r>
        <w:rPr>
          <w:rFonts w:ascii="Arial" w:cs="Arial" w:eastAsia="Arial" w:hAnsi="Arial"/>
          <w:sz w:val="18"/>
          <w:szCs w:val="18"/>
        </w:rPr>
        <w:t xml:space="preserve">Tablero de Indicadores · Panadería San Nicolás · Gerencia de Proyectos (6350-161), Universidad de Medellín</w:t>
      </w:r>
    </w:p>
    <w:p>
      <w:pPr>
        <w:spacing w:after="100" w:before="0" w:line="276"/>
        <w:jc w:val="left"/>
      </w:pPr>
      <w:r>
        <w:rPr>
          <w:rFonts w:ascii="Arial" w:cs="Arial" w:eastAsia="Arial" w:hAnsi="Arial"/>
          <w:sz w:val="18"/>
          <w:szCs w:val="18"/>
        </w:rPr>
        <w:t xml:space="preserve">Responsable: María Camila (QA) · 5 puntos · Prioridad media · Sprint 1 · Punto 3 de la guía · Cifras con corte al 29-oct-2026</w:t>
      </w:r>
    </w:p>
    <w:p>
      <w:pPr>
        <w:spacing w:after="100" w:before="0" w:line="276"/>
        <w:jc w:val="both"/>
      </w:pPr>
      <w:r>
        <w:rPr>
          <w:rFonts w:ascii="Arial" w:cs="Arial" w:eastAsia="Arial" w:hAnsi="Arial"/>
          <w:b/>
          <w:bCs/>
          <w:sz w:val="20"/>
          <w:szCs w:val="20"/>
        </w:rPr>
        <w:t xml:space="preserve">Historia: </w:t>
      </w:r>
      <w:r>
        <w:rPr>
          <w:rFonts w:ascii="Arial" w:cs="Arial" w:eastAsia="Arial" w:hAnsi="Arial"/>
          <w:i/>
          <w:iCs/>
          <w:sz w:val="20"/>
          <w:szCs w:val="20"/>
        </w:rPr>
        <w:t xml:space="preserve">como QA, quiero comparar las opciones de financiación, para recomendar la más conveniente para escalar la aplicación.</w:t>
      </w:r>
    </w:p>
    <w:p>
      <w:pPr>
        <w:spacing w:after="100" w:before="0" w:line="276"/>
        <w:jc w:val="both"/>
      </w:pPr>
      <w:r>
        <w:rPr>
          <w:rFonts w:ascii="Arial" w:cs="Arial" w:eastAsia="Arial" w:hAnsi="Arial"/>
          <w:sz w:val="20"/>
          <w:szCs w:val="20"/>
        </w:rPr>
        <w:t xml:space="preserve">Se siguen las fases de la guía de taller de la Clase 20 (Álvarez Valencia, 2026). Primero va la ficha de necesidad. Luego, las cinco opciones con su comparación y el efecto de la tasa de interés sobre el VPN. Al final están la matriz de decisión y la recomendación. Lo que no sale de la guía ni del business case (HU-08) va marcado como </w:t>
      </w:r>
      <w:r>
        <w:rPr>
          <w:rFonts w:ascii="Arial" w:cs="Arial" w:eastAsia="Arial" w:hAnsi="Arial"/>
          <w:i/>
          <w:iCs/>
          <w:color w:val="C00000"/>
          <w:sz w:val="20"/>
          <w:szCs w:val="20"/>
        </w:rPr>
        <w:t xml:space="preserve">supuesto</w:t>
      </w:r>
      <w:r>
        <w:rPr>
          <w:rFonts w:ascii="Arial" w:cs="Arial" w:eastAsia="Arial" w:hAnsi="Arial"/>
          <w:sz w:val="20"/>
          <w:szCs w:val="20"/>
        </w:rPr>
        <w:t xml:space="preserve">.</w:t>
      </w:r>
    </w:p>
    <w:p>
      <w:pPr>
        <w:pBdr>
          <w:bottom w:val="single" w:color="1F3864" w:sz="4" w:space="1"/>
        </w:pBdr>
        <w:spacing w:after="80" w:before="160"/>
      </w:pPr>
      <w:r>
        <w:rPr>
          <w:rFonts w:ascii="Arial" w:cs="Arial" w:eastAsia="Arial" w:hAnsi="Arial"/>
          <w:b/>
          <w:bCs/>
          <w:color w:val="1F3864"/>
          <w:sz w:val="22"/>
          <w:szCs w:val="22"/>
        </w:rPr>
        <w:t xml:space="preserve">1. Ficha de necesidad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Campo</w:t>
            </w:r>
          </w:p>
        </w:tc>
        <w:tc>
          <w:tcPr>
            <w:tcW w:type="dxa" w:w="76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Respuesta del equipo</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Etapa</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Validación. La aplicación tiene prototipo funcional y se prueba con una sola panadería. En esta etapa suelen encajar incubadoras, capital semilla, convocatorias y crowdfunding de recompensa (Berger y Udell, 1998).</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Uso</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Escalar la aplicación a otras panaderías de punto caliente (vía de escalamiento de HU-19): adaptarla, instalarla y capacitar a cada panadería. La plataforma (Apps Script y Google Sheets) no cobra licencias.</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Monto</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COP 4,8 millones ≈ 2,74 SMMLV (SMMLV 2026 de $1.750.905, Decreto 159 de 2026). </w:t>
            </w:r>
            <w:r>
              <w:rPr>
                <w:rFonts w:ascii="Arial" w:cs="Arial" w:eastAsia="Arial" w:hAnsi="Arial"/>
                <w:i/>
                <w:iCs/>
                <w:color w:val="C00000"/>
                <w:sz w:val="17"/>
                <w:szCs w:val="17"/>
              </w:rPr>
              <w:t xml:space="preserve">Supuesto: se toma la misma inversión del business case (240 h × $20.000) como referencia para la primera fase de escalamiento.</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Momento</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Primer semestre de 2027, después del cierre del curso. </w:t>
            </w:r>
            <w:r>
              <w:rPr>
                <w:rFonts w:ascii="Arial" w:cs="Arial" w:eastAsia="Arial" w:hAnsi="Arial"/>
                <w:i/>
                <w:iCs/>
                <w:color w:val="C00000"/>
                <w:sz w:val="17"/>
                <w:szCs w:val="17"/>
              </w:rPr>
              <w:t xml:space="preserve">Supuesto.</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Forma jurídica</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Ninguna todavía: el equipo actúa como personas naturales.</w:t>
            </w:r>
          </w:p>
        </w:tc>
      </w:tr>
      <w:tr>
        <w:trPr>
          <w:cantSplit/>
          <w:tblHeader w:val="off"/>
        </w:trPr>
        <w:tc>
          <w:tcPr>
            <w:tcW w:type="dxa" w:w="17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Control</w:t>
            </w:r>
          </w:p>
        </w:tc>
        <w:tc>
          <w:tcPr>
            <w:tcW w:type="dxa" w:w="76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0 %: no estamos dispuestos a ceder participación en esta etapa. </w:t>
            </w:r>
            <w:r>
              <w:rPr>
                <w:rFonts w:ascii="Arial" w:cs="Arial" w:eastAsia="Arial" w:hAnsi="Arial"/>
                <w:i/>
                <w:iCs/>
                <w:color w:val="C00000"/>
                <w:sz w:val="17"/>
                <w:szCs w:val="17"/>
              </w:rPr>
              <w:t xml:space="preserve">Supuesto, por confirmar con el equipo.</w:t>
            </w:r>
          </w:p>
        </w:tc>
      </w:tr>
    </w:tbl>
    <w:p>
      <w:pPr>
        <w:spacing w:after="120" w:before="40" w:line="276"/>
        <w:jc w:val="left"/>
      </w:pPr>
      <w:r>
        <w:rPr>
          <w:rFonts w:ascii="Arial" w:cs="Arial" w:eastAsia="Arial" w:hAnsi="Arial"/>
          <w:i/>
          <w:iCs/>
          <w:sz w:val="16"/>
          <w:szCs w:val="16"/>
        </w:rPr>
        <w:t xml:space="preserve">Datos que cambian la elegibilidad y faltan: semestre o porcentaje de créditos de cada integrante (Fondo Emprender) y estrato (Banco Distrital): [completar].</w:t>
      </w:r>
    </w:p>
    <w:p>
      <w:pPr>
        <w:pBdr>
          <w:bottom w:val="single" w:color="1F3864" w:sz="4" w:space="1"/>
        </w:pBdr>
        <w:spacing w:after="80" w:before="160"/>
      </w:pPr>
      <w:r>
        <w:rPr>
          <w:rFonts w:ascii="Arial" w:cs="Arial" w:eastAsia="Arial" w:hAnsi="Arial"/>
          <w:b/>
          <w:bCs/>
          <w:color w:val="1F3864"/>
          <w:sz w:val="22"/>
          <w:szCs w:val="22"/>
        </w:rPr>
        <w:t xml:space="preserve">2. Opciones de financiación registradas</w:t>
      </w:r>
    </w:p>
    <w:p>
      <w:pPr>
        <w:spacing w:after="100" w:before="0" w:line="276"/>
        <w:jc w:val="both"/>
      </w:pPr>
      <w:r>
        <w:rPr>
          <w:rFonts w:ascii="Arial" w:cs="Arial" w:eastAsia="Arial" w:hAnsi="Arial"/>
          <w:sz w:val="20"/>
          <w:szCs w:val="20"/>
        </w:rPr>
        <w:t xml:space="preserve">Se registran las cinco opciones de la historia. Incubadoras y aceleradoras se separan porque la guía las evalúa distinto. Cada una tiene al menos una iniciativa real con fuente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2400"/>
        <w:gridCol w:w="1900"/>
        <w:gridCol w:w="2380"/>
        <w:gridCol w:w="1300"/>
      </w:tblGrid>
      <w:tr>
        <w:trPr>
          <w:cantSplit/>
          <w:tblHeader/>
        </w:trPr>
        <w:tc>
          <w:tcPr>
            <w:tcW w:type="dxa" w:w="13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Opción</w:t>
            </w:r>
          </w:p>
        </w:tc>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Iniciativa y fuente oficial</w:t>
            </w:r>
          </w:p>
        </w:tc>
        <w:tc>
          <w:tcPr>
            <w:tcW w:type="dxa" w:w="1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Estado al 29-oct-2026</w:t>
            </w:r>
          </w:p>
        </w:tc>
        <w:tc>
          <w:tcPr>
            <w:tcW w:type="dxa" w:w="23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Monto</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¿Cumplimos hoy?</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Recursos propios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Horas del equipo; costo de oportunidad con el CDT a 360 días · Banco de la República (suameca.banrep.gov.co)</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Serie semanal; dato del 23-oct-2026</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Lo que el equipo aporte (240 h valoradas en COP 4,8 M)</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Sí</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Banca</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Crédito Germina · Comfama (comfama.com)</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Permanente</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COP 1 a 7 M</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Por confirmar: no tenemos ingresos que respalden la cuota</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Convocatorias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Fondo Emprender · SENA (fondoemprender.com) y portal de convocatorias de iNNpulsa (innpulsacolombia.com)</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Fondo Emprender cerrada (2-mar a 6-abr-2026), 2027 por anunciar. iNNpulsa: solo regionales abiertas, ninguna para Medellín</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Fondo Emprender: hasta 42 SMMLV (≈ COP 73,5 M) en la Conv. 153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No: cerradas</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Incubadoras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Cantera de Emprendedores · UdeM (desarrolloempresarial.udemedellin.edu.co)</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Última cohorte publicada: 2023-2; por confirmar</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No desembolsa; da mentoría</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Sí en requisitos; falta que abra cohorte</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Aceleradoras</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Medellín Next · Ruta N (rutanmedellin.org). Referencia: ALDEA+ 25 de iNNpulsa</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Medellín Next cerrada (31-jul-2026); ALDEA+ 25 cerrada (17-feb-2026)</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Inversión o estipendio, según el programa</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No</w:t>
            </w:r>
          </w:p>
        </w:tc>
      </w:tr>
      <w:tr>
        <w:trPr>
          <w:cantSplit/>
          <w:tblHeader w:val="off"/>
        </w:trPr>
        <w:tc>
          <w:tcPr>
            <w:tcW w:type="dxa" w:w="138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Crowdfunding</w:t>
            </w:r>
          </w:p>
        </w:tc>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Vaki (help.vaki.co)</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Permanente</w:t>
            </w:r>
          </w:p>
        </w:tc>
        <w:tc>
          <w:tcPr>
            <w:tcW w:type="dxa" w:w="23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Lo que logre la campaña</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Sí</w:t>
            </w:r>
          </w:p>
        </w:tc>
      </w:tr>
    </w:tbl>
    <w:p>
      <w:pPr>
        <w:spacing w:after="120" w:before="40" w:line="276"/>
        <w:jc w:val="left"/>
      </w:pPr>
      <w:r>
        <w:rPr>
          <w:rFonts w:ascii="Arial" w:cs="Arial" w:eastAsia="Arial" w:hAnsi="Arial"/>
          <w:i/>
          <w:iCs/>
          <w:sz w:val="16"/>
          <w:szCs w:val="16"/>
        </w:rPr>
        <w:t xml:space="preserve">Fecha de consulta: 29-oct-2026, a partir del directorio de la guía. Deben confirmarse en la URL oficial el día de la entrega.</w:t>
      </w:r>
    </w:p>
    <w:p>
      <w:pPr>
        <w:spacing w:after="100" w:before="0" w:line="276"/>
        <w:jc w:val="both"/>
      </w:pPr>
      <w:r>
        <w:rPr>
          <w:rFonts w:ascii="Arial" w:cs="Arial" w:eastAsia="Arial" w:hAnsi="Arial"/>
          <w:b/>
          <w:bCs/>
          <w:sz w:val="20"/>
          <w:szCs w:val="20"/>
        </w:rPr>
        <w:t xml:space="preserve">Comparación por criterios. </w:t>
      </w:r>
      <w:r>
        <w:rPr>
          <w:rFonts w:ascii="Arial" w:cs="Arial" w:eastAsia="Arial" w:hAnsi="Arial"/>
          <w:sz w:val="20"/>
          <w:szCs w:val="20"/>
        </w:rPr>
        <w:t xml:space="preserve">Para cada opción se comparan costo, requisitos, plazo, ventajas y desventajas. El costo se calcula sobre los COP 4,8 millones de la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1300"/>
        <w:gridCol w:w="1580"/>
        <w:gridCol w:w="1580"/>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Opción</w:t>
            </w:r>
          </w:p>
        </w:tc>
        <w:tc>
          <w:tcPr>
            <w:tcW w:type="dxa" w:w="1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Costo</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Requisitos</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Plazo</w:t>
            </w:r>
          </w:p>
        </w:tc>
        <w:tc>
          <w:tcPr>
            <w:tcW w:type="dxa" w:w="15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Ventajas</w:t>
            </w:r>
          </w:p>
        </w:tc>
        <w:tc>
          <w:tcPr>
            <w:tcW w:type="dxa" w:w="158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Desventajas</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Recursos propios</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12,41 % E.A. de costo de oportunidad: 4,8 M × 0,1241 ≈ COP 0,60 M al año</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Tener el dinero o las horas y asumir el riesgo</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Inmediato; no se devuelve</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Sin intereses, sin trámites y sin ceder control</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Monto limitado; el riesgo es todo del equipo</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Banca (Germina)</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Desde 2,4 % mensual = (1,024)¹² − 1 ≈ 32,9 % E.A. En 12 cuotas: ≈ $465.109/mes e intereses ≈ COP 0,78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Capacidad de pago; iniciar o fortalecer un pequeño negocio</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12 a 36 meses</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Permanente, sin codeudor y cubre el monto</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La tasa más alta de las opciones con dinero; exige cuota fija</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Convocatorias (Fondo Emprender)</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0 si se cumplen las metas del plan (condonable)</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Dos últimos semestres u 80 % de créditos; plan de negocio; al menos un empleo</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Ventana de unas 5 semanas al año; luego interventoría</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El mayor monto y sin costo financiero</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Sin fecha para 2027; metas e interventoría obligatorias</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Incubadoras (Cantera UdeM)</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0 en dinero</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Al menos un integrante de la comunidad UdeM; pasar la selección</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16 semanas</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Gratuita; mentoría, formación y red</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No aporta dinero; cohorte sin confirmar</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Aceleradoras (Medellín Next)</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Participación en la empresa; no se expresa en pesos</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Facturar ≥ USD 1 M al año y 5 personas de tiempo completo</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Término fijo; en promedio 3 a 4 meses (Hochberg, 2016)</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Inversión, red y demo day ante inversionistas</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Inalcanzable hoy; implica ceder propiedad</w:t>
            </w:r>
          </w:p>
        </w:tc>
      </w:tr>
      <w:tr>
        <w:trPr>
          <w:cantSplit/>
          <w:tblHeader w:val="off"/>
        </w:trPr>
        <w:tc>
          <w:tcPr>
            <w:tcW w:type="dxa" w:w="1300"/>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Crowdfunding (Vaki)</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6 % + ≈ 4 % de pasarela. Meta = 4,8 M ÷ 0,90 ≈ COP 5,33 M; comisiones ≈ COP 0,53 M, más recompensas y 4 por mil</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Comunidad que apoye la campaña y entregar las recompensas</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Lo que dure la campaña, con meta y fecha</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Disponible hoy; además valida si otras panaderías quieren la aplicación</w:t>
            </w:r>
          </w:p>
        </w:tc>
        <w:tc>
          <w:tcPr>
            <w:tcW w:type="dxa" w:w="158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sz w:val="17"/>
                <w:szCs w:val="17"/>
              </w:rPr>
              <w:t xml:space="preserve">Incierto: en Kickstarter solo el 24,9 % de los proyectos de tecnología llega a su meta (Kickstarter, 2026)</w:t>
            </w:r>
          </w:p>
        </w:tc>
      </w:tr>
    </w:tbl>
    <w:p>
      <w:pPr>
        <w:spacing w:after="100" w:before="100" w:line="276"/>
        <w:jc w:val="both"/>
      </w:pPr>
      <w:r>
        <w:rPr>
          <w:rFonts w:ascii="Arial" w:cs="Arial" w:eastAsia="Arial" w:hAnsi="Arial"/>
          <w:sz w:val="20"/>
          <w:szCs w:val="20"/>
        </w:rPr>
        <w:t xml:space="preserve">Otras iniciativas revisadas que no se usan: el Banco Distrital de Medellín (1 a 56 SMLV, hasta 36 meses, estratos 1 a 3) no publica su tasa, así que queda como NO VERIFICADO. Y Combinator solo invierte en sociedades de EE. UU., Canadá, Islas Caimán o Singapur. a2censo exige ventas de al menos COP 900 millones al año. Sobre Vaki, la documentación para desarrolladores (Vaki, s. f.) habla de 5 % más pasarela, o 10 % todo incluido. Aquí se usa la cifra de la guía, que es la más cara.</w:t>
      </w:r>
    </w:p>
    <w:p>
      <w:pPr>
        <w:pBdr>
          <w:bottom w:val="single" w:color="1F3864" w:sz="4" w:space="1"/>
        </w:pBdr>
        <w:spacing w:after="80" w:before="160"/>
      </w:pPr>
      <w:r>
        <w:rPr>
          <w:rFonts w:ascii="Arial" w:cs="Arial" w:eastAsia="Arial" w:hAnsi="Arial"/>
          <w:b/>
          <w:bCs/>
          <w:color w:val="1F3864"/>
          <w:sz w:val="22"/>
          <w:szCs w:val="22"/>
        </w:rPr>
        <w:t xml:space="preserve">3. Efecto de la tasa de interés en la evaluación del proyecto</w:t>
      </w:r>
    </w:p>
    <w:p>
      <w:pPr>
        <w:spacing w:after="100" w:before="0" w:line="276"/>
        <w:jc w:val="both"/>
      </w:pPr>
      <w:r>
        <w:rPr>
          <w:rFonts w:ascii="Arial" w:cs="Arial" w:eastAsia="Arial" w:hAnsi="Arial"/>
          <w:sz w:val="20"/>
          <w:szCs w:val="20"/>
        </w:rPr>
        <w:t xml:space="preserve">El business case (HU-08) da un VPN de unos +COP 3,58 M a 24 meses, descontado al 12 % E.A. La tasa de descuento debería ser el costo de la plata con que se financia el proyecto. Por eso se recalculó el VPN con la tasa de cada opción. Para que el cálculo dé los mismos +3,58 M al 12 %, el flujo neto debe ser de unos $392.100 al mes. Primero se pasa cada tasa a mensual con i = (1 + E.A.)^(1/12)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300"/>
        <w:gridCol w:w="1900"/>
        <w:gridCol w:w="1700"/>
      </w:tblGrid>
      <w:tr>
        <w:trPr>
          <w:cantSplit/>
          <w:tblHeader/>
        </w:trPr>
        <w:tc>
          <w:tcPr>
            <w:tcW w:type="dxa" w:w="31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Tasa de descuento</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E.A.</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Mensual</w:t>
            </w:r>
          </w:p>
        </w:tc>
        <w:tc>
          <w:tcPr>
            <w:tcW w:type="dxa" w:w="1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VPN a 24 meses</w:t>
            </w:r>
          </w:p>
        </w:tc>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Recuperación descontada</w:t>
            </w:r>
          </w:p>
        </w:tc>
      </w:tr>
      <w:tr>
        <w:trPr>
          <w:cantSplit/>
          <w:tblHeader w:val="off"/>
        </w:trPr>
        <w:tc>
          <w:tcPr>
            <w:tcW w:type="dxa" w:w="31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Business case (HU-08)</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12,00 %</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0,95 %</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 +COP 3,58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14 meses</w:t>
            </w:r>
          </w:p>
        </w:tc>
      </w:tr>
      <w:tr>
        <w:trPr>
          <w:cantSplit/>
          <w:tblHeader w:val="off"/>
        </w:trPr>
        <w:tc>
          <w:tcPr>
            <w:tcW w:type="dxa" w:w="31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Recursos propios (CDT 360 días)</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12,41 %</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0,98 %</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 +COP 3,55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14 meses</w:t>
            </w:r>
          </w:p>
        </w:tc>
      </w:tr>
      <w:tr>
        <w:trPr>
          <w:cantSplit/>
          <w:tblHeader w:val="off"/>
        </w:trPr>
        <w:tc>
          <w:tcPr>
            <w:tcW w:type="dxa" w:w="31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Banca: Comfama Germina</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32,90 %</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2,40 %</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 +COP 2,29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15 meses</w:t>
            </w:r>
          </w:p>
        </w:tc>
      </w:tr>
      <w:tr>
        <w:trPr>
          <w:cantSplit/>
          <w:tblHeader w:val="off"/>
        </w:trPr>
        <w:tc>
          <w:tcPr>
            <w:tcW w:type="dxa" w:w="31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Banca: crédito productivo urbano</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38,26 %</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2,74 %</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 +COP 2,03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16 meses</w:t>
            </w:r>
          </w:p>
        </w:tc>
      </w:tr>
      <w:tr>
        <w:trPr>
          <w:cantSplit/>
          <w:tblHeader w:val="off"/>
        </w:trPr>
        <w:tc>
          <w:tcPr>
            <w:tcW w:type="dxa" w:w="31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Banca: popular productivo urbano (≤ 6 SMMLV)</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58,41 %</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3,91 %</w:t>
            </w:r>
          </w:p>
        </w:tc>
        <w:tc>
          <w:tcPr>
            <w:tcW w:type="dxa" w:w="1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 +COP 1,24 M</w:t>
            </w:r>
          </w:p>
        </w:tc>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sz w:val="17"/>
                <w:szCs w:val="17"/>
              </w:rPr>
              <w:t xml:space="preserve">17 meses</w:t>
            </w:r>
          </w:p>
        </w:tc>
      </w:tr>
    </w:tbl>
    <w:p>
      <w:pPr>
        <w:spacing w:after="120" w:before="40" w:line="276"/>
        <w:jc w:val="left"/>
      </w:pPr>
      <w:r>
        <w:rPr>
          <w:rFonts w:ascii="Arial" w:cs="Arial" w:eastAsia="Arial" w:hAnsi="Arial"/>
          <w:i/>
          <w:iCs/>
          <w:sz w:val="16"/>
          <w:szCs w:val="16"/>
        </w:rPr>
        <w:t xml:space="preserve">VPN = Σ flujo ÷ (1 + i)^t − 4.800.000, con t de 1 a 24 meses. Tasas bancarias: interés corriente de octubre de 2026 (Superintendencia Financiera de Colombia, 2026). </w:t>
      </w:r>
      <w:r>
        <w:rPr>
          <w:rFonts w:ascii="Arial" w:cs="Arial" w:eastAsia="Arial" w:hAnsi="Arial"/>
          <w:i/>
          <w:iCs/>
          <w:color w:val="C00000"/>
          <w:sz w:val="16"/>
          <w:szCs w:val="16"/>
        </w:rPr>
        <w:t xml:space="preserve">Supuesto: flujo neto mensual deducido del VPN de HU-08; confirmar con el responsable de HU-08.</w:t>
      </w:r>
    </w:p>
    <w:p>
      <w:pPr>
        <w:spacing w:after="100" w:before="0" w:line="276"/>
        <w:jc w:val="both"/>
      </w:pPr>
      <w:r>
        <w:rPr>
          <w:rFonts w:ascii="Arial" w:cs="Arial" w:eastAsia="Arial" w:hAnsi="Arial"/>
          <w:sz w:val="20"/>
          <w:szCs w:val="20"/>
        </w:rPr>
        <w:t xml:space="preserve">El proyecto aguanta cualquier fuente legal. Su TIR es de unos 6,3 % mensual (≈ 107 % E.A.), más alta que la usura del crédito pequeño (87,62 % E.A.), así que el VPN nunca se vuelve negativo. Lo que sí cambia es cuánto valor queda. Si se pasa de recursos propios a un crédito popular productivo, el VPN cae cerca de 65 % (de 3,55 a 1,24 millones) y la recuperación se demora 3 meses más. Por eso el costo pesa 25 % en la matriz.</w:t>
      </w:r>
    </w:p>
    <w:p>
      <w:pPr>
        <w:pBdr>
          <w:bottom w:val="single" w:color="1F3864" w:sz="4" w:space="1"/>
        </w:pBdr>
        <w:spacing w:after="80" w:before="160"/>
      </w:pPr>
      <w:r>
        <w:rPr>
          <w:rFonts w:ascii="Arial" w:cs="Arial" w:eastAsia="Arial" w:hAnsi="Arial"/>
          <w:b/>
          <w:bCs/>
          <w:color w:val="1F3864"/>
          <w:sz w:val="22"/>
          <w:szCs w:val="22"/>
        </w:rPr>
        <w:t xml:space="preserve">4. Matriz de decisión ponderada</w:t>
      </w:r>
    </w:p>
    <w:p>
      <w:pPr>
        <w:spacing w:after="100" w:before="0" w:line="276"/>
        <w:jc w:val="both"/>
      </w:pPr>
      <w:r>
        <w:rPr>
          <w:rFonts w:ascii="Arial" w:cs="Arial" w:eastAsia="Arial" w:hAnsi="Arial"/>
          <w:sz w:val="20"/>
          <w:szCs w:val="20"/>
        </w:rPr>
        <w:t xml:space="preserve">La matriz es el análisis de decisión multicriterio de la guía PMBOK (Project Management Institute, 2017) y compara las cuatro mejores opciones. Las aceleradoras quedan por fuera porque hoy no cumplimos ningún requisito. Los pesos salen de la ficha: como el monto es pequeño y casi cualquier fuente lo cubre, pesa 10 %; como somos estudiantes sin ingresos y la tasa le quita valor al proyecto (sección 3), el costo sube a 25 %. Puntajes de 1 a 5, donde 5 es lo mejor para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900"/>
        <w:gridCol w:w="1500"/>
        <w:gridCol w:w="1500"/>
        <w:gridCol w:w="1500"/>
        <w:gridCol w:w="1500"/>
      </w:tblGrid>
      <w:tr>
        <w:trPr>
          <w:cantSplit/>
          <w:tblHeader/>
        </w:trPr>
        <w:tc>
          <w:tcPr>
            <w:tcW w:type="dxa" w:w="246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left"/>
            </w:pPr>
            <w:r>
              <w:rPr>
                <w:rFonts w:ascii="Arial" w:cs="Arial" w:eastAsia="Arial" w:hAnsi="Arial"/>
                <w:b/>
                <w:bCs/>
                <w:color w:val="FFFFFF"/>
                <w:sz w:val="17"/>
                <w:szCs w:val="17"/>
              </w:rPr>
              <w:t xml:space="preserve">Criterio</w:t>
            </w:r>
          </w:p>
        </w:tc>
        <w:tc>
          <w:tcPr>
            <w:tcW w:type="dxa" w:w="9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Peso</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A · Propios + Cantera UdeM</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B · Comfama Germina</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C · Vaki (recompensa)</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tcPr>
          <w:p>
            <w:pPr>
              <w:spacing w:line="240"/>
              <w:jc w:val="center"/>
            </w:pPr>
            <w:r>
              <w:rPr>
                <w:rFonts w:ascii="Arial" w:cs="Arial" w:eastAsia="Arial" w:hAnsi="Arial"/>
                <w:b/>
                <w:bCs/>
                <w:color w:val="FFFFFF"/>
                <w:sz w:val="17"/>
                <w:szCs w:val="17"/>
              </w:rPr>
              <w:t xml:space="preserve">D · Fondo Emprender 2027</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Elegibilidad hoy</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25 %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2</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Costo efectivo</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25 %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Monto frente a la necesidad</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10 %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Tiempo hasta el desembolso</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15 %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Control que conservamos</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10 %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5</w:t>
            </w:r>
          </w:p>
        </w:tc>
      </w:tr>
      <w:tr>
        <w:trPr>
          <w:cantSplit/>
          <w:tblHeader w:val="off"/>
        </w:trPr>
        <w:tc>
          <w:tcPr>
            <w:tcW w:type="dxa" w:w="246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left"/>
            </w:pPr>
            <w:r>
              <w:rPr>
                <w:rFonts w:ascii="Arial" w:cs="Arial" w:eastAsia="Arial" w:hAnsi="Arial"/>
                <w:b/>
                <w:bCs/>
                <w:sz w:val="17"/>
                <w:szCs w:val="17"/>
              </w:rPr>
              <w:t xml:space="preserve">Valor no financiero (mentoría, red)</w:t>
            </w:r>
          </w:p>
        </w:tc>
        <w:tc>
          <w:tcPr>
            <w:tcW w:type="dxa" w:w="9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15 %</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1</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tcPr>
          <w:p>
            <w:pPr>
              <w:spacing w:line="240"/>
              <w:jc w:val="center"/>
            </w:pPr>
            <w:r>
              <w:rPr>
                <w:rFonts w:ascii="Arial" w:cs="Arial" w:eastAsia="Arial" w:hAnsi="Arial"/>
                <w:b w:val="false"/>
                <w:bCs w:val="false"/>
                <w:sz w:val="17"/>
                <w:szCs w:val="17"/>
              </w:rPr>
              <w:t xml:space="preserve">4</w:t>
            </w:r>
          </w:p>
        </w:tc>
      </w:tr>
      <w:tr>
        <w:trPr>
          <w:cantSplit/>
          <w:tblHeader w:val="off"/>
        </w:trPr>
        <w:tc>
          <w:tcPr>
            <w:tcW w:type="dxa" w:w="246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left"/>
            </w:pPr>
            <w:r>
              <w:rPr>
                <w:rFonts w:ascii="Arial" w:cs="Arial" w:eastAsia="Arial" w:hAnsi="Arial"/>
                <w:b/>
                <w:bCs/>
                <w:sz w:val="17"/>
                <w:szCs w:val="17"/>
              </w:rPr>
              <w:t xml:space="preserve">Puntaje ponderado</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center"/>
            </w:pPr>
            <w:r>
              <w:rPr>
                <w:rFonts w:ascii="Arial" w:cs="Arial" w:eastAsia="Arial" w:hAnsi="Arial"/>
                <w:b/>
                <w:bCs/>
                <w:sz w:val="17"/>
                <w:szCs w:val="17"/>
              </w:rPr>
              <w:t xml:space="preserve">100 %</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center"/>
            </w:pPr>
            <w:r>
              <w:rPr>
                <w:rFonts w:ascii="Arial" w:cs="Arial" w:eastAsia="Arial" w:hAnsi="Arial"/>
                <w:b/>
                <w:bCs/>
                <w:sz w:val="17"/>
                <w:szCs w:val="17"/>
              </w:rPr>
              <w:t xml:space="preserve">4,25</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center"/>
            </w:pPr>
            <w:r>
              <w:rPr>
                <w:rFonts w:ascii="Arial" w:cs="Arial" w:eastAsia="Arial" w:hAnsi="Arial"/>
                <w:b/>
                <w:bCs/>
                <w:sz w:val="17"/>
                <w:szCs w:val="17"/>
              </w:rPr>
              <w:t xml:space="preserve">3,00</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center"/>
            </w:pPr>
            <w:r>
              <w:rPr>
                <w:rFonts w:ascii="Arial" w:cs="Arial" w:eastAsia="Arial" w:hAnsi="Arial"/>
                <w:b/>
                <w:bCs/>
                <w:sz w:val="17"/>
                <w:szCs w:val="17"/>
              </w:rPr>
              <w:t xml:space="preserve">3,70</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tcPr>
          <w:p>
            <w:pPr>
              <w:spacing w:line="240"/>
              <w:jc w:val="center"/>
            </w:pPr>
            <w:r>
              <w:rPr>
                <w:rFonts w:ascii="Arial" w:cs="Arial" w:eastAsia="Arial" w:hAnsi="Arial"/>
                <w:b/>
                <w:bCs/>
                <w:sz w:val="17"/>
                <w:szCs w:val="17"/>
              </w:rPr>
              <w:t xml:space="preserve">3,50</w:t>
            </w:r>
          </w:p>
        </w:tc>
      </w:tr>
    </w:tbl>
    <w:p>
      <w:pPr>
        <w:spacing w:after="120" w:before="40" w:line="276"/>
        <w:jc w:val="left"/>
      </w:pPr>
      <w:r>
        <w:rPr>
          <w:rFonts w:ascii="Arial" w:cs="Arial" w:eastAsia="Arial" w:hAnsi="Arial"/>
          <w:i/>
          <w:iCs/>
          <w:sz w:val="16"/>
          <w:szCs w:val="16"/>
        </w:rPr>
        <w:t xml:space="preserve">Puntaje = Σ (peso × puntaje).</w:t>
      </w:r>
    </w:p>
    <w:p>
      <w:pPr>
        <w:spacing w:after="100" w:before="0" w:line="276"/>
        <w:jc w:val="both"/>
      </w:pPr>
      <w:r>
        <w:rPr>
          <w:rFonts w:ascii="Arial" w:cs="Arial" w:eastAsia="Arial" w:hAnsi="Arial"/>
          <w:sz w:val="20"/>
          <w:szCs w:val="20"/>
        </w:rPr>
        <w:t xml:space="preserve">De dónde salen los puntajes:</w:t>
      </w:r>
    </w:p>
    <w:p>
      <w:pPr>
        <w:pStyle w:val="ListParagraph"/>
        <w:numPr>
          <w:ilvl w:val="0"/>
          <w:numId w:val="2"/>
        </w:numPr>
        <w:spacing w:after="60" w:before="0" w:line="276"/>
        <w:jc w:val="both"/>
      </w:pPr>
      <w:r>
        <w:rPr>
          <w:rFonts w:ascii="Arial" w:cs="Arial" w:eastAsia="Arial" w:hAnsi="Arial"/>
          <w:b/>
          <w:bCs/>
          <w:sz w:val="20"/>
          <w:szCs w:val="20"/>
        </w:rPr>
        <w:t xml:space="preserve">A. </w:t>
      </w:r>
      <w:r>
        <w:rPr>
          <w:rFonts w:ascii="Arial" w:cs="Arial" w:eastAsia="Arial" w:hAnsi="Arial"/>
          <w:sz w:val="20"/>
          <w:szCs w:val="20"/>
        </w:rPr>
        <w:t xml:space="preserve">Las horas ya están disponibles y su costo es el del CDT (≈ COP 0,60 M al año). La Cantera es gratuita y da mentoría, pero no tiene cohorte confirmada; por eso tiene 4 en elegibilidad y no 5.</w:t>
      </w:r>
    </w:p>
    <w:p>
      <w:pPr>
        <w:pStyle w:val="ListParagraph"/>
        <w:numPr>
          <w:ilvl w:val="0"/>
          <w:numId w:val="2"/>
        </w:numPr>
        <w:spacing w:after="60" w:before="0" w:line="276"/>
        <w:jc w:val="both"/>
      </w:pPr>
      <w:r>
        <w:rPr>
          <w:rFonts w:ascii="Arial" w:cs="Arial" w:eastAsia="Arial" w:hAnsi="Arial"/>
          <w:b/>
          <w:bCs/>
          <w:sz w:val="20"/>
          <w:szCs w:val="20"/>
        </w:rPr>
        <w:t xml:space="preserve">B. </w:t>
      </w:r>
      <w:r>
        <w:rPr>
          <w:rFonts w:ascii="Arial" w:cs="Arial" w:eastAsia="Arial" w:hAnsi="Arial"/>
          <w:sz w:val="20"/>
          <w:szCs w:val="20"/>
        </w:rPr>
        <w:t xml:space="preserve">Cubre el monto (hasta COP 7 M) y es permanente. Cuesta 32,9 % E.A. y pide un negocio con capacidad de pago, que no tenemos.</w:t>
      </w:r>
    </w:p>
    <w:p>
      <w:pPr>
        <w:pStyle w:val="ListParagraph"/>
        <w:numPr>
          <w:ilvl w:val="0"/>
          <w:numId w:val="2"/>
        </w:numPr>
        <w:spacing w:after="60" w:before="0" w:line="276"/>
        <w:jc w:val="both"/>
      </w:pPr>
      <w:r>
        <w:rPr>
          <w:rFonts w:ascii="Arial" w:cs="Arial" w:eastAsia="Arial" w:hAnsi="Arial"/>
          <w:b/>
          <w:bCs/>
          <w:sz w:val="20"/>
          <w:szCs w:val="20"/>
        </w:rPr>
        <w:t xml:space="preserve">C. </w:t>
      </w:r>
      <w:r>
        <w:rPr>
          <w:rFonts w:ascii="Arial" w:cs="Arial" w:eastAsia="Arial" w:hAnsi="Arial"/>
          <w:sz w:val="20"/>
          <w:szCs w:val="20"/>
        </w:rPr>
        <w:t xml:space="preserve">Podemos abrir la campaña hoy. Las comisiones rondan el 10 % y el monto depende de que la campaña funcione: en Kickstarter solo el 24,9 % de los proyectos de tecnología llega a su meta (Kickstarter, 2026).</w:t>
      </w:r>
    </w:p>
    <w:p>
      <w:pPr>
        <w:pStyle w:val="ListParagraph"/>
        <w:numPr>
          <w:ilvl w:val="0"/>
          <w:numId w:val="2"/>
        </w:numPr>
        <w:spacing w:after="60" w:before="0" w:line="276"/>
        <w:jc w:val="both"/>
      </w:pPr>
      <w:r>
        <w:rPr>
          <w:rFonts w:ascii="Arial" w:cs="Arial" w:eastAsia="Arial" w:hAnsi="Arial"/>
          <w:b/>
          <w:bCs/>
          <w:sz w:val="20"/>
          <w:szCs w:val="20"/>
        </w:rPr>
        <w:t xml:space="preserve">D. </w:t>
      </w:r>
      <w:r>
        <w:rPr>
          <w:rFonts w:ascii="Arial" w:cs="Arial" w:eastAsia="Arial" w:hAnsi="Arial"/>
          <w:sz w:val="20"/>
          <w:szCs w:val="20"/>
        </w:rPr>
        <w:t xml:space="preserve">Es la más barata y la de mayor monto, pero hoy está cerrada y no tiene fecha. Es un escenario, no una oferta vigente.</w:t>
      </w:r>
    </w:p>
    <w:p>
      <w:pPr>
        <w:spacing w:after="100" w:before="0" w:line="276"/>
        <w:jc w:val="both"/>
      </w:pPr>
      <w:r>
        <w:rPr>
          <w:rFonts w:ascii="Arial" w:cs="Arial" w:eastAsia="Arial" w:hAnsi="Arial"/>
          <w:b/>
          <w:bCs/>
          <w:sz w:val="20"/>
          <w:szCs w:val="20"/>
        </w:rPr>
        <w:t xml:space="preserve">Prueba de robustez. </w:t>
      </w:r>
      <w:r>
        <w:rPr>
          <w:rFonts w:ascii="Arial" w:cs="Arial" w:eastAsia="Arial" w:hAnsi="Arial"/>
          <w:sz w:val="20"/>
          <w:szCs w:val="20"/>
        </w:rPr>
        <w:t xml:space="preserve">Prueba 1: el costo sube a 35 % y el tiempo baja a 5 %. Así A queda con 4,15, D con 3,90, C con 3,70 y B con 2,80. Prueba 2: la elegibilidad baja a 15 % y el monto sube a 20 %. A queda con 4,25, D con 3,80, C con 3,50 y B con 3,20. A gana en los dos casos. La ventaja más corta es de 0,25 frente a D, en la prueba 1. Eso quiere decir que la decisión depende sobre todo del peso del costo: si el Fondo Emprender abre, pasa a competir de verdad.</w:t>
      </w:r>
    </w:p>
    <w:p>
      <w:pPr>
        <w:pBdr>
          <w:bottom w:val="single" w:color="1F3864" w:sz="4" w:space="1"/>
        </w:pBdr>
        <w:spacing w:after="80" w:before="160"/>
      </w:pPr>
      <w:r>
        <w:rPr>
          <w:rFonts w:ascii="Arial" w:cs="Arial" w:eastAsia="Arial" w:hAnsi="Arial"/>
          <w:b/>
          <w:bCs/>
          <w:color w:val="1F3864"/>
          <w:sz w:val="22"/>
          <w:szCs w:val="22"/>
        </w:rPr>
        <w:t xml:space="preserve">5. Recomendación</w:t>
      </w:r>
    </w:p>
    <w:p>
      <w:pPr>
        <w:spacing w:after="100" w:before="0" w:line="276"/>
        <w:jc w:val="both"/>
      </w:pPr>
      <w:r>
        <w:rPr>
          <w:rFonts w:ascii="Arial" w:cs="Arial" w:eastAsia="Arial" w:hAnsi="Arial"/>
          <w:b/>
          <w:bCs/>
          <w:sz w:val="20"/>
          <w:szCs w:val="20"/>
        </w:rPr>
        <w:t xml:space="preserve">Recomendamos </w:t>
      </w:r>
      <w:r>
        <w:rPr>
          <w:rFonts w:ascii="Arial" w:cs="Arial" w:eastAsia="Arial" w:hAnsi="Arial"/>
          <w:sz w:val="20"/>
          <w:szCs w:val="20"/>
        </w:rPr>
        <w:t xml:space="preserve">recursos propios (las horas del equipo y la plataforma gratuita de Google) junto con la Cantera de Emprendedores de la UdeM como fuente principal. Sacó el puntaje más alto (4,25) y es la única opción que podemos usar hoy sin pagar intereses ni ceder participación. Su costo es el del CDT a 360 días, 12,41 % E.A. (Banco de la República, dato del 23-oct-2026), y es la opción con la que el VPN del proyecto queda más alto (≈ +COP 3,55 M).</w:t>
      </w:r>
    </w:p>
    <w:p>
      <w:pPr>
        <w:spacing w:after="100" w:before="0" w:line="276"/>
        <w:jc w:val="both"/>
      </w:pPr>
      <w:r>
        <w:rPr>
          <w:rFonts w:ascii="Arial" w:cs="Arial" w:eastAsia="Arial" w:hAnsi="Arial"/>
          <w:b/>
          <w:bCs/>
          <w:sz w:val="20"/>
          <w:szCs w:val="20"/>
        </w:rPr>
        <w:t xml:space="preserve">Plan B: </w:t>
      </w:r>
      <w:r>
        <w:rPr>
          <w:rFonts w:ascii="Arial" w:cs="Arial" w:eastAsia="Arial" w:hAnsi="Arial"/>
          <w:sz w:val="20"/>
          <w:szCs w:val="20"/>
        </w:rPr>
        <w:t xml:space="preserve">si la Cantera no abre cohorte en 2027, haríamos una campaña de recompensa en Vaki. Exige una meta de unos COP 5,33 millones, mover la campaña entre panaderías de punto caliente y entregar las recompensas. Como incubadora alterna está Generación Emprende, de la Cámara de Comercio, que es permanente.</w:t>
      </w:r>
    </w:p>
    <w:p>
      <w:pPr>
        <w:spacing w:after="100" w:before="0" w:line="276"/>
        <w:jc w:val="both"/>
      </w:pPr>
      <w:r>
        <w:rPr>
          <w:rFonts w:ascii="Arial" w:cs="Arial" w:eastAsia="Arial" w:hAnsi="Arial"/>
          <w:b/>
          <w:bCs/>
          <w:sz w:val="20"/>
          <w:szCs w:val="20"/>
        </w:rPr>
        <w:t xml:space="preserve">Secuencia: </w:t>
      </w:r>
      <w:r>
        <w:rPr>
          <w:rFonts w:ascii="Arial" w:cs="Arial" w:eastAsia="Arial" w:hAnsi="Arial"/>
          <w:sz w:val="20"/>
          <w:szCs w:val="20"/>
        </w:rPr>
        <w:t xml:space="preserve">hoy, terminar la versión funcional con las horas del equipo → en 6 meses (abril de 2027), estar en la Cantera y haber presentado el plan de negocio al Fondo Emprender, si abre en fechas parecidas a las de 2026 (marzo y abril) → en 12 meses (octubre de 2027), usar lo que se haya conseguido para llevar la aplicación a más panaderías.</w:t>
      </w:r>
    </w:p>
    <w:p>
      <w:pPr>
        <w:spacing w:after="100" w:before="0" w:line="276"/>
        <w:jc w:val="both"/>
      </w:pPr>
      <w:r>
        <w:rPr>
          <w:rFonts w:ascii="Arial" w:cs="Arial" w:eastAsia="Arial" w:hAnsi="Arial"/>
          <w:b/>
          <w:bCs/>
          <w:sz w:val="20"/>
          <w:szCs w:val="20"/>
        </w:rPr>
        <w:t xml:space="preserve">Costo: </w:t>
      </w:r>
      <w:r>
        <w:rPr>
          <w:rFonts w:ascii="Arial" w:cs="Arial" w:eastAsia="Arial" w:hAnsi="Arial"/>
          <w:sz w:val="20"/>
          <w:szCs w:val="20"/>
        </w:rPr>
        <w:t xml:space="preserve">unos COP 0,6 millones al año de costo de oportunidad (4,8 M × 12,41 %). No hay intereses ni comisiones y cedemos 0 % de la empresa. Con el plan B, las comisiones de Vaki rondarían los COP 0,53 millones.</w:t>
      </w:r>
    </w:p>
    <w:p>
      <w:pPr>
        <w:spacing w:after="100" w:before="0" w:line="276"/>
        <w:jc w:val="both"/>
      </w:pPr>
      <w:r>
        <w:rPr>
          <w:rFonts w:ascii="Arial" w:cs="Arial" w:eastAsia="Arial" w:hAnsi="Arial"/>
          <w:b/>
          <w:bCs/>
          <w:sz w:val="20"/>
          <w:szCs w:val="20"/>
        </w:rPr>
        <w:t xml:space="preserve">Riesgo: </w:t>
      </w:r>
      <w:r>
        <w:rPr>
          <w:rFonts w:ascii="Arial" w:cs="Arial" w:eastAsia="Arial" w:hAnsi="Arial"/>
          <w:sz w:val="20"/>
          <w:szCs w:val="20"/>
        </w:rPr>
        <w:t xml:space="preserve">lo más grave sería que la Cantera no abra (la última cohorte publicada es la 2023-2) y que el equipo deje de aportar horas al terminar el semestre. Para mitigarlo, tenemos Generación Emprende como incubadora alterna, y la revisión de las fechas del Fondo Emprender y de Vaki entra al cronograma del proyecto.</w:t>
      </w:r>
    </w:p>
    <w:p>
      <w:pPr>
        <w:spacing w:after="100" w:before="0" w:line="276"/>
        <w:jc w:val="both"/>
      </w:pPr>
      <w:r>
        <w:rPr>
          <w:rFonts w:ascii="Arial" w:cs="Arial" w:eastAsia="Arial" w:hAnsi="Arial"/>
          <w:sz w:val="20"/>
          <w:szCs w:val="20"/>
        </w:rPr>
        <w:t xml:space="preserve">Empezar con fondos propios también coincide con el orden de preferencia de Myers y Majluf (1984): primero fondos internos, después deuda y al final capital. Además, un proyecto sin flujo de caja difícilmente accede hoy a un crédito.</w:t>
      </w:r>
    </w:p>
    <w:p>
      <w:pPr>
        <w:pBdr>
          <w:bottom w:val="single" w:color="1F3864" w:sz="4" w:space="1"/>
        </w:pBdr>
        <w:spacing w:after="80" w:before="160"/>
      </w:pPr>
      <w:r>
        <w:rPr>
          <w:rFonts w:ascii="Arial" w:cs="Arial" w:eastAsia="Arial" w:hAnsi="Arial"/>
          <w:b/>
          <w:bCs/>
          <w:color w:val="1F3864"/>
          <w:sz w:val="22"/>
          <w:szCs w:val="22"/>
        </w:rPr>
        <w:t xml:space="preserve">Referencias</w:t>
      </w:r>
    </w:p>
    <w:p>
      <w:pPr>
        <w:spacing w:after="60" w:line="240"/>
        <w:ind w:left="567" w:hanging="567"/>
      </w:pPr>
      <w:r>
        <w:rPr>
          <w:rFonts w:ascii="Arial" w:cs="Arial" w:eastAsia="Arial" w:hAnsi="Arial"/>
          <w:sz w:val="20"/>
          <w:szCs w:val="20"/>
        </w:rPr>
        <w:t xml:space="preserve">Álvarez Valencia, R. A. (2026). </w:t>
      </w:r>
      <w:r>
        <w:rPr>
          <w:rFonts w:ascii="Arial" w:cs="Arial" w:eastAsia="Arial" w:hAnsi="Arial"/>
          <w:i/>
          <w:iCs/>
          <w:sz w:val="20"/>
          <w:szCs w:val="20"/>
        </w:rPr>
        <w:t xml:space="preserve">Guía de taller: ¿quién financia su proyecto?</w:t>
      </w:r>
      <w:r>
        <w:rPr>
          <w:rFonts w:ascii="Arial" w:cs="Arial" w:eastAsia="Arial" w:hAnsi="Arial"/>
          <w:sz w:val="20"/>
          <w:szCs w:val="20"/>
        </w:rPr>
        <w:t xml:space="preserve"> [Material de clase, Gerencia de Proyectos, Clase 20]. Universidad de Medellín.</w:t>
      </w:r>
    </w:p>
    <w:p>
      <w:pPr>
        <w:spacing w:after="60" w:line="240"/>
        <w:ind w:left="567" w:hanging="567"/>
      </w:pPr>
      <w:r>
        <w:rPr>
          <w:rFonts w:ascii="Arial" w:cs="Arial" w:eastAsia="Arial" w:hAnsi="Arial"/>
          <w:sz w:val="20"/>
          <w:szCs w:val="20"/>
        </w:rPr>
        <w:t xml:space="preserve">Banco de la República. (s. f.). </w:t>
      </w:r>
      <w:r>
        <w:rPr>
          <w:rFonts w:ascii="Arial" w:cs="Arial" w:eastAsia="Arial" w:hAnsi="Arial"/>
          <w:i/>
          <w:iCs/>
          <w:sz w:val="20"/>
          <w:szCs w:val="20"/>
        </w:rPr>
        <w:t xml:space="preserve">Consulta exprés: CDTs a 90 (DTF), 180 y 360 días</w:t>
      </w:r>
      <w:r>
        <w:rPr>
          <w:rFonts w:ascii="Arial" w:cs="Arial" w:eastAsia="Arial" w:hAnsi="Arial"/>
          <w:sz w:val="20"/>
          <w:szCs w:val="20"/>
        </w:rPr>
        <w:t xml:space="preserve"> [Serie estadística]. Recuperado el 29 de octubre de 2026, de https://suameca.banrep.gov.co/estadisticas-economicas/informacionSerie/220003/tasas_interes_cdt_dtf</w:t>
      </w:r>
    </w:p>
    <w:p>
      <w:pPr>
        <w:spacing w:after="60" w:line="240"/>
        <w:ind w:left="567" w:hanging="567"/>
      </w:pPr>
      <w:r>
        <w:rPr>
          <w:rFonts w:ascii="Arial" w:cs="Arial" w:eastAsia="Arial" w:hAnsi="Arial"/>
          <w:sz w:val="20"/>
          <w:szCs w:val="20"/>
        </w:rPr>
        <w:t xml:space="preserve">Banco Distrital de Medellín. (s. f.). </w:t>
      </w:r>
      <w:r>
        <w:rPr>
          <w:rFonts w:ascii="Arial" w:cs="Arial" w:eastAsia="Arial" w:hAnsi="Arial"/>
          <w:i/>
          <w:iCs/>
          <w:sz w:val="20"/>
          <w:szCs w:val="20"/>
        </w:rPr>
        <w:t xml:space="preserve">Elige una línea de crédito</w:t>
      </w:r>
      <w:r>
        <w:rPr>
          <w:rFonts w:ascii="Arial" w:cs="Arial" w:eastAsia="Arial" w:hAnsi="Arial"/>
          <w:sz w:val="20"/>
          <w:szCs w:val="20"/>
        </w:rPr>
        <w:t xml:space="preserve">. Alcaldía de Medellín. Recuperado el 29 de octubre de 2026, de https://bancodistrital.app.medellin.gov.co/creditos</w:t>
      </w:r>
    </w:p>
    <w:p>
      <w:pPr>
        <w:spacing w:after="60" w:line="240"/>
        <w:ind w:left="567" w:hanging="567"/>
      </w:pPr>
      <w:r>
        <w:rPr>
          <w:rFonts w:ascii="Arial" w:cs="Arial" w:eastAsia="Arial" w:hAnsi="Arial"/>
          <w:sz w:val="20"/>
          <w:szCs w:val="20"/>
        </w:rPr>
        <w:t xml:space="preserve">Berger, A. N. y Udell, G. F. (1998). The economics of small business finance: The roles of private equity and debt markets in the financial growth cycle. </w:t>
      </w:r>
      <w:r>
        <w:rPr>
          <w:rFonts w:ascii="Arial" w:cs="Arial" w:eastAsia="Arial" w:hAnsi="Arial"/>
          <w:i/>
          <w:iCs/>
          <w:sz w:val="20"/>
          <w:szCs w:val="20"/>
        </w:rPr>
        <w:t xml:space="preserve">Journal of Banking &amp; Finance, 22</w:t>
      </w:r>
      <w:r>
        <w:rPr>
          <w:rFonts w:ascii="Arial" w:cs="Arial" w:eastAsia="Arial" w:hAnsi="Arial"/>
          <w:sz w:val="20"/>
          <w:szCs w:val="20"/>
        </w:rPr>
        <w:t xml:space="preserve">(6–8), 613–673. https://doi.org/10.1016/S0378-4266(98)00038-7</w:t>
      </w:r>
    </w:p>
    <w:p>
      <w:pPr>
        <w:spacing w:after="60" w:line="240"/>
        <w:ind w:left="567" w:hanging="567"/>
      </w:pPr>
      <w:r>
        <w:rPr>
          <w:rFonts w:ascii="Arial" w:cs="Arial" w:eastAsia="Arial" w:hAnsi="Arial"/>
          <w:sz w:val="20"/>
          <w:szCs w:val="20"/>
        </w:rPr>
        <w:t xml:space="preserve">Cámara de Comercio de Medellín para Antioquia. (s. f.). </w:t>
      </w:r>
      <w:r>
        <w:rPr>
          <w:rFonts w:ascii="Arial" w:cs="Arial" w:eastAsia="Arial" w:hAnsi="Arial"/>
          <w:i/>
          <w:iCs/>
          <w:sz w:val="20"/>
          <w:szCs w:val="20"/>
        </w:rPr>
        <w:t xml:space="preserve">Generación Emprende</w:t>
      </w:r>
      <w:r>
        <w:rPr>
          <w:rFonts w:ascii="Arial" w:cs="Arial" w:eastAsia="Arial" w:hAnsi="Arial"/>
          <w:sz w:val="20"/>
          <w:szCs w:val="20"/>
        </w:rPr>
        <w:t xml:space="preserve">. Recuperado el 29 de octubre de 2026, de https://www.camaramedellin.com.co/quiero-crear-mi-empresa-o-negocio/generacion-emprende</w:t>
      </w:r>
    </w:p>
    <w:p>
      <w:pPr>
        <w:spacing w:after="60" w:line="240"/>
        <w:ind w:left="567" w:hanging="567"/>
      </w:pPr>
      <w:r>
        <w:rPr>
          <w:rFonts w:ascii="Arial" w:cs="Arial" w:eastAsia="Arial" w:hAnsi="Arial"/>
          <w:sz w:val="20"/>
          <w:szCs w:val="20"/>
        </w:rPr>
        <w:t xml:space="preserve">Comfama. (s. f.). </w:t>
      </w:r>
      <w:r>
        <w:rPr>
          <w:rFonts w:ascii="Arial" w:cs="Arial" w:eastAsia="Arial" w:hAnsi="Arial"/>
          <w:i/>
          <w:iCs/>
          <w:sz w:val="20"/>
          <w:szCs w:val="20"/>
        </w:rPr>
        <w:t xml:space="preserve">Créditos empresas y negocios</w:t>
      </w:r>
      <w:r>
        <w:rPr>
          <w:rFonts w:ascii="Arial" w:cs="Arial" w:eastAsia="Arial" w:hAnsi="Arial"/>
          <w:sz w:val="20"/>
          <w:szCs w:val="20"/>
        </w:rPr>
        <w:t xml:space="preserve">. Recuperado el 29 de octubre de 2026, de https://www.comfama.com/finanzas/creditos-con-proposito/empresas-y-negocios/</w:t>
      </w:r>
    </w:p>
    <w:p>
      <w:pPr>
        <w:spacing w:after="60" w:line="240"/>
        <w:ind w:left="567" w:hanging="567"/>
      </w:pPr>
      <w:r>
        <w:rPr>
          <w:rFonts w:ascii="Arial" w:cs="Arial" w:eastAsia="Arial" w:hAnsi="Arial"/>
          <w:sz w:val="20"/>
          <w:szCs w:val="20"/>
        </w:rPr>
        <w:t xml:space="preserve">Decreto 159 de 2026. (2026, 19 de febrero). Por el cual se fija transitoriamente el salario mínimo mensual legal del año 2026. Presidencia de la República de Colombia. https://www.alcaldiabogota.gov.co/sisjur/normas/Norma1.jsp?i=192181&amp;dt=S</w:t>
      </w:r>
    </w:p>
    <w:p>
      <w:pPr>
        <w:spacing w:after="60" w:line="240"/>
        <w:ind w:left="567" w:hanging="567"/>
      </w:pPr>
      <w:r>
        <w:rPr>
          <w:rFonts w:ascii="Arial" w:cs="Arial" w:eastAsia="Arial" w:hAnsi="Arial"/>
          <w:sz w:val="20"/>
          <w:szCs w:val="20"/>
        </w:rPr>
        <w:t xml:space="preserve">Fondo Emprender. (s. f.). </w:t>
      </w:r>
      <w:r>
        <w:rPr>
          <w:rFonts w:ascii="Arial" w:cs="Arial" w:eastAsia="Arial" w:hAnsi="Arial"/>
          <w:i/>
          <w:iCs/>
          <w:sz w:val="20"/>
          <w:szCs w:val="20"/>
        </w:rPr>
        <w:t xml:space="preserve">Convocatorias</w:t>
      </w:r>
      <w:r>
        <w:rPr>
          <w:rFonts w:ascii="Arial" w:cs="Arial" w:eastAsia="Arial" w:hAnsi="Arial"/>
          <w:sz w:val="20"/>
          <w:szCs w:val="20"/>
        </w:rPr>
        <w:t xml:space="preserve">. Servicio Nacional de Aprendizaje. Recuperado el 29 de octubre de 2026, de https://www.fondoemprender.com/SitePages/FondoEmprenderConvocatoriasVigentes.aspx</w:t>
      </w:r>
    </w:p>
    <w:p>
      <w:pPr>
        <w:spacing w:after="60" w:line="240"/>
        <w:ind w:left="567" w:hanging="567"/>
      </w:pPr>
      <w:r>
        <w:rPr>
          <w:rFonts w:ascii="Arial" w:cs="Arial" w:eastAsia="Arial" w:hAnsi="Arial"/>
          <w:sz w:val="20"/>
          <w:szCs w:val="20"/>
        </w:rPr>
        <w:t xml:space="preserve">Hochberg, Y. V. (2016). Accelerating entrepreneurs and ecosystems: The seed accelerator model. </w:t>
      </w:r>
      <w:r>
        <w:rPr>
          <w:rFonts w:ascii="Arial" w:cs="Arial" w:eastAsia="Arial" w:hAnsi="Arial"/>
          <w:i/>
          <w:iCs/>
          <w:sz w:val="20"/>
          <w:szCs w:val="20"/>
        </w:rPr>
        <w:t xml:space="preserve">Innovation Policy and the Economy, 16</w:t>
      </w:r>
      <w:r>
        <w:rPr>
          <w:rFonts w:ascii="Arial" w:cs="Arial" w:eastAsia="Arial" w:hAnsi="Arial"/>
          <w:sz w:val="20"/>
          <w:szCs w:val="20"/>
        </w:rPr>
        <w:t xml:space="preserve">, 25–51. https://doi.org/10.1086/684985</w:t>
      </w:r>
    </w:p>
    <w:p>
      <w:pPr>
        <w:spacing w:after="60" w:line="240"/>
        <w:ind w:left="567" w:hanging="567"/>
      </w:pPr>
      <w:r>
        <w:rPr>
          <w:rFonts w:ascii="Arial" w:cs="Arial" w:eastAsia="Arial" w:hAnsi="Arial"/>
          <w:sz w:val="20"/>
          <w:szCs w:val="20"/>
        </w:rPr>
        <w:t xml:space="preserve">iNNpulsa Colombia. (s. f.). </w:t>
      </w:r>
      <w:r>
        <w:rPr>
          <w:rFonts w:ascii="Arial" w:cs="Arial" w:eastAsia="Arial" w:hAnsi="Arial"/>
          <w:i/>
          <w:iCs/>
          <w:sz w:val="20"/>
          <w:szCs w:val="20"/>
        </w:rPr>
        <w:t xml:space="preserve">Programa ALDEA+ 25</w:t>
      </w:r>
      <w:r>
        <w:rPr>
          <w:rFonts w:ascii="Arial" w:cs="Arial" w:eastAsia="Arial" w:hAnsi="Arial"/>
          <w:sz w:val="20"/>
          <w:szCs w:val="20"/>
        </w:rPr>
        <w:t xml:space="preserve">. Recuperado el 29 de octubre de 2026, de https://www.innpulsacolombia.com/programa-aldea-25/</w:t>
      </w:r>
    </w:p>
    <w:p>
      <w:pPr>
        <w:spacing w:after="60" w:line="240"/>
        <w:ind w:left="567" w:hanging="567"/>
      </w:pPr>
      <w:r>
        <w:rPr>
          <w:rFonts w:ascii="Arial" w:cs="Arial" w:eastAsia="Arial" w:hAnsi="Arial"/>
          <w:sz w:val="20"/>
          <w:szCs w:val="20"/>
        </w:rPr>
        <w:t xml:space="preserve">Kickstarter. (2026, 21 de enero). </w:t>
      </w:r>
      <w:r>
        <w:rPr>
          <w:rFonts w:ascii="Arial" w:cs="Arial" w:eastAsia="Arial" w:hAnsi="Arial"/>
          <w:i/>
          <w:iCs/>
          <w:sz w:val="20"/>
          <w:szCs w:val="20"/>
        </w:rPr>
        <w:t xml:space="preserve">Kickstarter stats</w:t>
      </w:r>
      <w:r>
        <w:rPr>
          <w:rFonts w:ascii="Arial" w:cs="Arial" w:eastAsia="Arial" w:hAnsi="Arial"/>
          <w:sz w:val="20"/>
          <w:szCs w:val="20"/>
        </w:rPr>
        <w:t xml:space="preserve"> [Página archivada]. Internet Archive. https://web.archive.org/web/20260121215252/https://www.kickstarter.com/help/stats</w:t>
      </w:r>
    </w:p>
    <w:p>
      <w:pPr>
        <w:spacing w:after="60" w:line="240"/>
        <w:ind w:left="567" w:hanging="567"/>
      </w:pPr>
      <w:r>
        <w:rPr>
          <w:rFonts w:ascii="Arial" w:cs="Arial" w:eastAsia="Arial" w:hAnsi="Arial"/>
          <w:sz w:val="20"/>
          <w:szCs w:val="20"/>
        </w:rPr>
        <w:t xml:space="preserve">Myers, S. C. y Majluf, N. S. (1984). Corporate financing and investment decisions when firms have information that investors do not have. </w:t>
      </w:r>
      <w:r>
        <w:rPr>
          <w:rFonts w:ascii="Arial" w:cs="Arial" w:eastAsia="Arial" w:hAnsi="Arial"/>
          <w:i/>
          <w:iCs/>
          <w:sz w:val="20"/>
          <w:szCs w:val="20"/>
        </w:rPr>
        <w:t xml:space="preserve">Journal of Financial Economics, 13</w:t>
      </w:r>
      <w:r>
        <w:rPr>
          <w:rFonts w:ascii="Arial" w:cs="Arial" w:eastAsia="Arial" w:hAnsi="Arial"/>
          <w:sz w:val="20"/>
          <w:szCs w:val="20"/>
        </w:rPr>
        <w:t xml:space="preserve">(2), 187–221. https://doi.org/10.1016/0304-405X(84)90023-0</w:t>
      </w:r>
    </w:p>
    <w:p>
      <w:pPr>
        <w:spacing w:after="60" w:line="240"/>
        <w:ind w:left="567" w:hanging="567"/>
      </w:pPr>
      <w:r>
        <w:rPr>
          <w:rFonts w:ascii="Arial" w:cs="Arial" w:eastAsia="Arial" w:hAnsi="Arial"/>
          <w:sz w:val="20"/>
          <w:szCs w:val="20"/>
        </w:rPr>
        <w:t xml:space="preserve">Project Management Institute. (2017). </w:t>
      </w:r>
      <w:r>
        <w:rPr>
          <w:rFonts w:ascii="Arial" w:cs="Arial" w:eastAsia="Arial" w:hAnsi="Arial"/>
          <w:i/>
          <w:iCs/>
          <w:sz w:val="20"/>
          <w:szCs w:val="20"/>
        </w:rPr>
        <w:t xml:space="preserve">A guide to the project management body of knowledge (PMBOK® guide)</w:t>
      </w:r>
      <w:r>
        <w:rPr>
          <w:rFonts w:ascii="Arial" w:cs="Arial" w:eastAsia="Arial" w:hAnsi="Arial"/>
          <w:sz w:val="20"/>
          <w:szCs w:val="20"/>
        </w:rPr>
        <w:t xml:space="preserve"> (6.ª ed.). PMI.</w:t>
      </w:r>
    </w:p>
    <w:p>
      <w:pPr>
        <w:spacing w:after="60" w:line="240"/>
        <w:ind w:left="567" w:hanging="567"/>
      </w:pPr>
      <w:r>
        <w:rPr>
          <w:rFonts w:ascii="Arial" w:cs="Arial" w:eastAsia="Arial" w:hAnsi="Arial"/>
          <w:sz w:val="20"/>
          <w:szCs w:val="20"/>
        </w:rPr>
        <w:t xml:space="preserve">Ruta N. (s. f.). </w:t>
      </w:r>
      <w:r>
        <w:rPr>
          <w:rFonts w:ascii="Arial" w:cs="Arial" w:eastAsia="Arial" w:hAnsi="Arial"/>
          <w:i/>
          <w:iCs/>
          <w:sz w:val="20"/>
          <w:szCs w:val="20"/>
        </w:rPr>
        <w:t xml:space="preserve">Medellín Next 2026</w:t>
      </w:r>
      <w:r>
        <w:rPr>
          <w:rFonts w:ascii="Arial" w:cs="Arial" w:eastAsia="Arial" w:hAnsi="Arial"/>
          <w:sz w:val="20"/>
          <w:szCs w:val="20"/>
        </w:rPr>
        <w:t xml:space="preserve">. Recuperado el 29 de octubre de 2026, de https://www.rutanmedellin.org/medellin-next</w:t>
      </w:r>
    </w:p>
    <w:p>
      <w:pPr>
        <w:spacing w:after="60" w:line="240"/>
        <w:ind w:left="567" w:hanging="567"/>
      </w:pPr>
      <w:r>
        <w:rPr>
          <w:rFonts w:ascii="Arial" w:cs="Arial" w:eastAsia="Arial" w:hAnsi="Arial"/>
          <w:sz w:val="20"/>
          <w:szCs w:val="20"/>
        </w:rPr>
        <w:t xml:space="preserve">Servicio Nacional de Aprendizaje. (2026, febrero). </w:t>
      </w:r>
      <w:r>
        <w:rPr>
          <w:rFonts w:ascii="Arial" w:cs="Arial" w:eastAsia="Arial" w:hAnsi="Arial"/>
          <w:i/>
          <w:iCs/>
          <w:sz w:val="20"/>
          <w:szCs w:val="20"/>
        </w:rPr>
        <w:t xml:space="preserve">Convocatoria nacional No. 153 «Multisectorial»</w:t>
      </w:r>
      <w:r>
        <w:rPr>
          <w:rFonts w:ascii="Arial" w:cs="Arial" w:eastAsia="Arial" w:hAnsi="Arial"/>
          <w:sz w:val="20"/>
          <w:szCs w:val="20"/>
        </w:rPr>
        <w:t xml:space="preserve"> [Términos de referencia]. https://historico.sena.edu.co/es-co/trabajo/FONDOEMPRENDER1/2026/MARZO/Convocatoria%20No%20153_Multisectorial.pdf</w:t>
      </w:r>
    </w:p>
    <w:p>
      <w:pPr>
        <w:spacing w:after="60" w:line="240"/>
        <w:ind w:left="567" w:hanging="567"/>
      </w:pPr>
      <w:r>
        <w:rPr>
          <w:rFonts w:ascii="Arial" w:cs="Arial" w:eastAsia="Arial" w:hAnsi="Arial"/>
          <w:sz w:val="20"/>
          <w:szCs w:val="20"/>
        </w:rPr>
        <w:t xml:space="preserve">Superintendencia Financiera de Colombia. (2026, 30 de septiembre). </w:t>
      </w:r>
      <w:r>
        <w:rPr>
          <w:rFonts w:ascii="Arial" w:cs="Arial" w:eastAsia="Arial" w:hAnsi="Arial"/>
          <w:i/>
          <w:iCs/>
          <w:sz w:val="20"/>
          <w:szCs w:val="20"/>
        </w:rPr>
        <w:t xml:space="preserve">Superfinanciera certifica el interés bancario corriente</w:t>
      </w:r>
      <w:r>
        <w:rPr>
          <w:rFonts w:ascii="Arial" w:cs="Arial" w:eastAsia="Arial" w:hAnsi="Arial"/>
          <w:sz w:val="20"/>
          <w:szCs w:val="20"/>
        </w:rPr>
        <w:t xml:space="preserve">. https://www.superfinanciera.gov.co/publicaciones/10116267/superfinanciera-certifica-el-interes-bancario-corriente/</w:t>
      </w:r>
    </w:p>
    <w:p>
      <w:pPr>
        <w:spacing w:after="60" w:line="240"/>
        <w:ind w:left="567" w:hanging="567"/>
      </w:pPr>
      <w:r>
        <w:rPr>
          <w:rFonts w:ascii="Arial" w:cs="Arial" w:eastAsia="Arial" w:hAnsi="Arial"/>
          <w:sz w:val="20"/>
          <w:szCs w:val="20"/>
        </w:rPr>
        <w:t xml:space="preserve">Universidad de Medellín. (s. f.). </w:t>
      </w:r>
      <w:r>
        <w:rPr>
          <w:rFonts w:ascii="Arial" w:cs="Arial" w:eastAsia="Arial" w:hAnsi="Arial"/>
          <w:i/>
          <w:iCs/>
          <w:sz w:val="20"/>
          <w:szCs w:val="20"/>
        </w:rPr>
        <w:t xml:space="preserve">Cantera de Emprendedores</w:t>
      </w:r>
      <w:r>
        <w:rPr>
          <w:rFonts w:ascii="Arial" w:cs="Arial" w:eastAsia="Arial" w:hAnsi="Arial"/>
          <w:sz w:val="20"/>
          <w:szCs w:val="20"/>
        </w:rPr>
        <w:t xml:space="preserve">. Recuperado el 29 de octubre de 2026, de https://desarrolloempresarial.udemedellin.edu.co/cantera-de-emprendedores/</w:t>
      </w:r>
    </w:p>
    <w:p>
      <w:pPr>
        <w:spacing w:after="60" w:line="240"/>
        <w:ind w:left="567" w:hanging="567"/>
      </w:pPr>
      <w:r>
        <w:rPr>
          <w:rFonts w:ascii="Arial" w:cs="Arial" w:eastAsia="Arial" w:hAnsi="Arial"/>
          <w:sz w:val="20"/>
          <w:szCs w:val="20"/>
        </w:rPr>
        <w:t xml:space="preserve">Vaki. (s. f.). </w:t>
      </w:r>
      <w:r>
        <w:rPr>
          <w:rFonts w:ascii="Arial" w:cs="Arial" w:eastAsia="Arial" w:hAnsi="Arial"/>
          <w:i/>
          <w:iCs/>
          <w:sz w:val="20"/>
          <w:szCs w:val="20"/>
        </w:rPr>
        <w:t xml:space="preserve">Fees</w:t>
      </w:r>
      <w:r>
        <w:rPr>
          <w:rFonts w:ascii="Arial" w:cs="Arial" w:eastAsia="Arial" w:hAnsi="Arial"/>
          <w:sz w:val="20"/>
          <w:szCs w:val="20"/>
        </w:rPr>
        <w:t xml:space="preserve"> [Documentación para desarrolladores]. Recuperado el 29 de octubre de 2026, de https://developers.vaki.co/reference/fees/</w:t>
      </w:r>
    </w:p>
    <w:p>
      <w:pPr>
        <w:spacing w:after="60" w:line="240"/>
        <w:ind w:left="567" w:hanging="567"/>
      </w:pPr>
      <w:r>
        <w:rPr>
          <w:rFonts w:ascii="Arial" w:cs="Arial" w:eastAsia="Arial" w:hAnsi="Arial"/>
          <w:sz w:val="20"/>
          <w:szCs w:val="20"/>
        </w:rPr>
        <w:t xml:space="preserve">Vaki. (2026, 17 de febrero). </w:t>
      </w:r>
      <w:r>
        <w:rPr>
          <w:rFonts w:ascii="Arial" w:cs="Arial" w:eastAsia="Arial" w:hAnsi="Arial"/>
          <w:i/>
          <w:iCs/>
          <w:sz w:val="20"/>
          <w:szCs w:val="20"/>
        </w:rPr>
        <w:t xml:space="preserve">Costos de Vaki: planifica y optimiza tu recaudo</w:t>
      </w:r>
      <w:r>
        <w:rPr>
          <w:rFonts w:ascii="Arial" w:cs="Arial" w:eastAsia="Arial" w:hAnsi="Arial"/>
          <w:sz w:val="20"/>
          <w:szCs w:val="20"/>
        </w:rPr>
        <w:t xml:space="preserve">. https://help.vaki.co/es/articles/9181108-costos-de-vaki-planifica-y-optimiza-tu-recaudo</w:t>
      </w:r>
    </w:p>
    <w:sectPr>
      <w:pgSz w:w="12240" w:h="15840"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2026-10-30T01:54:24.725Z</dcterms:created>
  <dcterms:modified xsi:type="dcterms:W3CDTF">2026-10-30T01:54:24.734Z</dcterms:modified>
</cp:coreProperties>
</file>

<file path=docProps/custom.xml><?xml version="1.0" encoding="utf-8"?>
<Properties xmlns="http://schemas.openxmlformats.org/officeDocument/2006/custom-properties" xmlns:vt="http://schemas.openxmlformats.org/officeDocument/2006/docPropsVTypes"/>
</file>