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shd w:val="clear" w:color="auto" w:fill="C70024"/>
            <w:tcW w:w="180" w:type="dxa"/>
          </w:tcPr>
          <w:p>
            <w:r>
              <w:t xml:space="preserve"> </w:t>
            </w:r>
          </w:p>
        </w:tc>
        <w:tc>
          <w:tcPr>
            <w:tcW w:type="dxa" w:w="4680"/>
            <w:shd w:val="clear" w:color="auto" w:fill="1A100D"/>
            <w:tcW w:w="9000" w:type="dxa"/>
          </w:tcPr>
          <w:p>
            <w:pPr>
              <w:spacing w:before="280" w:after="80"/>
              <w:ind w:left="216"/>
            </w:pPr>
            <w:r>
              <w:rPr>
                <w:rFonts w:ascii="Arial" w:hAnsi="Arial"/>
                <w:b/>
                <w:color w:val="FFB5BE"/>
                <w:sz w:val="16"/>
                <w:spacing w:val="60"/>
              </w:rPr>
              <w:t>PRODUCT REQUIREMENT  ·  KFC ATLAS KNOWLEDGE CENTER</w:t>
            </w:r>
          </w:p>
          <w:p>
            <w:pPr>
              <w:spacing w:after="160"/>
              <w:ind w:left="216"/>
            </w:pPr>
            <w:r>
              <w:rPr>
                <w:rFonts w:ascii="Arial" w:hAnsi="Arial"/>
                <w:b/>
                <w:color w:val="FFFFFF"/>
                <w:sz w:val="38"/>
              </w:rPr>
              <w:t>Replace WYSIWYG Editor with Tiptap</w:t>
              <w:br/>
              <w:t>in the Contribution Studio</w:t>
            </w:r>
          </w:p>
          <w:p>
            <w:pPr>
              <w:spacing w:after="280"/>
              <w:ind w:left="216"/>
            </w:pPr>
            <w:r>
              <w:rPr>
                <w:rFonts w:ascii="Arial" w:hAnsi="Arial"/>
                <w:b w:val="0"/>
                <w:color w:val="FFB5BE"/>
                <w:sz w:val="18"/>
              </w:rPr>
              <w:t>March 2026   ·   KFC Atlas Portal   ·   1 engineer, ~1 day</w:t>
            </w:r>
          </w:p>
        </w:tc>
      </w:tr>
    </w:tbl>
    <w:p>
      <w:pPr>
        <w:spacing w:after="200" w:before="0"/>
      </w:pPr>
    </w:p>
    <w:p>
      <w:pPr>
        <w:pBdr>
          <w:left w:val="single" w:sz="18" w:space="10" w:color="C70024"/>
        </w:pBdr>
        <w:spacing w:before="360" w:after="120"/>
      </w:pPr>
      <w:r>
        <w:rPr>
          <w:rFonts w:ascii="Arial" w:hAnsi="Arial"/>
          <w:b/>
          <w:color w:val="C70024"/>
          <w:sz w:val="22"/>
          <w:spacing w:val="40"/>
        </w:rPr>
        <w:t>1.  EXECUTIVE SUMMARY</w:t>
      </w:r>
    </w:p>
    <w:p>
      <w:pPr>
        <w:spacing w:before="0" w:after="100"/>
      </w:pPr>
      <w:r>
        <w:rPr>
          <w:rFonts w:ascii="Arial" w:hAnsi="Arial"/>
          <w:b w:val="0"/>
          <w:i w:val="0"/>
          <w:color w:val="1A100D"/>
          <w:sz w:val="21"/>
        </w:rPr>
        <w:t>The Contribution Studio's rich-text editor is built on document.execCommand — a browser API that MDN marks obsolete and that Chrome has begun removing from standards. The current editor gives authors no visual feedback when formatting is active, forces link and image URL entry through an unstyled browser prompt dialog, and provides no image preview before insertion. Replacing the editor surface with Tiptap, a production-grade React-native rich-text library, eliminates the deprecated dependency and delivers a polished inline toolbar with active states, URL popovers, and live image preview — while leaving every other part of the page (metadata, templates, preview, readiness checks, Markdown export, and submission flow) completely untouched. The change is scoped to approximately 150 lines of code and four npm packages. No backend, persistence, or submission workflow changes are involved.</w:t>
      </w:r>
    </w:p>
    <w:p>
      <w:pPr>
        <w:spacing w:after="40" w:before="0"/>
      </w:pPr>
    </w:p>
    <w:p>
      <w:pPr>
        <w:pBdr>
          <w:left w:val="single" w:sz="18" w:space="10" w:color="C70024"/>
        </w:pBdr>
        <w:spacing w:before="360" w:after="120"/>
      </w:pPr>
      <w:r>
        <w:rPr>
          <w:rFonts w:ascii="Arial" w:hAnsi="Arial"/>
          <w:b/>
          <w:color w:val="C70024"/>
          <w:sz w:val="22"/>
          <w:spacing w:val="40"/>
        </w:rPr>
        <w:t>2.  DECISION TO APPROVE</w:t>
      </w:r>
    </w:p>
    <w:tbl>
      <w:tblPr>
        <w:tblStyle w:val="TableGrid"/>
        <w:tblW w:type="auto" w:w="0"/>
        <w:tblLook w:firstColumn="1" w:firstRow="1" w:lastColumn="0" w:lastRow="0" w:noHBand="0" w:noVBand="1" w:val="04A0"/>
      </w:tblPr>
      <w:tblGrid>
        <w:gridCol w:w="9360"/>
      </w:tblGrid>
      <w:tr>
        <w:tc>
          <w:tcPr>
            <w:tcW w:type="dxa" w:w="9360"/>
            <w:tcBorders>
              <w:top w:val="single" w:sz="6" w:color="C70024"/>
              <w:left w:val="single" w:sz="6" w:color="C70024"/>
              <w:bottom w:val="single" w:sz="6" w:color="C70024"/>
              <w:right w:val="single" w:sz="6" w:color="C70024"/>
            </w:tcBorders>
            <w:shd w:val="clear" w:color="auto" w:fill="FFF0F2"/>
          </w:tcPr>
          <w:p>
            <w:pPr>
              <w:spacing w:after="40"/>
              <w:ind w:left="144" w:right="144"/>
            </w:pPr>
            <w:r>
              <w:rPr>
                <w:rFonts w:ascii="Arial" w:hAnsi="Arial"/>
                <w:b w:val="0"/>
                <w:color w:val="1A100D"/>
                <w:sz w:val="21"/>
              </w:rPr>
              <w:t>Approve the replacement of the contentEditable / document.execCommand editor surface in src/pages/contribute/index.js with a Tiptap-based editor, scoped exclusively to the editor panel. All surrounding page structure, metadata fields, templates, preview, readiness checks, Markdown download, and email submission flow remain unchanged.</w:t>
            </w:r>
          </w:p>
        </w:tc>
      </w:tr>
    </w:tbl>
    <w:p>
      <w:pPr>
        <w:spacing w:after="120" w:before="0"/>
      </w:pPr>
    </w:p>
    <w:p>
      <w:pPr>
        <w:pBdr>
          <w:left w:val="single" w:sz="18" w:space="10" w:color="C70024"/>
        </w:pBdr>
        <w:spacing w:before="360" w:after="120"/>
      </w:pPr>
      <w:r>
        <w:rPr>
          <w:rFonts w:ascii="Arial" w:hAnsi="Arial"/>
          <w:b/>
          <w:color w:val="C70024"/>
          <w:sz w:val="22"/>
          <w:spacing w:val="40"/>
        </w:rPr>
        <w:t>3.  PROBLEM AND WHY NOW</w:t>
      </w:r>
    </w:p>
    <w:p>
      <w:pPr>
        <w:spacing w:before="240" w:after="60"/>
      </w:pPr>
      <w:r>
        <w:rPr>
          <w:rFonts w:ascii="Arial" w:hAnsi="Arial"/>
          <w:b/>
          <w:color w:val="1A100D"/>
          <w:sz w:val="22"/>
        </w:rPr>
        <w:t>Deprecated foundation</w:t>
      </w:r>
    </w:p>
    <w:p>
      <w:pPr>
        <w:spacing w:before="0" w:after="100"/>
      </w:pPr>
      <w:r>
        <w:rPr>
          <w:rFonts w:ascii="Arial" w:hAnsi="Arial"/>
          <w:b w:val="0"/>
          <w:i w:val="0"/>
          <w:color w:val="1A100D"/>
          <w:sz w:val="21"/>
        </w:rPr>
        <w:t>document.execCommand is marked obsolete on MDN. Chromium has already removed support for several commands in certain rendering contexts, and the remaining commands are not guaranteed to behave consistently across browsers. Continuing to build on it is a reliability and maintainability liability.</w:t>
      </w:r>
    </w:p>
    <w:p>
      <w:pPr>
        <w:spacing w:before="240" w:after="60"/>
      </w:pPr>
      <w:r>
        <w:rPr>
          <w:rFonts w:ascii="Arial" w:hAnsi="Arial"/>
          <w:b/>
          <w:color w:val="1A100D"/>
          <w:sz w:val="22"/>
        </w:rPr>
        <w:t>Poor authoring feedback</w:t>
      </w:r>
    </w:p>
    <w:p>
      <w:pPr>
        <w:spacing w:before="0" w:after="100"/>
      </w:pPr>
      <w:r>
        <w:rPr>
          <w:rFonts w:ascii="Arial" w:hAnsi="Arial"/>
          <w:b w:val="0"/>
          <w:i w:val="0"/>
          <w:color w:val="1A100D"/>
          <w:sz w:val="21"/>
        </w:rPr>
        <w:t>The current toolbar has no active state. When a contributor's cursor sits inside a bold span or a bullet list, none of the toolbar buttons reflect that. Authors cannot tell what formatting is applied without selecting text manually.</w:t>
      </w:r>
    </w:p>
    <w:p>
      <w:pPr>
        <w:spacing w:before="240" w:after="60"/>
      </w:pPr>
      <w:r>
        <w:rPr>
          <w:rFonts w:ascii="Arial" w:hAnsi="Arial"/>
          <w:b/>
          <w:color w:val="1A100D"/>
          <w:sz w:val="22"/>
        </w:rPr>
        <w:t>Jarring URL entry UX</w:t>
      </w:r>
    </w:p>
    <w:p>
      <w:pPr>
        <w:spacing w:before="0" w:after="100"/>
      </w:pPr>
      <w:r>
        <w:rPr>
          <w:rFonts w:ascii="Arial" w:hAnsi="Arial"/>
          <w:b w:val="0"/>
          <w:i w:val="0"/>
          <w:color w:val="1A100D"/>
          <w:sz w:val="21"/>
        </w:rPr>
        <w:t>Inserting a link or image requires clicking a toolbar button that opens a raw browser-native prompt dialog — no styling, no keyboard shortcut integration, no way to dismiss with Escape in a standard way. This is inconsistent with every other input on the page and surprises first-time contributors.</w:t>
      </w:r>
    </w:p>
    <w:p>
      <w:pPr>
        <w:spacing w:before="240" w:after="60"/>
      </w:pPr>
      <w:r>
        <w:rPr>
          <w:rFonts w:ascii="Arial" w:hAnsi="Arial"/>
          <w:b/>
          <w:color w:val="1A100D"/>
          <w:sz w:val="22"/>
        </w:rPr>
        <w:t>No image validation at insertion time</w:t>
      </w:r>
    </w:p>
    <w:p>
      <w:pPr>
        <w:spacing w:before="0" w:after="100"/>
      </w:pPr>
      <w:r>
        <w:rPr>
          <w:rFonts w:ascii="Arial" w:hAnsi="Arial"/>
          <w:b w:val="0"/>
          <w:i w:val="0"/>
          <w:color w:val="1A100D"/>
          <w:sz w:val="21"/>
        </w:rPr>
        <w:t>Authors discover broken image URLs only after inserting them, when the Submission Readiness panel flags the failure. There is no opportunity to catch a typo before committing to the editor.</w:t>
      </w:r>
    </w:p>
    <w:p>
      <w:pPr>
        <w:spacing w:before="240" w:after="60"/>
      </w:pPr>
      <w:r>
        <w:rPr>
          <w:rFonts w:ascii="Arial" w:hAnsi="Arial"/>
          <w:b/>
          <w:color w:val="1A100D"/>
          <w:sz w:val="22"/>
        </w:rPr>
        <w:t>Why now</w:t>
      </w:r>
    </w:p>
    <w:p>
      <w:pPr>
        <w:spacing w:before="0" w:after="100"/>
      </w:pPr>
      <w:r>
        <w:rPr>
          <w:rFonts w:ascii="Arial" w:hAnsi="Arial"/>
          <w:b w:val="0"/>
          <w:i w:val="0"/>
          <w:color w:val="1A100D"/>
          <w:sz w:val="21"/>
        </w:rPr>
        <w:t>The Contribution Studio is being actively promoted to internal teams as the standard submission path. Rough editor UX creates friction at the moment of adoption. Fixing it while the user base is small and the codebase is clean costs far less than doing it after the page is in widespread use.</w:t>
      </w:r>
    </w:p>
    <w:p>
      <w:pPr>
        <w:pBdr>
          <w:left w:val="single" w:sz="18" w:space="10" w:color="C70024"/>
        </w:pBdr>
        <w:spacing w:before="360" w:after="120"/>
      </w:pPr>
      <w:r>
        <w:rPr>
          <w:rFonts w:ascii="Arial" w:hAnsi="Arial"/>
          <w:b/>
          <w:color w:val="C70024"/>
          <w:sz w:val="22"/>
          <w:spacing w:val="40"/>
        </w:rPr>
        <w:t>4.  GOALS</w:t>
      </w:r>
    </w:p>
    <w:p>
      <w:pPr>
        <w:pStyle w:val="ListBullet"/>
        <w:spacing w:before="20" w:after="40"/>
        <w:ind w:left="360"/>
      </w:pPr>
      <w:r>
        <w:rPr>
          <w:rFonts w:ascii="Arial" w:hAnsi="Arial"/>
          <w:b w:val="0"/>
          <w:color w:val="1A100D"/>
          <w:sz w:val="21"/>
        </w:rPr>
        <w:t>Replace document.execCommand with Tiptap, eliminating the deprecated API entirely.</w:t>
      </w:r>
    </w:p>
    <w:p>
      <w:pPr>
        <w:pStyle w:val="ListBullet"/>
        <w:spacing w:before="20" w:after="40"/>
        <w:ind w:left="360"/>
      </w:pPr>
      <w:r>
        <w:rPr>
          <w:rFonts w:ascii="Arial" w:hAnsi="Arial"/>
          <w:b w:val="0"/>
          <w:color w:val="1A100D"/>
          <w:sz w:val="21"/>
        </w:rPr>
        <w:t>Preserve all existing authoring capabilities: paragraph, H1–H3, bold, italic, underline, bullet list, ordered list, blockquote, link, image (URL), code block, table, and horizontal rule.</w:t>
      </w:r>
    </w:p>
    <w:p>
      <w:pPr>
        <w:pStyle w:val="ListBullet"/>
        <w:spacing w:before="20" w:after="40"/>
        <w:ind w:left="360"/>
      </w:pPr>
      <w:r>
        <w:rPr>
          <w:rFonts w:ascii="Arial" w:hAnsi="Arial"/>
          <w:b w:val="0"/>
          <w:color w:val="1A100D"/>
          <w:sz w:val="21"/>
        </w:rPr>
        <w:t>Replace window.prompt() for link and image entry with inline toolbar popovers.</w:t>
      </w:r>
    </w:p>
    <w:p>
      <w:pPr>
        <w:pStyle w:val="ListBullet"/>
        <w:spacing w:before="20" w:after="40"/>
        <w:ind w:left="360"/>
      </w:pPr>
      <w:r>
        <w:rPr>
          <w:rFonts w:ascii="Arial" w:hAnsi="Arial"/>
          <w:b w:val="0"/>
          <w:color w:val="1A100D"/>
          <w:sz w:val="21"/>
        </w:rPr>
        <w:t>Show live image thumbnail preview inside the image popover before insertion.</w:t>
      </w:r>
    </w:p>
    <w:p>
      <w:pPr>
        <w:pStyle w:val="ListBullet"/>
        <w:spacing w:before="20" w:after="40"/>
        <w:ind w:left="360"/>
      </w:pPr>
      <w:r>
        <w:rPr>
          <w:rFonts w:ascii="Arial" w:hAnsi="Arial"/>
          <w:b w:val="0"/>
          <w:color w:val="1A100D"/>
          <w:sz w:val="21"/>
        </w:rPr>
        <w:t>Reflect cursor context in the toolbar — active formatting and current block type highlight the relevant button or dropdown value.</w:t>
      </w:r>
    </w:p>
    <w:p>
      <w:pPr>
        <w:pStyle w:val="ListBullet"/>
        <w:spacing w:before="20" w:after="40"/>
        <w:ind w:left="360"/>
      </w:pPr>
      <w:r>
        <w:rPr>
          <w:rFonts w:ascii="Arial" w:hAnsi="Arial"/>
          <w:b w:val="0"/>
          <w:color w:val="1A100D"/>
          <w:sz w:val="21"/>
        </w:rPr>
        <w:t>Preserve the downstream HTML → Markdown contract so buildMarkdown(), renderPreviewNodes(), and the submission flow require zero changes.</w:t>
      </w:r>
    </w:p>
    <w:p>
      <w:pPr>
        <w:pStyle w:val="ListBullet"/>
        <w:spacing w:before="20" w:after="40"/>
        <w:ind w:left="360"/>
      </w:pPr>
      <w:r>
        <w:rPr>
          <w:rFonts w:ascii="Arial" w:hAnsi="Arial"/>
          <w:b w:val="0"/>
          <w:color w:val="1A100D"/>
          <w:sz w:val="21"/>
        </w:rPr>
        <w:t>Support both EN (en-US) and JP (ja-JP) locales without copy changes.</w:t>
      </w:r>
    </w:p>
    <w:p>
      <w:pPr>
        <w:spacing w:after="80" w:before="0"/>
      </w:pPr>
    </w:p>
    <w:p>
      <w:pPr>
        <w:pBdr>
          <w:left w:val="single" w:sz="18" w:space="10" w:color="C70024"/>
        </w:pBdr>
        <w:spacing w:before="360" w:after="120"/>
      </w:pPr>
      <w:r>
        <w:rPr>
          <w:rFonts w:ascii="Arial" w:hAnsi="Arial"/>
          <w:b/>
          <w:color w:val="C70024"/>
          <w:sz w:val="22"/>
          <w:spacing w:val="40"/>
        </w:rPr>
        <w:t>5.  NON-GOALS</w:t>
      </w:r>
    </w:p>
    <w:p>
      <w:pPr>
        <w:pStyle w:val="ListBullet"/>
        <w:spacing w:before="20" w:after="40"/>
        <w:ind w:left="360"/>
      </w:pPr>
      <w:r>
        <w:rPr>
          <w:rFonts w:ascii="Arial" w:hAnsi="Arial"/>
          <w:b w:val="0"/>
          <w:color w:val="1A100D"/>
          <w:sz w:val="21"/>
        </w:rPr>
        <w:t>Image file upload or clipboard paste — images remain URL-only, matching current behaviour.</w:t>
      </w:r>
    </w:p>
    <w:p>
      <w:pPr>
        <w:pStyle w:val="ListBullet"/>
        <w:spacing w:before="20" w:after="40"/>
        <w:ind w:left="360"/>
      </w:pPr>
      <w:r>
        <w:rPr>
          <w:rFonts w:ascii="Arial" w:hAnsi="Arial"/>
          <w:b w:val="0"/>
          <w:color w:val="1A100D"/>
          <w:sz w:val="21"/>
        </w:rPr>
        <w:t>Real-time collaboration, presence, or multi-author editing.</w:t>
      </w:r>
    </w:p>
    <w:p>
      <w:pPr>
        <w:pStyle w:val="ListBullet"/>
        <w:spacing w:before="20" w:after="40"/>
        <w:ind w:left="360"/>
      </w:pPr>
      <w:r>
        <w:rPr>
          <w:rFonts w:ascii="Arial" w:hAnsi="Arial"/>
          <w:b w:val="0"/>
          <w:color w:val="1A100D"/>
          <w:sz w:val="21"/>
        </w:rPr>
        <w:t>Backend persistence, auto-save, or draft recovery.</w:t>
      </w:r>
    </w:p>
    <w:p>
      <w:pPr>
        <w:pStyle w:val="ListBullet"/>
        <w:spacing w:before="20" w:after="40"/>
        <w:ind w:left="360"/>
      </w:pPr>
      <w:r>
        <w:rPr>
          <w:rFonts w:ascii="Arial" w:hAnsi="Arial"/>
          <w:b w:val="0"/>
          <w:color w:val="1A100D"/>
          <w:sz w:val="21"/>
        </w:rPr>
        <w:t>Redesign of the metadata sidebar, preview panel, readiness checks, modal, hero, or template strip.</w:t>
      </w:r>
    </w:p>
    <w:p>
      <w:pPr>
        <w:pStyle w:val="ListBullet"/>
        <w:spacing w:before="20" w:after="40"/>
        <w:ind w:left="360"/>
      </w:pPr>
      <w:r>
        <w:rPr>
          <w:rFonts w:ascii="Arial" w:hAnsi="Arial"/>
          <w:b w:val="0"/>
          <w:color w:val="1A100D"/>
          <w:sz w:val="21"/>
        </w:rPr>
        <w:t>Changes to the submission workflow, Markdown download, or email draft generation.</w:t>
      </w:r>
    </w:p>
    <w:p>
      <w:pPr>
        <w:pStyle w:val="ListBullet"/>
        <w:spacing w:before="20" w:after="40"/>
        <w:ind w:left="360"/>
      </w:pPr>
      <w:r>
        <w:rPr>
          <w:rFonts w:ascii="Arial" w:hAnsi="Arial"/>
          <w:b w:val="0"/>
          <w:color w:val="1A100D"/>
          <w:sz w:val="21"/>
        </w:rPr>
        <w:t>Mobile-specific editor adaptations beyond what Tiptap provides by default.</w:t>
      </w:r>
    </w:p>
    <w:p>
      <w:pPr>
        <w:pStyle w:val="ListBullet"/>
        <w:spacing w:before="20" w:after="40"/>
        <w:ind w:left="360"/>
      </w:pPr>
      <w:r>
        <w:rPr>
          <w:rFonts w:ascii="Arial" w:hAnsi="Arial"/>
          <w:b w:val="0"/>
          <w:color w:val="1A100D"/>
          <w:sz w:val="21"/>
        </w:rPr>
        <w:t>Internationalisation of new UI copy — no new strings are introduced.</w:t>
      </w:r>
    </w:p>
    <w:p>
      <w:pPr>
        <w:spacing w:after="80" w:before="0"/>
      </w:pPr>
    </w:p>
    <w:p>
      <w:pPr>
        <w:pBdr>
          <w:left w:val="single" w:sz="18" w:space="10" w:color="C70024"/>
        </w:pBdr>
        <w:spacing w:before="360" w:after="120"/>
      </w:pPr>
      <w:r>
        <w:rPr>
          <w:rFonts w:ascii="Arial" w:hAnsi="Arial"/>
          <w:b/>
          <w:color w:val="C70024"/>
          <w:sz w:val="22"/>
          <w:spacing w:val="40"/>
        </w:rPr>
        <w:t>6.  USER EXPERIENCE</w:t>
      </w:r>
    </w:p>
    <w:p>
      <w:pPr>
        <w:spacing w:before="0" w:after="100"/>
      </w:pPr>
      <w:r>
        <w:rPr>
          <w:rFonts w:ascii="Arial" w:hAnsi="Arial"/>
          <w:b w:val="0"/>
          <w:i w:val="0"/>
          <w:color w:val="1A100D"/>
          <w:sz w:val="21"/>
        </w:rPr>
        <w:t>The editor panel is the only part of the page that changes. Everything the contributor sees and interacts with outside that panel — including the sidebar, preview, readiness checks, templates, and submission modal — is identical to today.</w:t>
      </w:r>
    </w:p>
    <w:p>
      <w:pPr>
        <w:spacing w:before="240" w:after="60"/>
      </w:pPr>
      <w:r>
        <w:rPr>
          <w:rFonts w:ascii="Arial" w:hAnsi="Arial"/>
          <w:b/>
          <w:color w:val="1A100D"/>
          <w:sz w:val="22"/>
        </w:rPr>
        <w:t>Toolbar layout (left → right)</w:t>
      </w:r>
    </w:p>
    <w:tbl>
      <w:tblPr>
        <w:tblStyle w:val="TableGrid"/>
        <w:tblW w:type="auto" w:w="0"/>
        <w:tblLook w:firstColumn="1" w:firstRow="1" w:lastColumn="0" w:lastRow="0" w:noHBand="0" w:noVBand="1" w:val="04A0"/>
      </w:tblPr>
      <w:tblGrid>
        <w:gridCol w:w="4680"/>
        <w:gridCol w:w="4680"/>
      </w:tblGrid>
      <w:tr>
        <w:tc>
          <w:tcPr>
            <w:tcW w:type="dxa" w:w="4680"/>
            <w:shd w:val="clear" w:color="auto" w:fill="1A100D"/>
            <w:tcW w:w="1800" w:type="dxa"/>
          </w:tcPr>
          <w:p>
            <w:pPr>
              <w:spacing w:after="40"/>
            </w:pPr>
            <w:r>
              <w:rPr>
                <w:rFonts w:ascii="Arial" w:hAnsi="Arial"/>
                <w:b/>
                <w:color w:val="FFFFFF"/>
                <w:sz w:val="20"/>
              </w:rPr>
              <w:t>Group</w:t>
            </w:r>
          </w:p>
        </w:tc>
        <w:tc>
          <w:tcPr>
            <w:tcW w:type="dxa" w:w="4680"/>
            <w:shd w:val="clear" w:color="auto" w:fill="1A100D"/>
            <w:tcW w:w="7200" w:type="dxa"/>
          </w:tcPr>
          <w:p>
            <w:pPr>
              <w:spacing w:after="40"/>
            </w:pPr>
            <w:r>
              <w:rPr>
                <w:rFonts w:ascii="Arial" w:hAnsi="Arial"/>
                <w:b/>
                <w:color w:val="FFFFFF"/>
                <w:sz w:val="20"/>
              </w:rPr>
              <w:t>Controls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pPr>
              <w:spacing w:after="60"/>
            </w:pPr>
            <w:r>
              <w:rPr>
                <w:rFonts w:ascii="Arial" w:hAnsi="Arial"/>
                <w:b/>
                <w:color w:val="1A100D"/>
                <w:sz w:val="20"/>
              </w:rPr>
              <w:t>Text style</w:t>
            </w:r>
          </w:p>
        </w:tc>
        <w:tc>
          <w:tcPr>
            <w:tcW w:type="dxa" w:w="4680"/>
          </w:tcPr>
          <w:p>
            <w:pPr>
              <w:spacing w:after="60"/>
            </w:pPr>
            <w:r>
              <w:rPr>
                <w:rFonts w:ascii="Arial" w:hAnsi="Arial"/>
                <w:b w:val="0"/>
                <w:color w:val="1A100D"/>
                <w:sz w:val="20"/>
              </w:rPr>
              <w:t>Dropdown: Paragraph / Heading 1 / Heading 2 / Heading 3 / Quote. Reflects current block type in real time.</w:t>
            </w:r>
          </w:p>
        </w:tc>
      </w:tr>
      <w:tr>
        <w:tc>
          <w:tcPr>
            <w:tcW w:type="dxa" w:w="4680"/>
          </w:tcPr>
          <w:p>
            <w:pPr>
              <w:spacing w:after="60"/>
            </w:pPr>
            <w:r>
              <w:rPr>
                <w:rFonts w:ascii="Arial" w:hAnsi="Arial"/>
                <w:b/>
                <w:color w:val="1A100D"/>
                <w:sz w:val="20"/>
              </w:rPr>
              <w:t>Inline format</w:t>
            </w:r>
          </w:p>
        </w:tc>
        <w:tc>
          <w:tcPr>
            <w:tcW w:type="dxa" w:w="4680"/>
          </w:tcPr>
          <w:p>
            <w:pPr>
              <w:spacing w:after="60"/>
            </w:pPr>
            <w:r>
              <w:rPr>
                <w:rFonts w:ascii="Arial" w:hAnsi="Arial"/>
                <w:b w:val="0"/>
                <w:color w:val="1A100D"/>
                <w:sz w:val="20"/>
              </w:rPr>
              <w:t>B · I · U — icon buttons. Each highlights red when the cursor is inside the matching formatting node.</w:t>
            </w:r>
          </w:p>
        </w:tc>
      </w:tr>
      <w:tr>
        <w:tc>
          <w:tcPr>
            <w:tcW w:type="dxa" w:w="4680"/>
          </w:tcPr>
          <w:p>
            <w:pPr>
              <w:spacing w:after="60"/>
            </w:pPr>
            <w:r>
              <w:rPr>
                <w:rFonts w:ascii="Arial" w:hAnsi="Arial"/>
                <w:b/>
                <w:color w:val="1A100D"/>
                <w:sz w:val="20"/>
              </w:rPr>
              <w:t>Lists</w:t>
            </w:r>
          </w:p>
        </w:tc>
        <w:tc>
          <w:tcPr>
            <w:tcW w:type="dxa" w:w="4680"/>
          </w:tcPr>
          <w:p>
            <w:pPr>
              <w:spacing w:after="60"/>
            </w:pPr>
            <w:r>
              <w:rPr>
                <w:rFonts w:ascii="Arial" w:hAnsi="Arial"/>
                <w:b w:val="0"/>
                <w:color w:val="1A100D"/>
                <w:sz w:val="20"/>
              </w:rPr>
              <w:t>Bullet list · Ordered list — SVG icon buttons. Highlight when cursor is inside the list type.</w:t>
            </w:r>
          </w:p>
        </w:tc>
      </w:tr>
      <w:tr>
        <w:tc>
          <w:tcPr>
            <w:tcW w:type="dxa" w:w="4680"/>
          </w:tcPr>
          <w:p>
            <w:pPr>
              <w:spacing w:after="60"/>
            </w:pPr>
            <w:r>
              <w:rPr>
                <w:rFonts w:ascii="Arial" w:hAnsi="Arial"/>
                <w:b/>
                <w:color w:val="1A100D"/>
                <w:sz w:val="20"/>
              </w:rPr>
              <w:t>Insert</w:t>
            </w:r>
          </w:p>
        </w:tc>
        <w:tc>
          <w:tcPr>
            <w:tcW w:type="dxa" w:w="4680"/>
          </w:tcPr>
          <w:p>
            <w:pPr>
              <w:spacing w:after="60"/>
            </w:pPr>
            <w:r>
              <w:rPr>
                <w:rFonts w:ascii="Arial" w:hAnsi="Arial"/>
                <w:b w:val="0"/>
                <w:color w:val="1A100D"/>
                <w:sz w:val="20"/>
              </w:rPr>
              <w:t>Link (URL popover) · Image (URL popover + live preview) · Code · Table · Horizontal Rule.</w:t>
            </w:r>
          </w:p>
        </w:tc>
      </w:tr>
      <w:tr>
        <w:tc>
          <w:tcPr>
            <w:tcW w:type="dxa" w:w="4680"/>
          </w:tcPr>
          <w:p>
            <w:pPr>
              <w:spacing w:after="60"/>
            </w:pPr>
            <w:r>
              <w:rPr>
                <w:rFonts w:ascii="Arial" w:hAnsi="Arial"/>
                <w:b/>
                <w:color w:val="1A100D"/>
                <w:sz w:val="20"/>
              </w:rPr>
              <w:t>History</w:t>
            </w:r>
          </w:p>
        </w:tc>
        <w:tc>
          <w:tcPr>
            <w:tcW w:type="dxa" w:w="4680"/>
          </w:tcPr>
          <w:p>
            <w:pPr>
              <w:spacing w:after="60"/>
            </w:pPr>
            <w:r>
              <w:rPr>
                <w:rFonts w:ascii="Arial" w:hAnsi="Arial"/>
                <w:b w:val="0"/>
                <w:color w:val="1A100D"/>
                <w:sz w:val="20"/>
              </w:rPr>
              <w:t>Undo · Redo — SVG icon buttons.</w:t>
            </w:r>
          </w:p>
        </w:tc>
      </w:tr>
    </w:tbl>
    <w:p>
      <w:pPr>
        <w:spacing w:after="160" w:before="0"/>
      </w:pPr>
    </w:p>
    <w:p>
      <w:pPr>
        <w:spacing w:before="240" w:after="60"/>
      </w:pPr>
      <w:r>
        <w:rPr>
          <w:rFonts w:ascii="Arial" w:hAnsi="Arial"/>
          <w:b/>
          <w:color w:val="1A100D"/>
          <w:sz w:val="22"/>
        </w:rPr>
        <w:t>Link popover</w:t>
      </w:r>
    </w:p>
    <w:p>
      <w:pPr>
        <w:spacing w:before="0" w:after="100"/>
      </w:pPr>
      <w:r>
        <w:rPr>
          <w:rFonts w:ascii="Arial" w:hAnsi="Arial"/>
          <w:b w:val="0"/>
          <w:i w:val="0"/>
          <w:color w:val="1A100D"/>
          <w:sz w:val="21"/>
        </w:rPr>
        <w:t>Clicking Link opens a small popover anchored below the button. It contains a URL input field and an Apply button. Enter confirms; Escape or clicking outside dismisses. If the cursor is already positioned on an existing link, the input pre-fills with the current href so the author can edit it in place. No window.prompt() calls remain.</w:t>
      </w:r>
    </w:p>
    <w:p>
      <w:pPr>
        <w:spacing w:before="240" w:after="60"/>
      </w:pPr>
      <w:r>
        <w:rPr>
          <w:rFonts w:ascii="Arial" w:hAnsi="Arial"/>
          <w:b/>
          <w:color w:val="1A100D"/>
          <w:sz w:val="22"/>
        </w:rPr>
        <w:t>Image popover</w:t>
      </w:r>
    </w:p>
    <w:p>
      <w:pPr>
        <w:spacing w:before="0" w:after="100"/>
      </w:pPr>
      <w:r>
        <w:rPr>
          <w:rFonts w:ascii="Arial" w:hAnsi="Arial"/>
          <w:b w:val="0"/>
          <w:i w:val="0"/>
          <w:color w:val="1A100D"/>
          <w:sz w:val="21"/>
        </w:rPr>
        <w:t>Clicking Image opens the same popover pattern with one addition: as the author types or pastes a URL, a live thumbnail preview loads below the input field. If the URL is unreachable, an inline error message appears immediately — before the image is inserted. This gives authors a fast correction loop at the point of entry rather than discovering failures in the Readiness panel.</w:t>
      </w:r>
    </w:p>
    <w:p>
      <w:pPr>
        <w:spacing w:before="240" w:after="60"/>
      </w:pPr>
      <w:r>
        <w:rPr>
          <w:rFonts w:ascii="Arial" w:hAnsi="Arial"/>
          <w:b/>
          <w:color w:val="1A100D"/>
          <w:sz w:val="22"/>
        </w:rPr>
        <w:t>Editor surface</w:t>
      </w:r>
    </w:p>
    <w:p>
      <w:pPr>
        <w:spacing w:before="0" w:after="100"/>
      </w:pPr>
      <w:r>
        <w:rPr>
          <w:rFonts w:ascii="Arial" w:hAnsi="Arial"/>
          <w:b w:val="0"/>
          <w:i w:val="0"/>
          <w:color w:val="1A100D"/>
          <w:sz w:val="21"/>
        </w:rPr>
        <w:t>The editing area retains the same dark background, border, padding, and red focus ring as today. Tiptap's ProseMirror div is the new contenteditable target; the CSS focus rule changes from :focus to :focus-within on the wrapper, preserving identical visual behaviour.</w:t>
      </w:r>
    </w:p>
    <w:p>
      <w:pPr>
        <w:spacing w:before="240" w:after="60"/>
      </w:pPr>
      <w:r>
        <w:rPr>
          <w:rFonts w:ascii="Arial" w:hAnsi="Arial"/>
          <w:b/>
          <w:color w:val="1A100D"/>
          <w:sz w:val="22"/>
        </w:rPr>
        <w:t>Template switching</w:t>
      </w:r>
    </w:p>
    <w:p>
      <w:pPr>
        <w:spacing w:before="0" w:after="100"/>
      </w:pPr>
      <w:r>
        <w:rPr>
          <w:rFonts w:ascii="Arial" w:hAnsi="Arial"/>
          <w:b w:val="0"/>
          <w:i w:val="0"/>
          <w:color w:val="1A100D"/>
          <w:sz w:val="21"/>
        </w:rPr>
        <w:t>Selecting a template remounts the editor with the new HTML — same behaviour as the current useEffect re-sync, with no loss of reliability.</w:t>
      </w:r>
    </w:p>
    <w:p>
      <w:pPr>
        <w:spacing w:before="240" w:after="60"/>
      </w:pPr>
      <w:r>
        <w:rPr>
          <w:rFonts w:ascii="Arial" w:hAnsi="Arial"/>
          <w:b/>
          <w:color w:val="1A100D"/>
          <w:sz w:val="22"/>
        </w:rPr>
        <w:t>Failure states</w:t>
      </w:r>
    </w:p>
    <w:p>
      <w:pPr>
        <w:pStyle w:val="ListBullet"/>
        <w:spacing w:before="20" w:after="40"/>
        <w:ind w:left="360"/>
      </w:pPr>
      <w:r>
        <w:rPr>
          <w:rFonts w:ascii="Arial" w:hAnsi="Arial"/>
          <w:b w:val="0"/>
          <w:color w:val="1A100D"/>
          <w:sz w:val="21"/>
        </w:rPr>
        <w:t>Image URL unreachable: inline error in popover + existing Readiness panel flag — no change to downstream behaviour.</w:t>
      </w:r>
    </w:p>
    <w:p>
      <w:pPr>
        <w:pStyle w:val="ListBullet"/>
        <w:spacing w:before="20" w:after="40"/>
        <w:ind w:left="360"/>
      </w:pPr>
      <w:r>
        <w:rPr>
          <w:rFonts w:ascii="Arial" w:hAnsi="Arial"/>
          <w:b w:val="0"/>
          <w:color w:val="1A100D"/>
          <w:sz w:val="21"/>
        </w:rPr>
        <w:t>Editor empty: Markdown export produces valid frontmatter with empty body — Readiness panel already handles this.</w:t>
      </w:r>
    </w:p>
    <w:p>
      <w:pPr>
        <w:pStyle w:val="ListBullet"/>
        <w:spacing w:before="20" w:after="40"/>
        <w:ind w:left="360"/>
      </w:pPr>
      <w:r>
        <w:rPr>
          <w:rFonts w:ascii="Arial" w:hAnsi="Arial"/>
          <w:b w:val="0"/>
          <w:color w:val="1A100D"/>
          <w:sz w:val="21"/>
        </w:rPr>
        <w:t>SSR / server render: Tiptap returns null editor on the server; EditorContent renders an empty div — no hydration error.</w:t>
      </w:r>
    </w:p>
    <w:p>
      <w:pPr>
        <w:spacing w:after="80" w:before="0"/>
      </w:pPr>
    </w:p>
    <w:p>
      <w:pPr>
        <w:pBdr>
          <w:left w:val="single" w:sz="18" w:space="10" w:color="C70024"/>
        </w:pBdr>
        <w:spacing w:before="360" w:after="120"/>
      </w:pPr>
      <w:r>
        <w:rPr>
          <w:rFonts w:ascii="Arial" w:hAnsi="Arial"/>
          <w:b/>
          <w:color w:val="C70024"/>
          <w:sz w:val="22"/>
          <w:spacing w:val="40"/>
        </w:rPr>
        <w:t>7.  REQUIREMENTS</w:t>
      </w:r>
    </w:p>
    <w:tbl>
      <w:tblPr>
        <w:tblStyle w:val="TableGrid"/>
        <w:tblW w:type="auto" w:w="0"/>
        <w:tblLook w:firstColumn="1" w:firstRow="1" w:lastColumn="0" w:lastRow="0" w:noHBand="0" w:noVBand="1" w:val="04A0"/>
      </w:tblPr>
      <w:tblGrid>
        <w:gridCol w:w="4680"/>
        <w:gridCol w:w="4680"/>
      </w:tblGrid>
      <w:tr>
        <w:tc>
          <w:tcPr>
            <w:tcW w:type="dxa" w:w="4680"/>
            <w:shd w:val="clear" w:color="auto" w:fill="1A100D"/>
            <w:tcW w:w="720" w:type="dxa"/>
          </w:tcPr>
          <w:p>
            <w:pPr>
              <w:spacing w:after="40"/>
            </w:pPr>
            <w:r>
              <w:rPr>
                <w:rFonts w:ascii="Arial" w:hAnsi="Arial"/>
                <w:b/>
                <w:color w:val="FFFFFF"/>
                <w:sz w:val="20"/>
              </w:rPr>
              <w:t>ID</w:t>
            </w:r>
          </w:p>
        </w:tc>
        <w:tc>
          <w:tcPr>
            <w:tcW w:type="dxa" w:w="4680"/>
            <w:shd w:val="clear" w:color="auto" w:fill="1A100D"/>
            <w:tcW w:w="8280" w:type="dxa"/>
          </w:tcPr>
          <w:p>
            <w:pPr>
              <w:spacing w:after="40"/>
            </w:pPr>
            <w:r>
              <w:rPr>
                <w:rFonts w:ascii="Arial" w:hAnsi="Arial"/>
                <w:b/>
                <w:color w:val="FFFFFF"/>
                <w:sz w:val="20"/>
              </w:rPr>
              <w:t>Requirement</w:t>
            </w:r>
          </w:p>
        </w:tc>
      </w:tr>
      <w:tr>
        <w:tc>
          <w:tcPr>
            <w:tcW w:type="dxa" w:w="4680"/>
          </w:tcPr>
          <w:p>
            <w:pPr>
              <w:spacing w:after="40"/>
            </w:pPr>
            <w:r>
              <w:rPr>
                <w:rFonts w:ascii="Arial" w:hAnsi="Arial"/>
                <w:b/>
                <w:color w:val="C70024"/>
                <w:sz w:val="19"/>
              </w:rPr>
              <w:t>R-01</w:t>
            </w:r>
          </w:p>
        </w:tc>
        <w:tc>
          <w:tcPr>
            <w:tcW w:type="dxa" w:w="4680"/>
          </w:tcPr>
          <w:p>
            <w:pPr>
              <w:spacing w:after="40"/>
            </w:pPr>
            <w:r>
              <w:rPr>
                <w:rFonts w:ascii="Arial" w:hAnsi="Arial"/>
                <w:b w:val="0"/>
                <w:color w:val="1A100D"/>
                <w:sz w:val="20"/>
              </w:rPr>
              <w:t>The system must render the editor using Tiptap's useEditor hook with StarterKit, Underline, Link, Image, and Table extensions.</w:t>
            </w:r>
          </w:p>
        </w:tc>
      </w:tr>
      <w:tr>
        <w:tc>
          <w:tcPr>
            <w:tcW w:type="dxa" w:w="4680"/>
          </w:tcPr>
          <w:p>
            <w:pPr>
              <w:spacing w:after="40"/>
            </w:pPr>
            <w:r>
              <w:rPr>
                <w:rFonts w:ascii="Arial" w:hAnsi="Arial"/>
                <w:b/>
                <w:color w:val="C70024"/>
                <w:sz w:val="19"/>
              </w:rPr>
              <w:t>R-02</w:t>
            </w:r>
          </w:p>
        </w:tc>
        <w:tc>
          <w:tcPr>
            <w:tcW w:type="dxa" w:w="4680"/>
          </w:tcPr>
          <w:p>
            <w:pPr>
              <w:spacing w:after="40"/>
            </w:pPr>
            <w:r>
              <w:rPr>
                <w:rFonts w:ascii="Arial" w:hAnsi="Arial"/>
                <w:b w:val="0"/>
                <w:color w:val="1A100D"/>
                <w:sz w:val="20"/>
              </w:rPr>
              <w:t>The user can apply Paragraph, Heading 1, Heading 2, Heading 3, and Blockquote via the text-style dropdown.</w:t>
            </w:r>
          </w:p>
        </w:tc>
      </w:tr>
      <w:tr>
        <w:tc>
          <w:tcPr>
            <w:tcW w:type="dxa" w:w="4680"/>
          </w:tcPr>
          <w:p>
            <w:pPr>
              <w:spacing w:after="40"/>
            </w:pPr>
            <w:r>
              <w:rPr>
                <w:rFonts w:ascii="Arial" w:hAnsi="Arial"/>
                <w:b/>
                <w:color w:val="C70024"/>
                <w:sz w:val="19"/>
              </w:rPr>
              <w:t>R-03</w:t>
            </w:r>
          </w:p>
        </w:tc>
        <w:tc>
          <w:tcPr>
            <w:tcW w:type="dxa" w:w="4680"/>
          </w:tcPr>
          <w:p>
            <w:pPr>
              <w:spacing w:after="40"/>
            </w:pPr>
            <w:r>
              <w:rPr>
                <w:rFonts w:ascii="Arial" w:hAnsi="Arial"/>
                <w:b w:val="0"/>
                <w:color w:val="1A100D"/>
                <w:sz w:val="20"/>
              </w:rPr>
              <w:t>The text-style dropdown must reflect the current block type whenever the cursor moves.</w:t>
            </w:r>
          </w:p>
        </w:tc>
      </w:tr>
      <w:tr>
        <w:tc>
          <w:tcPr>
            <w:tcW w:type="dxa" w:w="4680"/>
          </w:tcPr>
          <w:p>
            <w:pPr>
              <w:spacing w:after="40"/>
            </w:pPr>
            <w:r>
              <w:rPr>
                <w:rFonts w:ascii="Arial" w:hAnsi="Arial"/>
                <w:b/>
                <w:color w:val="C70024"/>
                <w:sz w:val="19"/>
              </w:rPr>
              <w:t>R-04</w:t>
            </w:r>
          </w:p>
        </w:tc>
        <w:tc>
          <w:tcPr>
            <w:tcW w:type="dxa" w:w="4680"/>
          </w:tcPr>
          <w:p>
            <w:pPr>
              <w:spacing w:after="40"/>
            </w:pPr>
            <w:r>
              <w:rPr>
                <w:rFonts w:ascii="Arial" w:hAnsi="Arial"/>
                <w:b w:val="0"/>
                <w:color w:val="1A100D"/>
                <w:sz w:val="20"/>
              </w:rPr>
              <w:t>The user can toggle bold, italic, and underline via toolbar buttons.</w:t>
            </w:r>
          </w:p>
        </w:tc>
      </w:tr>
      <w:tr>
        <w:tc>
          <w:tcPr>
            <w:tcW w:type="dxa" w:w="4680"/>
          </w:tcPr>
          <w:p>
            <w:pPr>
              <w:spacing w:after="40"/>
            </w:pPr>
            <w:r>
              <w:rPr>
                <w:rFonts w:ascii="Arial" w:hAnsi="Arial"/>
                <w:b/>
                <w:color w:val="C70024"/>
                <w:sz w:val="19"/>
              </w:rPr>
              <w:t>R-05</w:t>
            </w:r>
          </w:p>
        </w:tc>
        <w:tc>
          <w:tcPr>
            <w:tcW w:type="dxa" w:w="4680"/>
          </w:tcPr>
          <w:p>
            <w:pPr>
              <w:spacing w:after="40"/>
            </w:pPr>
            <w:r>
              <w:rPr>
                <w:rFonts w:ascii="Arial" w:hAnsi="Arial"/>
                <w:b w:val="0"/>
                <w:color w:val="1A100D"/>
                <w:sz w:val="20"/>
              </w:rPr>
              <w:t>Bold, italic, and underline toolbar buttons must highlight when the cursor is inside the matching formatting node.</w:t>
            </w:r>
          </w:p>
        </w:tc>
      </w:tr>
      <w:tr>
        <w:tc>
          <w:tcPr>
            <w:tcW w:type="dxa" w:w="4680"/>
          </w:tcPr>
          <w:p>
            <w:pPr>
              <w:spacing w:after="40"/>
            </w:pPr>
            <w:r>
              <w:rPr>
                <w:rFonts w:ascii="Arial" w:hAnsi="Arial"/>
                <w:b/>
                <w:color w:val="C70024"/>
                <w:sz w:val="19"/>
              </w:rPr>
              <w:t>R-06</w:t>
            </w:r>
          </w:p>
        </w:tc>
        <w:tc>
          <w:tcPr>
            <w:tcW w:type="dxa" w:w="4680"/>
          </w:tcPr>
          <w:p>
            <w:pPr>
              <w:spacing w:after="40"/>
            </w:pPr>
            <w:r>
              <w:rPr>
                <w:rFonts w:ascii="Arial" w:hAnsi="Arial"/>
                <w:b w:val="0"/>
                <w:color w:val="1A100D"/>
                <w:sz w:val="20"/>
              </w:rPr>
              <w:t>The user can toggle bullet list and ordered list via toolbar buttons; buttons highlight when active.</w:t>
            </w:r>
          </w:p>
        </w:tc>
      </w:tr>
      <w:tr>
        <w:tc>
          <w:tcPr>
            <w:tcW w:type="dxa" w:w="4680"/>
          </w:tcPr>
          <w:p>
            <w:pPr>
              <w:spacing w:after="40"/>
            </w:pPr>
            <w:r>
              <w:rPr>
                <w:rFonts w:ascii="Arial" w:hAnsi="Arial"/>
                <w:b/>
                <w:color w:val="C70024"/>
                <w:sz w:val="19"/>
              </w:rPr>
              <w:t>R-07</w:t>
            </w:r>
          </w:p>
        </w:tc>
        <w:tc>
          <w:tcPr>
            <w:tcW w:type="dxa" w:w="4680"/>
          </w:tcPr>
          <w:p>
            <w:pPr>
              <w:spacing w:after="40"/>
            </w:pPr>
            <w:r>
              <w:rPr>
                <w:rFonts w:ascii="Arial" w:hAnsi="Arial"/>
                <w:b w:val="0"/>
                <w:color w:val="1A100D"/>
                <w:sz w:val="20"/>
              </w:rPr>
              <w:t>The user can insert a hyperlink via an inline URL popover. Enter or Apply confirms; Escape or outside click dismisses.</w:t>
            </w:r>
          </w:p>
        </w:tc>
      </w:tr>
      <w:tr>
        <w:tc>
          <w:tcPr>
            <w:tcW w:type="dxa" w:w="4680"/>
          </w:tcPr>
          <w:p>
            <w:pPr>
              <w:spacing w:after="40"/>
            </w:pPr>
            <w:r>
              <w:rPr>
                <w:rFonts w:ascii="Arial" w:hAnsi="Arial"/>
                <w:b/>
                <w:color w:val="C70024"/>
                <w:sz w:val="19"/>
              </w:rPr>
              <w:t>R-08</w:t>
            </w:r>
          </w:p>
        </w:tc>
        <w:tc>
          <w:tcPr>
            <w:tcW w:type="dxa" w:w="4680"/>
          </w:tcPr>
          <w:p>
            <w:pPr>
              <w:spacing w:after="40"/>
            </w:pPr>
            <w:r>
              <w:rPr>
                <w:rFonts w:ascii="Arial" w:hAnsi="Arial"/>
                <w:b w:val="0"/>
                <w:color w:val="1A100D"/>
                <w:sz w:val="20"/>
              </w:rPr>
              <w:t>If the cursor is on an existing link, the Link popover must pre-fill the current href for editing.</w:t>
            </w:r>
          </w:p>
        </w:tc>
      </w:tr>
      <w:tr>
        <w:tc>
          <w:tcPr>
            <w:tcW w:type="dxa" w:w="4680"/>
          </w:tcPr>
          <w:p>
            <w:pPr>
              <w:spacing w:after="40"/>
            </w:pPr>
            <w:r>
              <w:rPr>
                <w:rFonts w:ascii="Arial" w:hAnsi="Arial"/>
                <w:b/>
                <w:color w:val="C70024"/>
                <w:sz w:val="19"/>
              </w:rPr>
              <w:t>R-09</w:t>
            </w:r>
          </w:p>
        </w:tc>
        <w:tc>
          <w:tcPr>
            <w:tcW w:type="dxa" w:w="4680"/>
          </w:tcPr>
          <w:p>
            <w:pPr>
              <w:spacing w:after="40"/>
            </w:pPr>
            <w:r>
              <w:rPr>
                <w:rFonts w:ascii="Arial" w:hAnsi="Arial"/>
                <w:b w:val="0"/>
                <w:color w:val="1A100D"/>
                <w:sz w:val="20"/>
              </w:rPr>
              <w:t>The user can insert an image by URL via an inline popover with a live thumbnail preview strip.</w:t>
            </w:r>
          </w:p>
        </w:tc>
      </w:tr>
      <w:tr>
        <w:tc>
          <w:tcPr>
            <w:tcW w:type="dxa" w:w="4680"/>
          </w:tcPr>
          <w:p>
            <w:pPr>
              <w:spacing w:after="40"/>
            </w:pPr>
            <w:r>
              <w:rPr>
                <w:rFonts w:ascii="Arial" w:hAnsi="Arial"/>
                <w:b/>
                <w:color w:val="C70024"/>
                <w:sz w:val="19"/>
              </w:rPr>
              <w:t>R-10</w:t>
            </w:r>
          </w:p>
        </w:tc>
        <w:tc>
          <w:tcPr>
            <w:tcW w:type="dxa" w:w="4680"/>
          </w:tcPr>
          <w:p>
            <w:pPr>
              <w:spacing w:after="40"/>
            </w:pPr>
            <w:r>
              <w:rPr>
                <w:rFonts w:ascii="Arial" w:hAnsi="Arial"/>
                <w:b w:val="0"/>
                <w:color w:val="1A100D"/>
                <w:sz w:val="20"/>
              </w:rPr>
              <w:t>If the image URL fails to load, the popover must display an inline error before insertion is confirmed.</w:t>
            </w:r>
          </w:p>
        </w:tc>
      </w:tr>
      <w:tr>
        <w:tc>
          <w:tcPr>
            <w:tcW w:type="dxa" w:w="4680"/>
          </w:tcPr>
          <w:p>
            <w:pPr>
              <w:spacing w:after="40"/>
            </w:pPr>
            <w:r>
              <w:rPr>
                <w:rFonts w:ascii="Arial" w:hAnsi="Arial"/>
                <w:b/>
                <w:color w:val="C70024"/>
                <w:sz w:val="19"/>
              </w:rPr>
              <w:t>R-11</w:t>
            </w:r>
          </w:p>
        </w:tc>
        <w:tc>
          <w:tcPr>
            <w:tcW w:type="dxa" w:w="4680"/>
          </w:tcPr>
          <w:p>
            <w:pPr>
              <w:spacing w:after="40"/>
            </w:pPr>
            <w:r>
              <w:rPr>
                <w:rFonts w:ascii="Arial" w:hAnsi="Arial"/>
                <w:b w:val="0"/>
                <w:color w:val="1A100D"/>
                <w:sz w:val="20"/>
              </w:rPr>
              <w:t>The user can insert a code block.</w:t>
            </w:r>
          </w:p>
        </w:tc>
      </w:tr>
      <w:tr>
        <w:tc>
          <w:tcPr>
            <w:tcW w:type="dxa" w:w="4680"/>
          </w:tcPr>
          <w:p>
            <w:pPr>
              <w:spacing w:after="40"/>
            </w:pPr>
            <w:r>
              <w:rPr>
                <w:rFonts w:ascii="Arial" w:hAnsi="Arial"/>
                <w:b/>
                <w:color w:val="C70024"/>
                <w:sz w:val="19"/>
              </w:rPr>
              <w:t>R-12</w:t>
            </w:r>
          </w:p>
        </w:tc>
        <w:tc>
          <w:tcPr>
            <w:tcW w:type="dxa" w:w="4680"/>
          </w:tcPr>
          <w:p>
            <w:pPr>
              <w:spacing w:after="40"/>
            </w:pPr>
            <w:r>
              <w:rPr>
                <w:rFonts w:ascii="Arial" w:hAnsi="Arial"/>
                <w:b w:val="0"/>
                <w:color w:val="1A100D"/>
                <w:sz w:val="20"/>
              </w:rPr>
              <w:t>The user can insert a two-column table with a header row.</w:t>
            </w:r>
          </w:p>
        </w:tc>
      </w:tr>
      <w:tr>
        <w:tc>
          <w:tcPr>
            <w:tcW w:type="dxa" w:w="4680"/>
          </w:tcPr>
          <w:p>
            <w:pPr>
              <w:spacing w:after="40"/>
            </w:pPr>
            <w:r>
              <w:rPr>
                <w:rFonts w:ascii="Arial" w:hAnsi="Arial"/>
                <w:b/>
                <w:color w:val="C70024"/>
                <w:sz w:val="19"/>
              </w:rPr>
              <w:t>R-13</w:t>
            </w:r>
          </w:p>
        </w:tc>
        <w:tc>
          <w:tcPr>
            <w:tcW w:type="dxa" w:w="4680"/>
          </w:tcPr>
          <w:p>
            <w:pPr>
              <w:spacing w:after="40"/>
            </w:pPr>
            <w:r>
              <w:rPr>
                <w:rFonts w:ascii="Arial" w:hAnsi="Arial"/>
                <w:b w:val="0"/>
                <w:color w:val="1A100D"/>
                <w:sz w:val="20"/>
              </w:rPr>
              <w:t>The user can insert a horizontal rule.</w:t>
            </w:r>
          </w:p>
        </w:tc>
      </w:tr>
      <w:tr>
        <w:tc>
          <w:tcPr>
            <w:tcW w:type="dxa" w:w="4680"/>
          </w:tcPr>
          <w:p>
            <w:pPr>
              <w:spacing w:after="40"/>
            </w:pPr>
            <w:r>
              <w:rPr>
                <w:rFonts w:ascii="Arial" w:hAnsi="Arial"/>
                <w:b/>
                <w:color w:val="C70024"/>
                <w:sz w:val="19"/>
              </w:rPr>
              <w:t>R-14</w:t>
            </w:r>
          </w:p>
        </w:tc>
        <w:tc>
          <w:tcPr>
            <w:tcW w:type="dxa" w:w="4680"/>
          </w:tcPr>
          <w:p>
            <w:pPr>
              <w:spacing w:after="40"/>
            </w:pPr>
            <w:r>
              <w:rPr>
                <w:rFonts w:ascii="Arial" w:hAnsi="Arial"/>
                <w:b w:val="0"/>
                <w:color w:val="1A100D"/>
                <w:sz w:val="20"/>
              </w:rPr>
              <w:t>The user can undo and redo any editing action.</w:t>
            </w:r>
          </w:p>
        </w:tc>
      </w:tr>
      <w:tr>
        <w:tc>
          <w:tcPr>
            <w:tcW w:type="dxa" w:w="4680"/>
          </w:tcPr>
          <w:p>
            <w:pPr>
              <w:spacing w:after="40"/>
            </w:pPr>
            <w:r>
              <w:rPr>
                <w:rFonts w:ascii="Arial" w:hAnsi="Arial"/>
                <w:b/>
                <w:color w:val="C70024"/>
                <w:sz w:val="19"/>
              </w:rPr>
              <w:t>R-15</w:t>
            </w:r>
          </w:p>
        </w:tc>
        <w:tc>
          <w:tcPr>
            <w:tcW w:type="dxa" w:w="4680"/>
          </w:tcPr>
          <w:p>
            <w:pPr>
              <w:spacing w:after="40"/>
            </w:pPr>
            <w:r>
              <w:rPr>
                <w:rFonts w:ascii="Arial" w:hAnsi="Arial"/>
                <w:b w:val="0"/>
                <w:color w:val="1A100D"/>
                <w:sz w:val="20"/>
              </w:rPr>
              <w:t>Selecting a template must reset the editor to that template's HTML content.</w:t>
            </w:r>
          </w:p>
        </w:tc>
      </w:tr>
      <w:tr>
        <w:tc>
          <w:tcPr>
            <w:tcW w:type="dxa" w:w="4680"/>
          </w:tcPr>
          <w:p>
            <w:pPr>
              <w:spacing w:after="40"/>
            </w:pPr>
            <w:r>
              <w:rPr>
                <w:rFonts w:ascii="Arial" w:hAnsi="Arial"/>
                <w:b/>
                <w:color w:val="C70024"/>
                <w:sz w:val="19"/>
              </w:rPr>
              <w:t>R-16</w:t>
            </w:r>
          </w:p>
        </w:tc>
        <w:tc>
          <w:tcPr>
            <w:tcW w:type="dxa" w:w="4680"/>
          </w:tcPr>
          <w:p>
            <w:pPr>
              <w:spacing w:after="40"/>
            </w:pPr>
            <w:r>
              <w:rPr>
                <w:rFonts w:ascii="Arial" w:hAnsi="Arial"/>
                <w:b w:val="0"/>
                <w:color w:val="1A100D"/>
                <w:sz w:val="20"/>
              </w:rPr>
              <w:t>The editor must call onChange(html) on every content change, keeping the parent editorHtml state current.</w:t>
            </w:r>
          </w:p>
        </w:tc>
      </w:tr>
      <w:tr>
        <w:tc>
          <w:tcPr>
            <w:tcW w:type="dxa" w:w="4680"/>
          </w:tcPr>
          <w:p>
            <w:pPr>
              <w:spacing w:after="40"/>
            </w:pPr>
            <w:r>
              <w:rPr>
                <w:rFonts w:ascii="Arial" w:hAnsi="Arial"/>
                <w:b/>
                <w:color w:val="C70024"/>
                <w:sz w:val="19"/>
              </w:rPr>
              <w:t>R-17</w:t>
            </w:r>
          </w:p>
        </w:tc>
        <w:tc>
          <w:tcPr>
            <w:tcW w:type="dxa" w:w="4680"/>
          </w:tcPr>
          <w:p>
            <w:pPr>
              <w:spacing w:after="40"/>
            </w:pPr>
            <w:r>
              <w:rPr>
                <w:rFonts w:ascii="Arial" w:hAnsi="Arial"/>
                <w:b w:val="0"/>
                <w:color w:val="1A100D"/>
                <w:sz w:val="20"/>
              </w:rPr>
              <w:t>buildMarkdown() and renderPreviewNodes() must receive the same HTML contract as today. No changes to those functions are permitted.</w:t>
            </w:r>
          </w:p>
        </w:tc>
      </w:tr>
      <w:tr>
        <w:tc>
          <w:tcPr>
            <w:tcW w:type="dxa" w:w="4680"/>
          </w:tcPr>
          <w:p>
            <w:pPr>
              <w:spacing w:after="40"/>
            </w:pPr>
            <w:r>
              <w:rPr>
                <w:rFonts w:ascii="Arial" w:hAnsi="Arial"/>
                <w:b/>
                <w:color w:val="C70024"/>
                <w:sz w:val="19"/>
              </w:rPr>
              <w:t>R-18</w:t>
            </w:r>
          </w:p>
        </w:tc>
        <w:tc>
          <w:tcPr>
            <w:tcW w:type="dxa" w:w="4680"/>
          </w:tcPr>
          <w:p>
            <w:pPr>
              <w:spacing w:after="40"/>
            </w:pPr>
            <w:r>
              <w:rPr>
                <w:rFonts w:ascii="Arial" w:hAnsi="Arial"/>
                <w:b w:val="0"/>
                <w:color w:val="1A100D"/>
                <w:sz w:val="20"/>
              </w:rPr>
              <w:t>The system must not call document.execCommand or window.prompt anywhere in the editor flow.</w:t>
            </w:r>
          </w:p>
        </w:tc>
      </w:tr>
      <w:tr>
        <w:tc>
          <w:tcPr>
            <w:tcW w:type="dxa" w:w="4680"/>
          </w:tcPr>
          <w:p>
            <w:pPr>
              <w:spacing w:after="40"/>
            </w:pPr>
            <w:r>
              <w:rPr>
                <w:rFonts w:ascii="Arial" w:hAnsi="Arial"/>
                <w:b/>
                <w:color w:val="C70024"/>
                <w:sz w:val="19"/>
              </w:rPr>
              <w:t>R-19</w:t>
            </w:r>
          </w:p>
        </w:tc>
        <w:tc>
          <w:tcPr>
            <w:tcW w:type="dxa" w:w="4680"/>
          </w:tcPr>
          <w:p>
            <w:pPr>
              <w:spacing w:after="40"/>
            </w:pPr>
            <w:r>
              <w:rPr>
                <w:rFonts w:ascii="Arial" w:hAnsi="Arial"/>
                <w:b w:val="0"/>
                <w:color w:val="1A100D"/>
                <w:sz w:val="20"/>
              </w:rPr>
              <w:t>The editor must render correctly in both en-US and ja-JP locales without copy changes.</w:t>
            </w:r>
          </w:p>
        </w:tc>
      </w:tr>
    </w:tbl>
    <w:p>
      <w:pPr>
        <w:spacing w:after="160" w:before="0"/>
      </w:pPr>
    </w:p>
    <w:p>
      <w:pPr>
        <w:pBdr>
          <w:left w:val="single" w:sz="18" w:space="10" w:color="C70024"/>
        </w:pBdr>
        <w:spacing w:before="360" w:after="120"/>
      </w:pPr>
      <w:r>
        <w:rPr>
          <w:rFonts w:ascii="Arial" w:hAnsi="Arial"/>
          <w:b/>
          <w:color w:val="C70024"/>
          <w:sz w:val="22"/>
          <w:spacing w:val="40"/>
        </w:rPr>
        <w:t>8.  TECHNICAL APPROACH</w:t>
      </w:r>
    </w:p>
    <w:p>
      <w:pPr>
        <w:spacing w:before="240" w:after="60"/>
      </w:pPr>
      <w:r>
        <w:rPr>
          <w:rFonts w:ascii="Arial" w:hAnsi="Arial"/>
          <w:b/>
          <w:color w:val="1A100D"/>
          <w:sz w:val="22"/>
        </w:rPr>
        <w:t>Packages to install</w:t>
      </w:r>
    </w:p>
    <w:tbl>
      <w:tblPr>
        <w:tblStyle w:val="TableGrid"/>
        <w:tblW w:type="auto" w:w="0"/>
        <w:tblLook w:firstColumn="1" w:firstRow="1" w:lastColumn="0" w:lastRow="0" w:noHBand="0" w:noVBand="1" w:val="04A0"/>
      </w:tblPr>
      <w:tblGrid>
        <w:gridCol w:w="4680"/>
        <w:gridCol w:w="4680"/>
      </w:tblGrid>
      <w:tr>
        <w:tc>
          <w:tcPr>
            <w:tcW w:type="dxa" w:w="4680"/>
            <w:shd w:val="clear" w:color="auto" w:fill="1A100D"/>
            <w:tcW w:w="2600" w:type="dxa"/>
          </w:tcPr>
          <w:p>
            <w:pPr>
              <w:spacing w:after="40"/>
            </w:pPr>
            <w:r>
              <w:rPr>
                <w:rFonts w:ascii="Arial" w:hAnsi="Arial"/>
                <w:b/>
                <w:color w:val="FFFFFF"/>
                <w:sz w:val="20"/>
              </w:rPr>
              <w:t>Package</w:t>
            </w:r>
          </w:p>
        </w:tc>
        <w:tc>
          <w:tcPr>
            <w:tcW w:type="dxa" w:w="4680"/>
            <w:shd w:val="clear" w:color="auto" w:fill="1A100D"/>
            <w:tcW w:w="6400" w:type="dxa"/>
          </w:tcPr>
          <w:p>
            <w:pPr>
              <w:spacing w:after="40"/>
            </w:pPr>
            <w:r>
              <w:rPr>
                <w:rFonts w:ascii="Arial" w:hAnsi="Arial"/>
                <w:b/>
                <w:color w:val="FFFFFF"/>
                <w:sz w:val="20"/>
              </w:rPr>
              <w:t>Purpose</w:t>
            </w:r>
          </w:p>
        </w:tc>
      </w:tr>
      <w:tr>
        <w:tc>
          <w:tcPr>
            <w:tcW w:type="dxa" w:w="4680"/>
          </w:tcPr>
          <w:p>
            <w:pPr>
              <w:spacing w:after="40"/>
            </w:pPr>
            <w:r>
              <w:rPr>
                <w:rFonts w:ascii="Courier New" w:hAnsi="Courier New"/>
                <w:b w:val="0"/>
                <w:color w:val="C70024"/>
                <w:sz w:val="19"/>
              </w:rPr>
              <w:t>@tiptap/react</w:t>
            </w:r>
          </w:p>
        </w:tc>
        <w:tc>
          <w:tcPr>
            <w:tcW w:type="dxa" w:w="4680"/>
          </w:tcPr>
          <w:p>
            <w:pPr>
              <w:spacing w:after="40"/>
            </w:pPr>
            <w:r>
              <w:rPr>
                <w:rFonts w:ascii="Arial" w:hAnsi="Arial"/>
                <w:b w:val="0"/>
                <w:color w:val="1A100D"/>
                <w:sz w:val="20"/>
              </w:rPr>
              <w:t>React integration; useEditor hook and EditorContent component.</w:t>
            </w:r>
          </w:p>
        </w:tc>
      </w:tr>
      <w:tr>
        <w:tc>
          <w:tcPr>
            <w:tcW w:type="dxa" w:w="4680"/>
          </w:tcPr>
          <w:p>
            <w:pPr>
              <w:spacing w:after="40"/>
            </w:pPr>
            <w:r>
              <w:rPr>
                <w:rFonts w:ascii="Courier New" w:hAnsi="Courier New"/>
                <w:b w:val="0"/>
                <w:color w:val="C70024"/>
                <w:sz w:val="19"/>
              </w:rPr>
              <w:t>@tiptap/pm</w:t>
            </w:r>
          </w:p>
        </w:tc>
        <w:tc>
          <w:tcPr>
            <w:tcW w:type="dxa" w:w="4680"/>
          </w:tcPr>
          <w:p>
            <w:pPr>
              <w:spacing w:after="40"/>
            </w:pPr>
            <w:r>
              <w:rPr>
                <w:rFonts w:ascii="Arial" w:hAnsi="Arial"/>
                <w:b w:val="0"/>
                <w:color w:val="1A100D"/>
                <w:sz w:val="20"/>
              </w:rPr>
              <w:t>ProseMirror peer dependency required by Tiptap.</w:t>
            </w:r>
          </w:p>
        </w:tc>
      </w:tr>
      <w:tr>
        <w:tc>
          <w:tcPr>
            <w:tcW w:type="dxa" w:w="4680"/>
          </w:tcPr>
          <w:p>
            <w:pPr>
              <w:spacing w:after="40"/>
            </w:pPr>
            <w:r>
              <w:rPr>
                <w:rFonts w:ascii="Courier New" w:hAnsi="Courier New"/>
                <w:b w:val="0"/>
                <w:color w:val="C70024"/>
                <w:sz w:val="19"/>
              </w:rPr>
              <w:t>@tiptap/starter-kit</w:t>
            </w:r>
          </w:p>
        </w:tc>
        <w:tc>
          <w:tcPr>
            <w:tcW w:type="dxa" w:w="4680"/>
          </w:tcPr>
          <w:p>
            <w:pPr>
              <w:spacing w:after="40"/>
            </w:pPr>
            <w:r>
              <w:rPr>
                <w:rFonts w:ascii="Arial" w:hAnsi="Arial"/>
                <w:b w:val="0"/>
                <w:color w:val="1A100D"/>
                <w:sz w:val="20"/>
              </w:rPr>
              <w:t>Bundles: Document, Paragraph, Text, Bold, Italic, Heading (H1–H3), BulletList, OrderedList, Blockquote, CodeBlock, HorizontalRule, History (undo/redo).</w:t>
            </w:r>
          </w:p>
        </w:tc>
      </w:tr>
      <w:tr>
        <w:tc>
          <w:tcPr>
            <w:tcW w:type="dxa" w:w="4680"/>
          </w:tcPr>
          <w:p>
            <w:pPr>
              <w:spacing w:after="40"/>
            </w:pPr>
            <w:r>
              <w:rPr>
                <w:rFonts w:ascii="Courier New" w:hAnsi="Courier New"/>
                <w:b w:val="0"/>
                <w:color w:val="C70024"/>
                <w:sz w:val="19"/>
              </w:rPr>
              <w:t>@tiptap/extension-underline</w:t>
            </w:r>
          </w:p>
        </w:tc>
        <w:tc>
          <w:tcPr>
            <w:tcW w:type="dxa" w:w="4680"/>
          </w:tcPr>
          <w:p>
            <w:pPr>
              <w:spacing w:after="40"/>
            </w:pPr>
            <w:r>
              <w:rPr>
                <w:rFonts w:ascii="Arial" w:hAnsi="Arial"/>
                <w:b w:val="0"/>
                <w:color w:val="1A100D"/>
                <w:sz w:val="20"/>
              </w:rPr>
              <w:t>Underline formatting.</w:t>
            </w:r>
          </w:p>
        </w:tc>
      </w:tr>
      <w:tr>
        <w:tc>
          <w:tcPr>
            <w:tcW w:type="dxa" w:w="4680"/>
          </w:tcPr>
          <w:p>
            <w:pPr>
              <w:spacing w:after="40"/>
            </w:pPr>
            <w:r>
              <w:rPr>
                <w:rFonts w:ascii="Courier New" w:hAnsi="Courier New"/>
                <w:b w:val="0"/>
                <w:color w:val="C70024"/>
                <w:sz w:val="19"/>
              </w:rPr>
              <w:t>@tiptap/extension-link</w:t>
            </w:r>
          </w:p>
        </w:tc>
        <w:tc>
          <w:tcPr>
            <w:tcW w:type="dxa" w:w="4680"/>
          </w:tcPr>
          <w:p>
            <w:pPr>
              <w:spacing w:after="40"/>
            </w:pPr>
            <w:r>
              <w:rPr>
                <w:rFonts w:ascii="Arial" w:hAnsi="Arial"/>
                <w:b w:val="0"/>
                <w:color w:val="1A100D"/>
                <w:sz w:val="20"/>
              </w:rPr>
              <w:t>Hyperlink with href read/write via editor.getAttributes('link').</w:t>
            </w:r>
          </w:p>
        </w:tc>
      </w:tr>
      <w:tr>
        <w:tc>
          <w:tcPr>
            <w:tcW w:type="dxa" w:w="4680"/>
          </w:tcPr>
          <w:p>
            <w:pPr>
              <w:spacing w:after="40"/>
            </w:pPr>
            <w:r>
              <w:rPr>
                <w:rFonts w:ascii="Courier New" w:hAnsi="Courier New"/>
                <w:b w:val="0"/>
                <w:color w:val="C70024"/>
                <w:sz w:val="19"/>
              </w:rPr>
              <w:t>@tiptap/extension-image</w:t>
            </w:r>
          </w:p>
        </w:tc>
        <w:tc>
          <w:tcPr>
            <w:tcW w:type="dxa" w:w="4680"/>
          </w:tcPr>
          <w:p>
            <w:pPr>
              <w:spacing w:after="40"/>
            </w:pPr>
            <w:r>
              <w:rPr>
                <w:rFonts w:ascii="Arial" w:hAnsi="Arial"/>
                <w:b w:val="0"/>
                <w:color w:val="1A100D"/>
                <w:sz w:val="20"/>
              </w:rPr>
              <w:t>Image node with src attribute.</w:t>
            </w:r>
          </w:p>
        </w:tc>
      </w:tr>
      <w:tr>
        <w:tc>
          <w:tcPr>
            <w:tcW w:type="dxa" w:w="4680"/>
          </w:tcPr>
          <w:p>
            <w:pPr>
              <w:spacing w:after="40"/>
            </w:pPr>
            <w:r>
              <w:rPr>
                <w:rFonts w:ascii="Courier New" w:hAnsi="Courier New"/>
                <w:b w:val="0"/>
                <w:color w:val="C70024"/>
                <w:sz w:val="19"/>
              </w:rPr>
              <w:t>@tiptap/extension-table</w:t>
            </w:r>
          </w:p>
        </w:tc>
        <w:tc>
          <w:tcPr>
            <w:tcW w:type="dxa" w:w="4680"/>
          </w:tcPr>
          <w:p>
            <w:pPr>
              <w:spacing w:after="40"/>
            </w:pPr>
            <w:r>
              <w:rPr>
                <w:rFonts w:ascii="Arial" w:hAnsi="Arial"/>
                <w:b w:val="0"/>
                <w:color w:val="1A100D"/>
                <w:sz w:val="20"/>
              </w:rPr>
              <w:t>Table, TableRow, TableHeader, TableCell nodes.</w:t>
            </w:r>
          </w:p>
        </w:tc>
      </w:tr>
    </w:tbl>
    <w:p>
      <w:pPr>
        <w:spacing w:after="160" w:before="0"/>
      </w:pPr>
    </w:p>
    <w:p>
      <w:pPr>
        <w:spacing w:before="240" w:after="60"/>
      </w:pPr>
      <w:r>
        <w:rPr>
          <w:rFonts w:ascii="Arial" w:hAnsi="Arial"/>
          <w:b/>
          <w:color w:val="1A100D"/>
          <w:sz w:val="22"/>
        </w:rPr>
        <w:t>Component architecture</w:t>
      </w:r>
    </w:p>
    <w:p>
      <w:pPr>
        <w:spacing w:before="0" w:after="100"/>
      </w:pPr>
      <w:r>
        <w:rPr>
          <w:rFonts w:ascii="Arial" w:hAnsi="Arial"/>
          <w:b w:val="0"/>
          <w:i w:val="0"/>
          <w:color w:val="1A100D"/>
          <w:sz w:val="21"/>
        </w:rPr>
        <w:t>A new TiptapEditor component is added inline in src/pages/contribute/index.js. It accepts two props: initialHtml (string) and onChange (function). It owns the toolbar, the URL popovers, and the EditorContent surface. The parent component continues to hold editorHtml state as the single source of truth — the same pattern as today.</w:t>
      </w:r>
    </w:p>
    <w:p>
      <w:pPr>
        <w:spacing w:before="240" w:after="60"/>
      </w:pPr>
      <w:r>
        <w:rPr>
          <w:rFonts w:ascii="Arial" w:hAnsi="Arial"/>
          <w:b/>
          <w:color w:val="1A100D"/>
          <w:sz w:val="22"/>
        </w:rPr>
        <w:t>Template switching</w:t>
      </w:r>
    </w:p>
    <w:p>
      <w:pPr>
        <w:spacing w:before="0" w:after="100"/>
      </w:pPr>
      <w:r>
        <w:rPr>
          <w:rFonts w:ascii="Arial" w:hAnsi="Arial"/>
          <w:b w:val="0"/>
          <w:i w:val="0"/>
          <w:color w:val="1A100D"/>
          <w:sz w:val="21"/>
        </w:rPr>
        <w:t>key={selectedTemplate} is applied to TiptapEditor. When the author picks a new template, React unmounts and remounts the editor with the new initialHtml. This is a clean, zero-stale-state approach with no imperative editor.commands calls needed from the parent.</w:t>
      </w:r>
    </w:p>
    <w:p>
      <w:pPr>
        <w:spacing w:before="240" w:after="60"/>
      </w:pPr>
      <w:r>
        <w:rPr>
          <w:rFonts w:ascii="Arial" w:hAnsi="Arial"/>
          <w:b/>
          <w:color w:val="1A100D"/>
          <w:sz w:val="22"/>
        </w:rPr>
        <w:t>HTML contract</w:t>
      </w:r>
    </w:p>
    <w:p>
      <w:pPr>
        <w:spacing w:before="0" w:after="100"/>
      </w:pPr>
      <w:r>
        <w:rPr>
          <w:rFonts w:ascii="Arial" w:hAnsi="Arial"/>
          <w:b w:val="0"/>
          <w:i w:val="0"/>
          <w:color w:val="1A100D"/>
          <w:sz w:val="21"/>
        </w:rPr>
        <w:t>editor.getHTML() is called inside TiptapEditor's onUpdate handler and passed to onChange. The parent passes the result to buildMarkdown() and renderPreviewNodes() identically to today. Tiptap outputs standard semantic HTML (strong, em, ul, ol, blockquote, pre &gt; code, table, hr) — the existing convertNodeToMarkdown() function handles all of these tags already.</w:t>
      </w:r>
    </w:p>
    <w:p>
      <w:pPr>
        <w:spacing w:before="240" w:after="60"/>
      </w:pPr>
      <w:r>
        <w:rPr>
          <w:rFonts w:ascii="Arial" w:hAnsi="Arial"/>
          <w:b/>
          <w:color w:val="1A100D"/>
          <w:sz w:val="22"/>
        </w:rPr>
        <w:t>CSS changes (editor area only)</w:t>
      </w:r>
    </w:p>
    <w:p>
      <w:pPr>
        <w:pStyle w:val="ListBullet"/>
        <w:spacing w:before="20" w:after="40"/>
        <w:ind w:left="360"/>
      </w:pPr>
      <w:r>
        <w:rPr>
          <w:rFonts w:ascii="Arial" w:hAnsi="Arial"/>
          <w:b w:val="0"/>
          <w:color w:val="1A100D"/>
          <w:sz w:val="21"/>
        </w:rPr>
        <w:t>.editorSurface:focus  →  .editorSurface:focus-within  (Tiptap focuses the inner ProseMirror div, not the wrapper).</w:t>
      </w:r>
    </w:p>
    <w:p>
      <w:pPr>
        <w:pStyle w:val="ListBullet"/>
        <w:spacing w:before="20" w:after="40"/>
        <w:ind w:left="360"/>
      </w:pPr>
      <w:r>
        <w:rPr>
          <w:rFonts w:ascii="Arial" w:hAnsi="Arial"/>
          <w:b w:val="0"/>
          <w:color w:val="1A100D"/>
          <w:sz w:val="21"/>
        </w:rPr>
        <w:t>Add  .editorSurface .ProseMirror { outline: none }  to suppress the browser's default double focus ring.</w:t>
      </w:r>
    </w:p>
    <w:p>
      <w:pPr>
        <w:pStyle w:val="ListBullet"/>
        <w:spacing w:before="20" w:after="40"/>
        <w:ind w:left="360"/>
      </w:pPr>
      <w:r>
        <w:rPr>
          <w:rFonts w:ascii="Arial" w:hAnsi="Arial"/>
          <w:b w:val="0"/>
          <w:color w:val="1A100D"/>
          <w:sz w:val="21"/>
        </w:rPr>
        <w:t>Add  .toolbarButtonActive  for the red-glow active state on toolbar buttons.</w:t>
      </w:r>
    </w:p>
    <w:p>
      <w:pPr>
        <w:spacing w:before="240" w:after="60"/>
      </w:pPr>
      <w:r>
        <w:rPr>
          <w:rFonts w:ascii="Arial" w:hAnsi="Arial"/>
          <w:b/>
          <w:color w:val="1A100D"/>
          <w:sz w:val="22"/>
        </w:rPr>
        <w:t>Removed code</w:t>
      </w:r>
    </w:p>
    <w:p>
      <w:pPr>
        <w:pStyle w:val="ListBullet"/>
        <w:spacing w:before="20" w:after="40"/>
        <w:ind w:left="360"/>
      </w:pPr>
      <w:r>
        <w:rPr>
          <w:rFonts w:ascii="Arial" w:hAnsi="Arial"/>
          <w:b w:val="0"/>
          <w:color w:val="1A100D"/>
          <w:sz w:val="21"/>
        </w:rPr>
        <w:t>applyCommand, insertLink, insertImage, insertDivider, insertCodeBlock, insertTable functions.</w:t>
      </w:r>
    </w:p>
    <w:p>
      <w:pPr>
        <w:pStyle w:val="ListBullet"/>
        <w:spacing w:before="20" w:after="40"/>
        <w:ind w:left="360"/>
      </w:pPr>
      <w:r>
        <w:rPr>
          <w:rFonts w:ascii="Arial" w:hAnsi="Arial"/>
          <w:b w:val="0"/>
          <w:color w:val="1A100D"/>
          <w:sz w:val="21"/>
        </w:rPr>
        <w:t>editorRef and the useEffect that synced editorHtml → DOM.</w:t>
      </w:r>
    </w:p>
    <w:p>
      <w:pPr>
        <w:pStyle w:val="ListBullet"/>
        <w:spacing w:before="20" w:after="40"/>
        <w:ind w:left="360"/>
      </w:pPr>
      <w:r>
        <w:rPr>
          <w:rFonts w:ascii="Arial" w:hAnsi="Arial"/>
          <w:b w:val="0"/>
          <w:color w:val="1A100D"/>
          <w:sz w:val="21"/>
        </w:rPr>
        <w:t>ToolbarButton component (replaced by a richer icon-button version inside TiptapEditor).</w:t>
      </w:r>
    </w:p>
    <w:p>
      <w:pPr>
        <w:pStyle w:val="ListBullet"/>
        <w:spacing w:before="20" w:after="40"/>
        <w:ind w:left="360"/>
      </w:pPr>
      <w:r>
        <w:rPr>
          <w:rFonts w:ascii="Arial" w:hAnsi="Arial"/>
          <w:b w:val="0"/>
          <w:color w:val="1A100D"/>
          <w:sz w:val="21"/>
        </w:rPr>
        <w:t>All document.execCommand and window.prompt calls.</w:t>
      </w:r>
    </w:p>
    <w:p>
      <w:pPr>
        <w:spacing w:before="240" w:after="60"/>
      </w:pPr>
      <w:r>
        <w:rPr>
          <w:rFonts w:ascii="Arial" w:hAnsi="Arial"/>
          <w:b/>
          <w:color w:val="1A100D"/>
          <w:sz w:val="22"/>
        </w:rPr>
        <w:t>Performance</w:t>
      </w:r>
    </w:p>
    <w:p>
      <w:pPr>
        <w:spacing w:before="0" w:after="100"/>
      </w:pPr>
      <w:r>
        <w:rPr>
          <w:rFonts w:ascii="Arial" w:hAnsi="Arial"/>
          <w:b w:val="0"/>
          <w:i w:val="0"/>
          <w:color w:val="1A100D"/>
          <w:sz w:val="21"/>
        </w:rPr>
        <w:t>Tiptap + ProseMirror adds approximately 80–120 KB gzipped to the page bundle. This is acceptable for an authoring tool page. The Contribution Studio is not part of the main documentation site bundle; it loads only when the user navigates to /contribute.</w:t>
      </w:r>
    </w:p>
    <w:p>
      <w:pPr>
        <w:spacing w:before="240" w:after="60"/>
      </w:pPr>
      <w:r>
        <w:rPr>
          <w:rFonts w:ascii="Arial" w:hAnsi="Arial"/>
          <w:b/>
          <w:color w:val="1A100D"/>
          <w:sz w:val="22"/>
        </w:rPr>
        <w:t>SSR safety</w:t>
      </w:r>
    </w:p>
    <w:p>
      <w:pPr>
        <w:spacing w:before="0" w:after="100"/>
      </w:pPr>
      <w:r>
        <w:rPr>
          <w:rFonts w:ascii="Arial" w:hAnsi="Arial"/>
          <w:b w:val="0"/>
          <w:i w:val="0"/>
          <w:color w:val="1A100D"/>
          <w:sz w:val="21"/>
        </w:rPr>
        <w:t>Docusaurus performs server-side rendering. useEditor returns null on the server and EditorContent renders an empty div — identical to how React hydration handles browser-only components. No BrowserOnly wrapper is required.</w:t>
      </w:r>
    </w:p>
    <w:p>
      <w:pPr>
        <w:spacing w:after="80" w:before="0"/>
      </w:pPr>
    </w:p>
    <w:p>
      <w:pPr>
        <w:pBdr>
          <w:left w:val="single" w:sz="18" w:space="10" w:color="C70024"/>
        </w:pBdr>
        <w:spacing w:before="360" w:after="120"/>
      </w:pPr>
      <w:r>
        <w:rPr>
          <w:rFonts w:ascii="Arial" w:hAnsi="Arial"/>
          <w:b/>
          <w:color w:val="C70024"/>
          <w:sz w:val="22"/>
          <w:spacing w:val="40"/>
        </w:rPr>
        <w:t>9.  RISKS AND TRADEOFFS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00D"/>
            <w:tcW w:w="2200" w:type="dxa"/>
          </w:tcPr>
          <w:p>
            <w:pPr>
              <w:spacing w:after="40"/>
            </w:pPr>
            <w:r>
              <w:rPr>
                <w:rFonts w:ascii="Arial" w:hAnsi="Arial"/>
                <w:b/>
                <w:color w:val="FFFFFF"/>
                <w:sz w:val="20"/>
              </w:rPr>
              <w:t>Risk</w:t>
            </w:r>
          </w:p>
        </w:tc>
        <w:tc>
          <w:tcPr>
            <w:tcW w:type="dxa" w:w="3120"/>
            <w:shd w:val="clear" w:color="auto" w:fill="1A100D"/>
            <w:tcW w:w="3800" w:type="dxa"/>
          </w:tcPr>
          <w:p>
            <w:pPr>
              <w:spacing w:after="40"/>
            </w:pPr>
            <w:r>
              <w:rPr>
                <w:rFonts w:ascii="Arial" w:hAnsi="Arial"/>
                <w:b/>
                <w:color w:val="FFFFFF"/>
                <w:sz w:val="20"/>
              </w:rPr>
              <w:t>Impact</w:t>
            </w:r>
          </w:p>
        </w:tc>
        <w:tc>
          <w:tcPr>
            <w:tcW w:type="dxa" w:w="3120"/>
            <w:shd w:val="clear" w:color="auto" w:fill="1A100D"/>
            <w:tcW w:w="3000" w:type="dxa"/>
          </w:tcPr>
          <w:p>
            <w:pPr>
              <w:spacing w:after="40"/>
            </w:pPr>
            <w:r>
              <w:rPr>
                <w:rFonts w:ascii="Arial" w:hAnsi="Arial"/>
                <w:b/>
                <w:color w:val="FFFFFF"/>
                <w:sz w:val="20"/>
              </w:rPr>
              <w:t>Mitigation</w:t>
            </w:r>
          </w:p>
        </w:tc>
      </w:tr>
      <w:tr>
        <w:tc>
          <w:tcPr>
            <w:tcW w:type="dxa" w:w="3120"/>
          </w:tcPr>
          <w:p>
            <w:pPr>
              <w:spacing w:after="40"/>
            </w:pPr>
            <w:r>
              <w:rPr>
                <w:rFonts w:ascii="Arial" w:hAnsi="Arial"/>
                <w:b w:val="0"/>
                <w:color w:val="1A100D"/>
                <w:sz w:val="19"/>
              </w:rPr>
              <w:t>Tiptap HTML output differs from execCommand HTML</w:t>
            </w:r>
          </w:p>
        </w:tc>
        <w:tc>
          <w:tcPr>
            <w:tcW w:type="dxa" w:w="3120"/>
          </w:tcPr>
          <w:p>
            <w:pPr>
              <w:spacing w:after="40"/>
            </w:pPr>
            <w:r>
              <w:rPr>
                <w:rFonts w:ascii="Arial" w:hAnsi="Arial"/>
                <w:b w:val="0"/>
                <w:color w:val="1A100D"/>
                <w:sz w:val="19"/>
              </w:rPr>
              <w:t>Markdown conversion could regress if new tags appear.</w:t>
            </w:r>
          </w:p>
        </w:tc>
        <w:tc>
          <w:tcPr>
            <w:tcW w:type="dxa" w:w="3120"/>
          </w:tcPr>
          <w:p>
            <w:pPr>
              <w:spacing w:after="40"/>
            </w:pPr>
            <w:r>
              <w:rPr>
                <w:rFonts w:ascii="Arial" w:hAnsi="Arial"/>
                <w:b w:val="0"/>
                <w:color w:val="1A100D"/>
                <w:sz w:val="19"/>
              </w:rPr>
              <w:t>Tiptap uses strong/em/ul/ol/blockquote — all already handled in convertNodeToMarkdown(). Both b/strong and i/em aliases are covered. Validated against all 5 templates before merge.</w:t>
            </w:r>
          </w:p>
        </w:tc>
      </w:tr>
      <w:tr>
        <w:tc>
          <w:tcPr>
            <w:tcW w:type="dxa" w:w="3120"/>
          </w:tcPr>
          <w:p>
            <w:pPr>
              <w:spacing w:after="40"/>
            </w:pPr>
            <w:r>
              <w:rPr>
                <w:rFonts w:ascii="Arial" w:hAnsi="Arial"/>
                <w:b w:val="0"/>
                <w:color w:val="1A100D"/>
                <w:sz w:val="19"/>
              </w:rPr>
              <w:t>ProseMirror adds data-* and class attributes to DOM nodes</w:t>
            </w:r>
          </w:p>
        </w:tc>
        <w:tc>
          <w:tcPr>
            <w:tcW w:type="dxa" w:w="3120"/>
          </w:tcPr>
          <w:p>
            <w:pPr>
              <w:spacing w:after="40"/>
            </w:pPr>
            <w:r>
              <w:rPr>
                <w:rFonts w:ascii="Arial" w:hAnsi="Arial"/>
                <w:b w:val="0"/>
                <w:color w:val="1A100D"/>
                <w:sz w:val="19"/>
              </w:rPr>
              <w:t>These could leak into the Markdown output.</w:t>
            </w:r>
          </w:p>
        </w:tc>
        <w:tc>
          <w:tcPr>
            <w:tcW w:type="dxa" w:w="3120"/>
          </w:tcPr>
          <w:p>
            <w:pPr>
              <w:spacing w:after="40"/>
            </w:pPr>
            <w:r>
              <w:rPr>
                <w:rFonts w:ascii="Arial" w:hAnsi="Arial"/>
                <w:b w:val="0"/>
                <w:color w:val="1A100D"/>
                <w:sz w:val="19"/>
              </w:rPr>
              <w:t>buildMarkdown() uses DOMParser on the HTML string; ProseMirror attributes are on the editor DOM, not in getHTML() output. No impact.</w:t>
            </w:r>
          </w:p>
        </w:tc>
      </w:tr>
      <w:tr>
        <w:tc>
          <w:tcPr>
            <w:tcW w:type="dxa" w:w="3120"/>
          </w:tcPr>
          <w:p>
            <w:pPr>
              <w:spacing w:after="40"/>
            </w:pPr>
            <w:r>
              <w:rPr>
                <w:rFonts w:ascii="Arial" w:hAnsi="Arial"/>
                <w:b w:val="0"/>
                <w:color w:val="1A100D"/>
                <w:sz w:val="19"/>
              </w:rPr>
              <w:t>Bundle size increase (~100 KB gzipped)</w:t>
            </w:r>
          </w:p>
        </w:tc>
        <w:tc>
          <w:tcPr>
            <w:tcW w:type="dxa" w:w="3120"/>
          </w:tcPr>
          <w:p>
            <w:pPr>
              <w:spacing w:after="40"/>
            </w:pPr>
            <w:r>
              <w:rPr>
                <w:rFonts w:ascii="Arial" w:hAnsi="Arial"/>
                <w:b w:val="0"/>
                <w:color w:val="1A100D"/>
                <w:sz w:val="19"/>
              </w:rPr>
              <w:t>Slower first load on /contribute for users on slow connections.</w:t>
            </w:r>
          </w:p>
        </w:tc>
        <w:tc>
          <w:tcPr>
            <w:tcW w:type="dxa" w:w="3120"/>
          </w:tcPr>
          <w:p>
            <w:pPr>
              <w:spacing w:after="40"/>
            </w:pPr>
            <w:r>
              <w:rPr>
                <w:rFonts w:ascii="Arial" w:hAnsi="Arial"/>
                <w:b w:val="0"/>
                <w:color w:val="1A100D"/>
                <w:sz w:val="19"/>
              </w:rPr>
              <w:t>Acceptable: /contribute is an authoring page, not a high-traffic doc page. Tiptap is lazily loaded with the route.</w:t>
            </w:r>
          </w:p>
        </w:tc>
      </w:tr>
      <w:tr>
        <w:tc>
          <w:tcPr>
            <w:tcW w:type="dxa" w:w="3120"/>
          </w:tcPr>
          <w:p>
            <w:pPr>
              <w:spacing w:after="40"/>
            </w:pPr>
            <w:r>
              <w:rPr>
                <w:rFonts w:ascii="Arial" w:hAnsi="Arial"/>
                <w:b w:val="0"/>
                <w:color w:val="1A100D"/>
                <w:sz w:val="19"/>
              </w:rPr>
              <w:t>SSR hydration mismatch</w:t>
            </w:r>
          </w:p>
        </w:tc>
        <w:tc>
          <w:tcPr>
            <w:tcW w:type="dxa" w:w="3120"/>
          </w:tcPr>
          <w:p>
            <w:pPr>
              <w:spacing w:after="40"/>
            </w:pPr>
            <w:r>
              <w:rPr>
                <w:rFonts w:ascii="Arial" w:hAnsi="Arial"/>
                <w:b w:val="0"/>
                <w:color w:val="1A100D"/>
                <w:sz w:val="19"/>
              </w:rPr>
              <w:t>React hydration error in Docusaurus if server and client render different markup.</w:t>
            </w:r>
          </w:p>
        </w:tc>
        <w:tc>
          <w:tcPr>
            <w:tcW w:type="dxa" w:w="3120"/>
          </w:tcPr>
          <w:p>
            <w:pPr>
              <w:spacing w:after="40"/>
            </w:pPr>
            <w:r>
              <w:rPr>
                <w:rFonts w:ascii="Arial" w:hAnsi="Arial"/>
                <w:b w:val="0"/>
                <w:color w:val="1A100D"/>
                <w:sz w:val="19"/>
              </w:rPr>
              <w:t>useEditor returns null server-side; EditorContent renders an empty div. Hydration is clean. Assumption — not independently verified against current Docusaurus version; should be confirmed in testing.</w:t>
            </w:r>
          </w:p>
        </w:tc>
      </w:tr>
      <w:tr>
        <w:tc>
          <w:tcPr>
            <w:tcW w:type="dxa" w:w="3120"/>
          </w:tcPr>
          <w:p>
            <w:pPr>
              <w:spacing w:after="40"/>
            </w:pPr>
            <w:r>
              <w:rPr>
                <w:rFonts w:ascii="Arial" w:hAnsi="Arial"/>
                <w:b w:val="0"/>
                <w:color w:val="1A100D"/>
                <w:sz w:val="19"/>
              </w:rPr>
              <w:t>Cost of not doing this</w:t>
            </w:r>
          </w:p>
        </w:tc>
        <w:tc>
          <w:tcPr>
            <w:tcW w:type="dxa" w:w="3120"/>
          </w:tcPr>
          <w:p>
            <w:pPr>
              <w:spacing w:after="40"/>
            </w:pPr>
            <w:r>
              <w:rPr>
                <w:rFonts w:ascii="Arial" w:hAnsi="Arial"/>
                <w:b w:val="0"/>
                <w:color w:val="1A100D"/>
                <w:sz w:val="19"/>
              </w:rPr>
              <w:t>document.execCommand continues to degrade across browser releases, requiring emergency patches at an unpredictable future date under greater time pressure.</w:t>
            </w:r>
          </w:p>
        </w:tc>
        <w:tc>
          <w:tcPr>
            <w:tcW w:type="dxa" w:w="3120"/>
          </w:tcPr>
          <w:p>
            <w:pPr>
              <w:spacing w:after="40"/>
            </w:pPr>
            <w:r>
              <w:rPr>
                <w:rFonts w:ascii="Arial" w:hAnsi="Arial"/>
                <w:b w:val="0"/>
                <w:color w:val="1A100D"/>
                <w:sz w:val="19"/>
              </w:rPr>
              <w:t>Doing this now, with a clean scope, is lower risk than reacting to a browser compatibility breakage.</w:t>
            </w:r>
          </w:p>
        </w:tc>
      </w:tr>
    </w:tbl>
    <w:p>
      <w:pPr>
        <w:spacing w:after="160" w:before="0"/>
      </w:pPr>
    </w:p>
    <w:p>
      <w:pPr>
        <w:pBdr>
          <w:left w:val="single" w:sz="18" w:space="10" w:color="C70024"/>
        </w:pBdr>
        <w:spacing w:before="360" w:after="120"/>
      </w:pPr>
      <w:r>
        <w:rPr>
          <w:rFonts w:ascii="Arial" w:hAnsi="Arial"/>
          <w:b/>
          <w:color w:val="C70024"/>
          <w:sz w:val="22"/>
          <w:spacing w:val="40"/>
        </w:rPr>
        <w:t>10.  DELIVERY PLAN</w:t>
      </w:r>
    </w:p>
    <w:p>
      <w:pPr>
        <w:spacing w:before="0" w:after="100"/>
      </w:pPr>
      <w:r>
        <w:rPr>
          <w:rFonts w:ascii="Arial" w:hAnsi="Arial"/>
          <w:b w:val="0"/>
          <w:i w:val="0"/>
          <w:color w:val="1A100D"/>
          <w:sz w:val="21"/>
        </w:rPr>
        <w:t>This work ships as a single pull request. No phasing is required — the change is fully isolated to the editor panel and can be tested end-to-end before merge.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00D"/>
            <w:tcW w:w="900" w:type="dxa"/>
          </w:tcPr>
          <w:p>
            <w:pPr>
              <w:spacing w:after="40"/>
            </w:pPr>
            <w:r>
              <w:rPr>
                <w:rFonts w:ascii="Arial" w:hAnsi="Arial"/>
                <w:b/>
                <w:color w:val="FFFFFF"/>
                <w:sz w:val="20"/>
              </w:rPr>
              <w:t>Step</w:t>
            </w:r>
          </w:p>
        </w:tc>
        <w:tc>
          <w:tcPr>
            <w:tcW w:type="dxa" w:w="3120"/>
            <w:shd w:val="clear" w:color="auto" w:fill="1A100D"/>
            <w:tcW w:w="3600" w:type="dxa"/>
          </w:tcPr>
          <w:p>
            <w:pPr>
              <w:spacing w:after="40"/>
            </w:pPr>
            <w:r>
              <w:rPr>
                <w:rFonts w:ascii="Arial" w:hAnsi="Arial"/>
                <w:b/>
                <w:color w:val="FFFFFF"/>
                <w:sz w:val="20"/>
              </w:rPr>
              <w:t>Task</w:t>
            </w:r>
          </w:p>
        </w:tc>
        <w:tc>
          <w:tcPr>
            <w:tcW w:type="dxa" w:w="3120"/>
            <w:shd w:val="clear" w:color="auto" w:fill="1A100D"/>
            <w:tcW w:w="4500" w:type="dxa"/>
          </w:tcPr>
          <w:p>
            <w:pPr>
              <w:spacing w:after="40"/>
            </w:pPr>
            <w:r>
              <w:rPr>
                <w:rFonts w:ascii="Arial" w:hAnsi="Arial"/>
                <w:b/>
                <w:color w:val="FFFFFF"/>
                <w:sz w:val="20"/>
              </w:rPr>
              <w:t>Notes</w:t>
            </w:r>
          </w:p>
        </w:tc>
      </w:tr>
      <w:tr>
        <w:tc>
          <w:tcPr>
            <w:tcW w:type="dxa" w:w="3120"/>
          </w:tcPr>
          <w:p>
            <w:pPr>
              <w:spacing w:after="40"/>
            </w:pPr>
            <w:r>
              <w:rPr>
                <w:rFonts w:ascii="Arial" w:hAnsi="Arial"/>
                <w:b w:val="0"/>
                <w:color w:val="1A100D"/>
                <w:sz w:val="20"/>
              </w:rPr>
              <w:t>1</w:t>
            </w:r>
          </w:p>
        </w:tc>
        <w:tc>
          <w:tcPr>
            <w:tcW w:type="dxa" w:w="3120"/>
          </w:tcPr>
          <w:p>
            <w:pPr>
              <w:spacing w:after="40"/>
            </w:pPr>
            <w:r>
              <w:rPr>
                <w:rFonts w:ascii="Arial" w:hAnsi="Arial"/>
                <w:b w:val="0"/>
                <w:color w:val="1A100D"/>
                <w:sz w:val="20"/>
              </w:rPr>
              <w:t>Install 7 Tiptap packages.</w:t>
            </w:r>
          </w:p>
        </w:tc>
        <w:tc>
          <w:tcPr>
            <w:tcW w:type="dxa" w:w="3120"/>
          </w:tcPr>
          <w:p>
            <w:pPr>
              <w:spacing w:after="40"/>
            </w:pPr>
            <w:r>
              <w:rPr>
                <w:rFonts w:ascii="Arial" w:hAnsi="Arial"/>
                <w:b w:val="0"/>
                <w:color w:val="1A100D"/>
                <w:sz w:val="20"/>
              </w:rPr>
              <w:t>npm install — no backend changes.</w:t>
            </w:r>
          </w:p>
        </w:tc>
      </w:tr>
      <w:tr>
        <w:tc>
          <w:tcPr>
            <w:tcW w:type="dxa" w:w="3120"/>
          </w:tcPr>
          <w:p>
            <w:pPr>
              <w:spacing w:after="40"/>
            </w:pPr>
            <w:r>
              <w:rPr>
                <w:rFonts w:ascii="Arial" w:hAnsi="Arial"/>
                <w:b w:val="0"/>
                <w:color w:val="1A100D"/>
                <w:sz w:val="20"/>
              </w:rPr>
              <w:t>2</w:t>
            </w:r>
          </w:p>
        </w:tc>
        <w:tc>
          <w:tcPr>
            <w:tcW w:type="dxa" w:w="3120"/>
          </w:tcPr>
          <w:p>
            <w:pPr>
              <w:spacing w:after="40"/>
            </w:pPr>
            <w:r>
              <w:rPr>
                <w:rFonts w:ascii="Arial" w:hAnsi="Arial"/>
                <w:b w:val="0"/>
                <w:color w:val="1A100D"/>
                <w:sz w:val="20"/>
              </w:rPr>
              <w:t>Create TiptapEditor component with toolbar, URL popovers, and EditorContent surface.</w:t>
            </w:r>
          </w:p>
        </w:tc>
        <w:tc>
          <w:tcPr>
            <w:tcW w:type="dxa" w:w="3120"/>
          </w:tcPr>
          <w:p>
            <w:pPr>
              <w:spacing w:after="40"/>
            </w:pPr>
            <w:r>
              <w:rPr>
                <w:rFonts w:ascii="Arial" w:hAnsi="Arial"/>
                <w:b w:val="0"/>
                <w:color w:val="1A100D"/>
                <w:sz w:val="20"/>
              </w:rPr>
              <w:t>Inline in index.js. ~150 lines net new.</w:t>
            </w:r>
          </w:p>
        </w:tc>
      </w:tr>
      <w:tr>
        <w:tc>
          <w:tcPr>
            <w:tcW w:type="dxa" w:w="3120"/>
          </w:tcPr>
          <w:p>
            <w:pPr>
              <w:spacing w:after="40"/>
            </w:pPr>
            <w:r>
              <w:rPr>
                <w:rFonts w:ascii="Arial" w:hAnsi="Arial"/>
                <w:b w:val="0"/>
                <w:color w:val="1A100D"/>
                <w:sz w:val="20"/>
              </w:rPr>
              <w:t>3</w:t>
            </w:r>
          </w:p>
        </w:tc>
        <w:tc>
          <w:tcPr>
            <w:tcW w:type="dxa" w:w="3120"/>
          </w:tcPr>
          <w:p>
            <w:pPr>
              <w:spacing w:after="40"/>
            </w:pPr>
            <w:r>
              <w:rPr>
                <w:rFonts w:ascii="Arial" w:hAnsi="Arial"/>
                <w:b w:val="0"/>
                <w:color w:val="1A100D"/>
                <w:sz w:val="20"/>
              </w:rPr>
              <w:t>Remove execCommand functions, editorRef, DOM-sync useEffect, and ToolbarButton.</w:t>
            </w:r>
          </w:p>
        </w:tc>
        <w:tc>
          <w:tcPr>
            <w:tcW w:type="dxa" w:w="3120"/>
          </w:tcPr>
          <w:p>
            <w:pPr>
              <w:spacing w:after="40"/>
            </w:pPr>
            <w:r>
              <w:rPr>
                <w:rFonts w:ascii="Arial" w:hAnsi="Arial"/>
                <w:b w:val="0"/>
                <w:color w:val="1A100D"/>
                <w:sz w:val="20"/>
              </w:rPr>
              <w:t>~100 lines removed.</w:t>
            </w:r>
          </w:p>
        </w:tc>
      </w:tr>
      <w:tr>
        <w:tc>
          <w:tcPr>
            <w:tcW w:type="dxa" w:w="3120"/>
          </w:tcPr>
          <w:p>
            <w:pPr>
              <w:spacing w:after="40"/>
            </w:pPr>
            <w:r>
              <w:rPr>
                <w:rFonts w:ascii="Arial" w:hAnsi="Arial"/>
                <w:b w:val="0"/>
                <w:color w:val="1A100D"/>
                <w:sz w:val="20"/>
              </w:rPr>
              <w:t>4</w:t>
            </w:r>
          </w:p>
        </w:tc>
        <w:tc>
          <w:tcPr>
            <w:tcW w:type="dxa" w:w="3120"/>
          </w:tcPr>
          <w:p>
            <w:pPr>
              <w:spacing w:after="40"/>
            </w:pPr>
            <w:r>
              <w:rPr>
                <w:rFonts w:ascii="Arial" w:hAnsi="Arial"/>
                <w:b w:val="0"/>
                <w:color w:val="1A100D"/>
                <w:sz w:val="20"/>
              </w:rPr>
              <w:t>Update styles.module.css: :focus → :focus-within, add ProseMirror outline rule and active-button class.</w:t>
            </w:r>
          </w:p>
        </w:tc>
        <w:tc>
          <w:tcPr>
            <w:tcW w:type="dxa" w:w="3120"/>
          </w:tcPr>
          <w:p>
            <w:pPr>
              <w:spacing w:after="40"/>
            </w:pPr>
            <w:r>
              <w:rPr>
                <w:rFonts w:ascii="Arial" w:hAnsi="Arial"/>
                <w:b w:val="0"/>
                <w:color w:val="1A100D"/>
                <w:sz w:val="20"/>
              </w:rPr>
              <w:t>3 CSS changes, editor area only.</w:t>
            </w:r>
          </w:p>
        </w:tc>
      </w:tr>
      <w:tr>
        <w:tc>
          <w:tcPr>
            <w:tcW w:type="dxa" w:w="3120"/>
          </w:tcPr>
          <w:p>
            <w:pPr>
              <w:spacing w:after="40"/>
            </w:pPr>
            <w:r>
              <w:rPr>
                <w:rFonts w:ascii="Arial" w:hAnsi="Arial"/>
                <w:b w:val="0"/>
                <w:color w:val="1A100D"/>
                <w:sz w:val="20"/>
              </w:rPr>
              <w:t>5</w:t>
            </w:r>
          </w:p>
        </w:tc>
        <w:tc>
          <w:tcPr>
            <w:tcW w:type="dxa" w:w="3120"/>
          </w:tcPr>
          <w:p>
            <w:pPr>
              <w:spacing w:after="40"/>
            </w:pPr>
            <w:r>
              <w:rPr>
                <w:rFonts w:ascii="Arial" w:hAnsi="Arial"/>
                <w:b w:val="0"/>
                <w:color w:val="1A100D"/>
                <w:sz w:val="20"/>
              </w:rPr>
              <w:t>Test all 5 templates, all authoring capabilities, Markdown export, preview, EN + JP.</w:t>
            </w:r>
          </w:p>
        </w:tc>
        <w:tc>
          <w:tcPr>
            <w:tcW w:type="dxa" w:w="3120"/>
          </w:tcPr>
          <w:p>
            <w:pPr>
              <w:spacing w:after="40"/>
            </w:pPr>
            <w:r>
              <w:rPr>
                <w:rFonts w:ascii="Arial" w:hAnsi="Arial"/>
                <w:b w:val="0"/>
                <w:color w:val="1A100D"/>
                <w:sz w:val="20"/>
              </w:rPr>
              <w:t>Against acceptance criteria.</w:t>
            </w:r>
          </w:p>
        </w:tc>
      </w:tr>
      <w:tr>
        <w:tc>
          <w:tcPr>
            <w:tcW w:type="dxa" w:w="3120"/>
          </w:tcPr>
          <w:p>
            <w:pPr>
              <w:spacing w:after="40"/>
            </w:pPr>
            <w:r>
              <w:rPr>
                <w:rFonts w:ascii="Arial" w:hAnsi="Arial"/>
                <w:b w:val="0"/>
                <w:color w:val="1A100D"/>
                <w:sz w:val="20"/>
              </w:rPr>
              <w:t>6</w:t>
            </w:r>
          </w:p>
        </w:tc>
        <w:tc>
          <w:tcPr>
            <w:tcW w:type="dxa" w:w="3120"/>
          </w:tcPr>
          <w:p>
            <w:pPr>
              <w:spacing w:after="40"/>
            </w:pPr>
            <w:r>
              <w:rPr>
                <w:rFonts w:ascii="Arial" w:hAnsi="Arial"/>
                <w:b w:val="0"/>
                <w:color w:val="1A100D"/>
                <w:sz w:val="20"/>
              </w:rPr>
              <w:t>Merge and deploy.</w:t>
            </w:r>
          </w:p>
        </w:tc>
        <w:tc>
          <w:tcPr>
            <w:tcW w:type="dxa" w:w="3120"/>
          </w:tcPr>
          <w:p>
            <w:pPr>
              <w:spacing w:after="40"/>
            </w:pPr>
            <w:r>
              <w:rPr>
                <w:rFonts w:ascii="Arial" w:hAnsi="Arial"/>
                <w:b w:val="0"/>
                <w:color w:val="1A100D"/>
                <w:sz w:val="20"/>
              </w:rPr>
              <w:t>No migration or data changes needed.</w:t>
            </w:r>
          </w:p>
        </w:tc>
      </w:tr>
    </w:tbl>
    <w:p>
      <w:pPr>
        <w:spacing w:after="160" w:before="0"/>
      </w:pPr>
    </w:p>
    <w:p>
      <w:pPr>
        <w:pBdr>
          <w:left w:val="single" w:sz="18" w:space="10" w:color="C70024"/>
        </w:pBdr>
        <w:spacing w:before="360" w:after="120"/>
      </w:pPr>
      <w:r>
        <w:rPr>
          <w:rFonts w:ascii="Arial" w:hAnsi="Arial"/>
          <w:b/>
          <w:color w:val="C70024"/>
          <w:sz w:val="22"/>
          <w:spacing w:val="40"/>
        </w:rPr>
        <w:t>11.  ACCEPTANCE CRITERIA</w:t>
      </w:r>
    </w:p>
    <w:tbl>
      <w:tblPr>
        <w:tblStyle w:val="TableGrid"/>
        <w:tblW w:type="auto" w:w="0"/>
        <w:tblLook w:firstColumn="1" w:firstRow="1" w:lastColumn="0" w:lastRow="0" w:noHBand="0" w:noVBand="1" w:val="04A0"/>
      </w:tblPr>
      <w:tblGrid>
        <w:gridCol w:w="4680"/>
        <w:gridCol w:w="4680"/>
      </w:tblGrid>
      <w:tr>
        <w:tc>
          <w:tcPr>
            <w:tcW w:type="dxa" w:w="4680"/>
            <w:shd w:val="clear" w:color="auto" w:fill="1A100D"/>
            <w:tcW w:w="720" w:type="dxa"/>
          </w:tcPr>
          <w:p>
            <w:pPr>
              <w:spacing w:after="40"/>
            </w:pPr>
            <w:r>
              <w:rPr>
                <w:rFonts w:ascii="Arial" w:hAnsi="Arial"/>
                <w:b/>
                <w:color w:val="FFFFFF"/>
                <w:sz w:val="20"/>
              </w:rPr>
              <w:t>#</w:t>
            </w:r>
          </w:p>
        </w:tc>
        <w:tc>
          <w:tcPr>
            <w:tcW w:type="dxa" w:w="4680"/>
            <w:shd w:val="clear" w:color="auto" w:fill="1A100D"/>
            <w:tcW w:w="8280" w:type="dxa"/>
          </w:tcPr>
          <w:p>
            <w:pPr>
              <w:spacing w:after="40"/>
            </w:pPr>
            <w:r>
              <w:rPr>
                <w:rFonts w:ascii="Arial" w:hAnsi="Arial"/>
                <w:b/>
                <w:color w:val="FFFFFF"/>
                <w:sz w:val="20"/>
              </w:rPr>
              <w:t>Criterion</w:t>
            </w:r>
          </w:p>
        </w:tc>
      </w:tr>
      <w:tr>
        <w:tc>
          <w:tcPr>
            <w:tcW w:type="dxa" w:w="4680"/>
          </w:tcPr>
          <w:p>
            <w:r>
              <w:rPr>
                <w:rFonts w:ascii="Arial" w:hAnsi="Arial"/>
                <w:b/>
                <w:color w:val="554A43"/>
                <w:sz w:val="19"/>
              </w:rPr>
              <w:t>AC-01</w:t>
            </w:r>
          </w:p>
        </w:tc>
        <w:tc>
          <w:tcPr>
            <w:tcW w:type="dxa" w:w="4680"/>
          </w:tcPr>
          <w:p>
            <w:r>
              <w:rPr>
                <w:rFonts w:ascii="Arial" w:hAnsi="Arial"/>
                <w:b w:val="0"/>
                <w:color w:val="1A100D"/>
                <w:sz w:val="20"/>
              </w:rPr>
              <w:t>All 5 templates (How-to, Troubleshooting, FAQ, Runbook, Policy) load correctly into the editor.</w:t>
            </w:r>
          </w:p>
        </w:tc>
      </w:tr>
      <w:tr>
        <w:tc>
          <w:tcPr>
            <w:tcW w:type="dxa" w:w="4680"/>
          </w:tcPr>
          <w:p>
            <w:r>
              <w:rPr>
                <w:rFonts w:ascii="Arial" w:hAnsi="Arial"/>
                <w:b/>
                <w:color w:val="554A43"/>
                <w:sz w:val="19"/>
              </w:rPr>
              <w:t>AC-02</w:t>
            </w:r>
          </w:p>
        </w:tc>
        <w:tc>
          <w:tcPr>
            <w:tcW w:type="dxa" w:w="4680"/>
          </w:tcPr>
          <w:p>
            <w:r>
              <w:rPr>
                <w:rFonts w:ascii="Arial" w:hAnsi="Arial"/>
                <w:b w:val="0"/>
                <w:color w:val="1A100D"/>
                <w:sz w:val="20"/>
              </w:rPr>
              <w:t>Paragraph, H1, H2, H3, and Blockquote apply via the dropdown and are reflected correctly in Markdown export.</w:t>
            </w:r>
          </w:p>
        </w:tc>
      </w:tr>
      <w:tr>
        <w:tc>
          <w:tcPr>
            <w:tcW w:type="dxa" w:w="4680"/>
          </w:tcPr>
          <w:p>
            <w:r>
              <w:rPr>
                <w:rFonts w:ascii="Arial" w:hAnsi="Arial"/>
                <w:b/>
                <w:color w:val="554A43"/>
                <w:sz w:val="19"/>
              </w:rPr>
              <w:t>AC-03</w:t>
            </w:r>
          </w:p>
        </w:tc>
        <w:tc>
          <w:tcPr>
            <w:tcW w:type="dxa" w:w="4680"/>
          </w:tcPr>
          <w:p>
            <w:r>
              <w:rPr>
                <w:rFonts w:ascii="Arial" w:hAnsi="Arial"/>
                <w:b w:val="0"/>
                <w:color w:val="1A100D"/>
                <w:sz w:val="20"/>
              </w:rPr>
              <w:t>Bold, italic, and underline toggle correctly. Each toolbar button highlights when the cursor is inside the matching formatting.</w:t>
            </w:r>
          </w:p>
        </w:tc>
      </w:tr>
      <w:tr>
        <w:tc>
          <w:tcPr>
            <w:tcW w:type="dxa" w:w="4680"/>
          </w:tcPr>
          <w:p>
            <w:r>
              <w:rPr>
                <w:rFonts w:ascii="Arial" w:hAnsi="Arial"/>
                <w:b/>
                <w:color w:val="554A43"/>
                <w:sz w:val="19"/>
              </w:rPr>
              <w:t>AC-04</w:t>
            </w:r>
          </w:p>
        </w:tc>
        <w:tc>
          <w:tcPr>
            <w:tcW w:type="dxa" w:w="4680"/>
          </w:tcPr>
          <w:p>
            <w:r>
              <w:rPr>
                <w:rFonts w:ascii="Arial" w:hAnsi="Arial"/>
                <w:b w:val="0"/>
                <w:color w:val="1A100D"/>
                <w:sz w:val="20"/>
              </w:rPr>
              <w:t>Bullet list and ordered list toggle correctly. Buttons highlight when active.</w:t>
            </w:r>
          </w:p>
        </w:tc>
      </w:tr>
      <w:tr>
        <w:tc>
          <w:tcPr>
            <w:tcW w:type="dxa" w:w="4680"/>
          </w:tcPr>
          <w:p>
            <w:r>
              <w:rPr>
                <w:rFonts w:ascii="Arial" w:hAnsi="Arial"/>
                <w:b/>
                <w:color w:val="554A43"/>
                <w:sz w:val="19"/>
              </w:rPr>
              <w:t>AC-05</w:t>
            </w:r>
          </w:p>
        </w:tc>
        <w:tc>
          <w:tcPr>
            <w:tcW w:type="dxa" w:w="4680"/>
          </w:tcPr>
          <w:p>
            <w:r>
              <w:rPr>
                <w:rFonts w:ascii="Arial" w:hAnsi="Arial"/>
                <w:b w:val="0"/>
                <w:color w:val="1A100D"/>
                <w:sz w:val="20"/>
              </w:rPr>
              <w:t>Link popover opens on button click; URL field is focused; Enter or Apply inserts the link; Escape closes without inserting.</w:t>
            </w:r>
          </w:p>
        </w:tc>
      </w:tr>
      <w:tr>
        <w:tc>
          <w:tcPr>
            <w:tcW w:type="dxa" w:w="4680"/>
          </w:tcPr>
          <w:p>
            <w:r>
              <w:rPr>
                <w:rFonts w:ascii="Arial" w:hAnsi="Arial"/>
                <w:b/>
                <w:color w:val="554A43"/>
                <w:sz w:val="19"/>
              </w:rPr>
              <w:t>AC-06</w:t>
            </w:r>
          </w:p>
        </w:tc>
        <w:tc>
          <w:tcPr>
            <w:tcW w:type="dxa" w:w="4680"/>
          </w:tcPr>
          <w:p>
            <w:r>
              <w:rPr>
                <w:rFonts w:ascii="Arial" w:hAnsi="Arial"/>
                <w:b w:val="0"/>
                <w:color w:val="1A100D"/>
                <w:sz w:val="20"/>
              </w:rPr>
              <w:t>If cursor is on an existing link, Link popover pre-fills the href.</w:t>
            </w:r>
          </w:p>
        </w:tc>
      </w:tr>
      <w:tr>
        <w:tc>
          <w:tcPr>
            <w:tcW w:type="dxa" w:w="4680"/>
          </w:tcPr>
          <w:p>
            <w:r>
              <w:rPr>
                <w:rFonts w:ascii="Arial" w:hAnsi="Arial"/>
                <w:b/>
                <w:color w:val="554A43"/>
                <w:sz w:val="19"/>
              </w:rPr>
              <w:t>AC-07</w:t>
            </w:r>
          </w:p>
        </w:tc>
        <w:tc>
          <w:tcPr>
            <w:tcW w:type="dxa" w:w="4680"/>
          </w:tcPr>
          <w:p>
            <w:r>
              <w:rPr>
                <w:rFonts w:ascii="Arial" w:hAnsi="Arial"/>
                <w:b w:val="0"/>
                <w:color w:val="1A100D"/>
                <w:sz w:val="20"/>
              </w:rPr>
              <w:t>Image popover opens; live thumbnail loads as URL is typed; broken URL shows inline error; Insert adds image to editor.</w:t>
            </w:r>
          </w:p>
        </w:tc>
      </w:tr>
      <w:tr>
        <w:tc>
          <w:tcPr>
            <w:tcW w:type="dxa" w:w="4680"/>
          </w:tcPr>
          <w:p>
            <w:r>
              <w:rPr>
                <w:rFonts w:ascii="Arial" w:hAnsi="Arial"/>
                <w:b/>
                <w:color w:val="554A43"/>
                <w:sz w:val="19"/>
              </w:rPr>
              <w:t>AC-08</w:t>
            </w:r>
          </w:p>
        </w:tc>
        <w:tc>
          <w:tcPr>
            <w:tcW w:type="dxa" w:w="4680"/>
          </w:tcPr>
          <w:p>
            <w:r>
              <w:rPr>
                <w:rFonts w:ascii="Arial" w:hAnsi="Arial"/>
                <w:b w:val="0"/>
                <w:color w:val="1A100D"/>
                <w:sz w:val="20"/>
              </w:rPr>
              <w:t>Code block inserts with correct pre &gt; code HTML structure. Markdown export wraps it in triple backticks.</w:t>
            </w:r>
          </w:p>
        </w:tc>
      </w:tr>
      <w:tr>
        <w:tc>
          <w:tcPr>
            <w:tcW w:type="dxa" w:w="4680"/>
          </w:tcPr>
          <w:p>
            <w:r>
              <w:rPr>
                <w:rFonts w:ascii="Arial" w:hAnsi="Arial"/>
                <w:b/>
                <w:color w:val="554A43"/>
                <w:sz w:val="19"/>
              </w:rPr>
              <w:t>AC-09</w:t>
            </w:r>
          </w:p>
        </w:tc>
        <w:tc>
          <w:tcPr>
            <w:tcW w:type="dxa" w:w="4680"/>
          </w:tcPr>
          <w:p>
            <w:r>
              <w:rPr>
                <w:rFonts w:ascii="Arial" w:hAnsi="Arial"/>
                <w:b w:val="0"/>
                <w:color w:val="1A100D"/>
                <w:sz w:val="20"/>
              </w:rPr>
              <w:t>Table inserts as a 2-column table with a header row. Markdown export renders correct pipe-table format.</w:t>
            </w:r>
          </w:p>
        </w:tc>
      </w:tr>
      <w:tr>
        <w:tc>
          <w:tcPr>
            <w:tcW w:type="dxa" w:w="4680"/>
          </w:tcPr>
          <w:p>
            <w:r>
              <w:rPr>
                <w:rFonts w:ascii="Arial" w:hAnsi="Arial"/>
                <w:b/>
                <w:color w:val="554A43"/>
                <w:sz w:val="19"/>
              </w:rPr>
              <w:t>AC-10</w:t>
            </w:r>
          </w:p>
        </w:tc>
        <w:tc>
          <w:tcPr>
            <w:tcW w:type="dxa" w:w="4680"/>
          </w:tcPr>
          <w:p>
            <w:r>
              <w:rPr>
                <w:rFonts w:ascii="Arial" w:hAnsi="Arial"/>
                <w:b w:val="0"/>
                <w:color w:val="1A100D"/>
                <w:sz w:val="20"/>
              </w:rPr>
              <w:t>Horizontal rule inserts and exports as --- in Markdown.</w:t>
            </w:r>
          </w:p>
        </w:tc>
      </w:tr>
      <w:tr>
        <w:tc>
          <w:tcPr>
            <w:tcW w:type="dxa" w:w="4680"/>
          </w:tcPr>
          <w:p>
            <w:r>
              <w:rPr>
                <w:rFonts w:ascii="Arial" w:hAnsi="Arial"/>
                <w:b/>
                <w:color w:val="554A43"/>
                <w:sz w:val="19"/>
              </w:rPr>
              <w:t>AC-11</w:t>
            </w:r>
          </w:p>
        </w:tc>
        <w:tc>
          <w:tcPr>
            <w:tcW w:type="dxa" w:w="4680"/>
          </w:tcPr>
          <w:p>
            <w:r>
              <w:rPr>
                <w:rFonts w:ascii="Arial" w:hAnsi="Arial"/>
                <w:b w:val="0"/>
                <w:color w:val="1A100D"/>
                <w:sz w:val="20"/>
              </w:rPr>
              <w:t>Undo and redo work for all editing actions.</w:t>
            </w:r>
          </w:p>
        </w:tc>
      </w:tr>
      <w:tr>
        <w:tc>
          <w:tcPr>
            <w:tcW w:type="dxa" w:w="4680"/>
          </w:tcPr>
          <w:p>
            <w:r>
              <w:rPr>
                <w:rFonts w:ascii="Arial" w:hAnsi="Arial"/>
                <w:b/>
                <w:color w:val="554A43"/>
                <w:sz w:val="19"/>
              </w:rPr>
              <w:t>AC-12</w:t>
            </w:r>
          </w:p>
        </w:tc>
        <w:tc>
          <w:tcPr>
            <w:tcW w:type="dxa" w:w="4680"/>
          </w:tcPr>
          <w:p>
            <w:r>
              <w:rPr>
                <w:rFonts w:ascii="Arial" w:hAnsi="Arial"/>
                <w:b w:val="0"/>
                <w:color w:val="1A100D"/>
                <w:sz w:val="20"/>
              </w:rPr>
              <w:t>Markdown export produces identical structure to the current implementation for all 5 template contents.</w:t>
            </w:r>
          </w:p>
        </w:tc>
      </w:tr>
      <w:tr>
        <w:tc>
          <w:tcPr>
            <w:tcW w:type="dxa" w:w="4680"/>
          </w:tcPr>
          <w:p>
            <w:r>
              <w:rPr>
                <w:rFonts w:ascii="Arial" w:hAnsi="Arial"/>
                <w:b/>
                <w:color w:val="554A43"/>
                <w:sz w:val="19"/>
              </w:rPr>
              <w:t>AC-13</w:t>
            </w:r>
          </w:p>
        </w:tc>
        <w:tc>
          <w:tcPr>
            <w:tcW w:type="dxa" w:w="4680"/>
          </w:tcPr>
          <w:p>
            <w:r>
              <w:rPr>
                <w:rFonts w:ascii="Arial" w:hAnsi="Arial"/>
                <w:b w:val="0"/>
                <w:color w:val="1A100D"/>
                <w:sz w:val="20"/>
              </w:rPr>
              <w:t>Preview panel reflects editor content in real time.</w:t>
            </w:r>
          </w:p>
        </w:tc>
      </w:tr>
      <w:tr>
        <w:tc>
          <w:tcPr>
            <w:tcW w:type="dxa" w:w="4680"/>
          </w:tcPr>
          <w:p>
            <w:r>
              <w:rPr>
                <w:rFonts w:ascii="Arial" w:hAnsi="Arial"/>
                <w:b/>
                <w:color w:val="554A43"/>
                <w:sz w:val="19"/>
              </w:rPr>
              <w:t>AC-14</w:t>
            </w:r>
          </w:p>
        </w:tc>
        <w:tc>
          <w:tcPr>
            <w:tcW w:type="dxa" w:w="4680"/>
          </w:tcPr>
          <w:p>
            <w:r>
              <w:rPr>
                <w:rFonts w:ascii="Arial" w:hAnsi="Arial"/>
                <w:b w:val="0"/>
                <w:color w:val="1A100D"/>
                <w:sz w:val="20"/>
              </w:rPr>
              <w:t>Submission Readiness panel continues to reflect image URL health correctly.</w:t>
            </w:r>
          </w:p>
        </w:tc>
      </w:tr>
      <w:tr>
        <w:tc>
          <w:tcPr>
            <w:tcW w:type="dxa" w:w="4680"/>
          </w:tcPr>
          <w:p>
            <w:r>
              <w:rPr>
                <w:rFonts w:ascii="Arial" w:hAnsi="Arial"/>
                <w:b/>
                <w:color w:val="554A43"/>
                <w:sz w:val="19"/>
              </w:rPr>
              <w:t>AC-15</w:t>
            </w:r>
          </w:p>
        </w:tc>
        <w:tc>
          <w:tcPr>
            <w:tcW w:type="dxa" w:w="4680"/>
          </w:tcPr>
          <w:p>
            <w:r>
              <w:rPr>
                <w:rFonts w:ascii="Arial" w:hAnsi="Arial"/>
                <w:b w:val="0"/>
                <w:color w:val="1A100D"/>
                <w:sz w:val="20"/>
              </w:rPr>
              <w:t>Markdown download and email draft flow are unaffected.</w:t>
            </w:r>
          </w:p>
        </w:tc>
      </w:tr>
      <w:tr>
        <w:tc>
          <w:tcPr>
            <w:tcW w:type="dxa" w:w="4680"/>
          </w:tcPr>
          <w:p>
            <w:r>
              <w:rPr>
                <w:rFonts w:ascii="Arial" w:hAnsi="Arial"/>
                <w:b/>
                <w:color w:val="554A43"/>
                <w:sz w:val="19"/>
              </w:rPr>
              <w:t>AC-16</w:t>
            </w:r>
          </w:p>
        </w:tc>
        <w:tc>
          <w:tcPr>
            <w:tcW w:type="dxa" w:w="4680"/>
          </w:tcPr>
          <w:p>
            <w:r>
              <w:rPr>
                <w:rFonts w:ascii="Arial" w:hAnsi="Arial"/>
                <w:b w:val="0"/>
                <w:color w:val="1A100D"/>
                <w:sz w:val="20"/>
              </w:rPr>
              <w:t>Both en-US and ja-JP locales render without error.</w:t>
            </w:r>
          </w:p>
        </w:tc>
      </w:tr>
      <w:tr>
        <w:tc>
          <w:tcPr>
            <w:tcW w:type="dxa" w:w="4680"/>
          </w:tcPr>
          <w:p>
            <w:r>
              <w:rPr>
                <w:rFonts w:ascii="Arial" w:hAnsi="Arial"/>
                <w:b/>
                <w:color w:val="554A43"/>
                <w:sz w:val="19"/>
              </w:rPr>
              <w:t>AC-17</w:t>
            </w:r>
          </w:p>
        </w:tc>
        <w:tc>
          <w:tcPr>
            <w:tcW w:type="dxa" w:w="4680"/>
          </w:tcPr>
          <w:p>
            <w:r>
              <w:rPr>
                <w:rFonts w:ascii="Arial" w:hAnsi="Arial"/>
                <w:b w:val="0"/>
                <w:color w:val="1A100D"/>
                <w:sz w:val="20"/>
              </w:rPr>
              <w:t>No document.execCommand or window.prompt calls exist in the file after the change.</w:t>
            </w:r>
          </w:p>
        </w:tc>
      </w:tr>
      <w:tr>
        <w:tc>
          <w:tcPr>
            <w:tcW w:type="dxa" w:w="4680"/>
          </w:tcPr>
          <w:p>
            <w:r>
              <w:rPr>
                <w:rFonts w:ascii="Arial" w:hAnsi="Arial"/>
                <w:b/>
                <w:color w:val="554A43"/>
                <w:sz w:val="19"/>
              </w:rPr>
              <w:t>AC-18</w:t>
            </w:r>
          </w:p>
        </w:tc>
        <w:tc>
          <w:tcPr>
            <w:tcW w:type="dxa" w:w="4680"/>
          </w:tcPr>
          <w:p>
            <w:r>
              <w:rPr>
                <w:rFonts w:ascii="Arial" w:hAnsi="Arial"/>
                <w:b w:val="0"/>
                <w:color w:val="1A100D"/>
                <w:sz w:val="20"/>
              </w:rPr>
              <w:t>No unrelated UI or workflow changes are introduced.</w:t>
            </w:r>
          </w:p>
        </w:tc>
      </w:tr>
    </w:tbl>
    <w:p>
      <w:pPr>
        <w:spacing w:after="160" w:before="0"/>
      </w:pPr>
    </w:p>
    <w:p>
      <w:pPr>
        <w:pBdr>
          <w:left w:val="single" w:sz="18" w:space="10" w:color="C70024"/>
        </w:pBdr>
        <w:spacing w:before="360" w:after="120"/>
      </w:pPr>
      <w:r>
        <w:rPr>
          <w:rFonts w:ascii="Arial" w:hAnsi="Arial"/>
          <w:b/>
          <w:color w:val="C70024"/>
          <w:sz w:val="22"/>
          <w:spacing w:val="40"/>
        </w:rPr>
        <w:t>12.  OPEN QUESTIONS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00D"/>
            <w:tcW w:w="720" w:type="dxa"/>
          </w:tcPr>
          <w:p>
            <w:pPr>
              <w:spacing w:after="40"/>
            </w:pPr>
            <w:r>
              <w:rPr>
                <w:rFonts w:ascii="Arial" w:hAnsi="Arial"/>
                <w:b/>
                <w:color w:val="FFFFFF"/>
                <w:sz w:val="20"/>
              </w:rPr>
              <w:t>#</w:t>
            </w:r>
          </w:p>
        </w:tc>
        <w:tc>
          <w:tcPr>
            <w:tcW w:type="dxa" w:w="3120"/>
            <w:shd w:val="clear" w:color="auto" w:fill="1A100D"/>
            <w:tcW w:w="4680" w:type="dxa"/>
          </w:tcPr>
          <w:p>
            <w:pPr>
              <w:spacing w:after="40"/>
            </w:pPr>
            <w:r>
              <w:rPr>
                <w:rFonts w:ascii="Arial" w:hAnsi="Arial"/>
                <w:b/>
                <w:color w:val="FFFFFF"/>
                <w:sz w:val="20"/>
              </w:rPr>
              <w:t>Question</w:t>
            </w:r>
          </w:p>
        </w:tc>
        <w:tc>
          <w:tcPr>
            <w:tcW w:type="dxa" w:w="3120"/>
            <w:shd w:val="clear" w:color="auto" w:fill="1A100D"/>
            <w:tcW w:w="3600" w:type="dxa"/>
          </w:tcPr>
          <w:p>
            <w:pPr>
              <w:spacing w:after="40"/>
            </w:pPr>
            <w:r>
              <w:rPr>
                <w:rFonts w:ascii="Arial" w:hAnsi="Arial"/>
                <w:b/>
                <w:color w:val="FFFFFF"/>
                <w:sz w:val="20"/>
              </w:rPr>
              <w:t>Impact if unresolved</w:t>
            </w:r>
          </w:p>
        </w:tc>
      </w:tr>
      <w:tr>
        <w:tc>
          <w:tcPr>
            <w:tcW w:type="dxa" w:w="3120"/>
          </w:tcPr>
          <w:p>
            <w:pPr>
              <w:spacing w:after="40"/>
            </w:pPr>
            <w:r>
              <w:rPr>
                <w:rFonts w:ascii="Arial" w:hAnsi="Arial"/>
                <w:b w:val="0"/>
                <w:color w:val="1A100D"/>
                <w:sz w:val="20"/>
              </w:rPr>
              <w:t>OQ-1</w:t>
            </w:r>
          </w:p>
        </w:tc>
        <w:tc>
          <w:tcPr>
            <w:tcW w:type="dxa" w:w="3120"/>
          </w:tcPr>
          <w:p>
            <w:pPr>
              <w:spacing w:after="40"/>
            </w:pPr>
            <w:r>
              <w:rPr>
                <w:rFonts w:ascii="Arial" w:hAnsi="Arial"/>
                <w:b w:val="0"/>
                <w:color w:val="1A100D"/>
                <w:sz w:val="20"/>
              </w:rPr>
              <w:t>Should the Code button open an inline code block at the cursor (Tiptap default) or preserve the current prompt-for-content behaviour?</w:t>
            </w:r>
          </w:p>
        </w:tc>
        <w:tc>
          <w:tcPr>
            <w:tcW w:type="dxa" w:w="3120"/>
          </w:tcPr>
          <w:p>
            <w:pPr>
              <w:spacing w:after="40"/>
            </w:pPr>
            <w:r>
              <w:rPr>
                <w:rFonts w:ascii="Arial" w:hAnsi="Arial"/>
                <w:b w:val="0"/>
                <w:color w:val="1A100D"/>
                <w:sz w:val="20"/>
              </w:rPr>
              <w:t>Minor UX difference only. Inline insertion is the Tiptap default and is more consistent with modern editors. Recommend inline; confirm before build.</w:t>
            </w:r>
          </w:p>
        </w:tc>
      </w:tr>
      <w:tr>
        <w:tc>
          <w:tcPr>
            <w:tcW w:type="dxa" w:w="3120"/>
          </w:tcPr>
          <w:p>
            <w:pPr>
              <w:spacing w:after="40"/>
            </w:pPr>
            <w:r>
              <w:rPr>
                <w:rFonts w:ascii="Arial" w:hAnsi="Arial"/>
                <w:b w:val="0"/>
                <w:color w:val="1A100D"/>
                <w:sz w:val="20"/>
              </w:rPr>
              <w:t>OQ-2</w:t>
            </w:r>
          </w:p>
        </w:tc>
        <w:tc>
          <w:tcPr>
            <w:tcW w:type="dxa" w:w="3120"/>
          </w:tcPr>
          <w:p>
            <w:pPr>
              <w:spacing w:after="40"/>
            </w:pPr>
            <w:r>
              <w:rPr>
                <w:rFonts w:ascii="Arial" w:hAnsi="Arial"/>
                <w:b w:val="0"/>
                <w:color w:val="1A100D"/>
                <w:sz w:val="20"/>
              </w:rPr>
              <w:t>Should the image popover also accept a user-provided alt text field?</w:t>
            </w:r>
          </w:p>
        </w:tc>
        <w:tc>
          <w:tcPr>
            <w:tcW w:type="dxa" w:w="3120"/>
          </w:tcPr>
          <w:p>
            <w:pPr>
              <w:spacing w:after="40"/>
            </w:pPr>
            <w:r>
              <w:rPr>
                <w:rFonts w:ascii="Arial" w:hAnsi="Arial"/>
                <w:b w:val="0"/>
                <w:color w:val="1A100D"/>
                <w:sz w:val="20"/>
              </w:rPr>
              <w:t>No downstream impact on Markdown (alt defaults to 'Image' today). Adding it is a one-line extension. Recommend including; confirm before build.</w:t>
            </w:r>
          </w:p>
        </w:tc>
      </w:tr>
    </w:tbl>
    <w:p>
      <w:pPr>
        <w:spacing w:after="160" w:before="0"/>
      </w:pPr>
    </w:p>
    <w:p>
      <w:pPr>
        <w:spacing w:after="160" w:before="0"/>
      </w:pPr>
    </w:p>
    <w:p>
      <w:pPr>
        <w:spacing w:before="240"/>
      </w:pPr>
      <w:r>
        <w:rPr>
          <w:rFonts w:ascii="Arial" w:hAnsi="Arial"/>
          <w:b w:val="0"/>
          <w:i/>
          <w:color w:val="554A43"/>
          <w:sz w:val="18"/>
        </w:rPr>
        <w:t>No source was provided for UX pattern claims; recommendations are based on common product and design practice (inline popovers for toolbar URL entry are standard in Notion, Linear, Confluence, and all Tiptap reference implementations).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