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805721" w14:textId="06AE74DE" w:rsidR="00B708F3" w:rsidRPr="00B708F3" w:rsidRDefault="00B708F3" w:rsidP="00B70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O"/>
        </w:rPr>
        <w:t>SESIÓN 2 - TENSOR DE COLOR Y ANÁLISIS ESTADÍSTICO</w:t>
      </w:r>
    </w:p>
    <w:p w14:paraId="5B9B610E" w14:textId="77777777" w:rsidR="00B708F3" w:rsidRPr="00B708F3" w:rsidRDefault="00B708F3" w:rsidP="00B70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I. DATOS GENERALES</w:t>
      </w:r>
    </w:p>
    <w:p w14:paraId="72E74EA5" w14:textId="77777777" w:rsidR="00B708F3" w:rsidRPr="00B708F3" w:rsidRDefault="00B708F3" w:rsidP="00B70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Asignatura: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Diseño de Aplicaciones para Dispositivos Móviles</w:t>
      </w:r>
    </w:p>
    <w:p w14:paraId="2EC0F3BF" w14:textId="77777777" w:rsidR="00B708F3" w:rsidRPr="00B708F3" w:rsidRDefault="00B708F3" w:rsidP="00B70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Nivel / Semestre: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IV Semestre / V Semestre</w:t>
      </w:r>
    </w:p>
    <w:p w14:paraId="3B53BE21" w14:textId="77777777" w:rsidR="00B708F3" w:rsidRPr="00B708F3" w:rsidRDefault="00B708F3" w:rsidP="00B70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Créditos / Duración: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3 créditos / 40 horas</w:t>
      </w:r>
    </w:p>
    <w:p w14:paraId="16B1C65E" w14:textId="77777777" w:rsidR="00B708F3" w:rsidRPr="00B708F3" w:rsidRDefault="00B708F3" w:rsidP="00B70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Docente: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Amaury Giovanni Méndez Aguirre</w:t>
      </w:r>
    </w:p>
    <w:p w14:paraId="3D13B77A" w14:textId="77777777" w:rsidR="00B708F3" w:rsidRPr="00B708F3" w:rsidRDefault="00B708F3" w:rsidP="00B70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Institución: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Institución Universitaria de Colombia</w:t>
      </w:r>
    </w:p>
    <w:p w14:paraId="3872870E" w14:textId="77777777" w:rsidR="00B708F3" w:rsidRPr="00B708F3" w:rsidRDefault="00B708F3" w:rsidP="00B70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II. CONTEXTO: LA FÍSICA DEL COLOR Y SU DIGITALIZACIÓN</w:t>
      </w:r>
    </w:p>
    <w:p w14:paraId="1CB405B8" w14:textId="77777777" w:rsidR="00B708F3" w:rsidRPr="00B708F3" w:rsidRDefault="00B708F3" w:rsidP="00B7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el ámbito de la visión por computador y la inteligencia artificial, una imagen digital no se interpreta meramente como un objeto estético, sino como una estructura matemática precisa: un </w:t>
      </w: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Tensor tridimensional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Los sensores físicos de las cámaras capturan la luz descomponiéndola en tres longitudes de onda fundamentales mediante un filtro de Bayer, dando lugar al espacio de colores </w:t>
      </w: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RGB (Rojo, Verde y Azul)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14C3152" w14:textId="77777777" w:rsidR="00B708F3" w:rsidRPr="00B708F3" w:rsidRDefault="00B708F3" w:rsidP="00B7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los modelos de aprendizaje automático y redes neuronales, el manejo del color es un proceso crítico de </w:t>
      </w:r>
      <w:r w:rsidRPr="00B708F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Extracción de Características (</w:t>
      </w:r>
      <w:proofErr w:type="spellStart"/>
      <w:r w:rsidRPr="00B708F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Feature</w:t>
      </w:r>
      <w:proofErr w:type="spellEnd"/>
      <w:r w:rsidRPr="00B708F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B708F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Extraction</w:t>
      </w:r>
      <w:proofErr w:type="spellEnd"/>
      <w:r w:rsidRPr="00B708F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)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. Por ejemplo, tareas especializadas como la detección de patrones vasculares en la piel o la identificación de patologías en cultivos agrícolas dependen estrictamente de aislar y transformar matemáticamente combinaciones específicas de estos canales cromáticos antes de alimentar la red.</w:t>
      </w:r>
    </w:p>
    <w:p w14:paraId="230CE996" w14:textId="77777777" w:rsidR="00B708F3" w:rsidRPr="00B708F3" w:rsidRDefault="00B708F3" w:rsidP="00B70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III. DESARROLLO DE CONTENIDOS TÉCNICOS</w:t>
      </w:r>
    </w:p>
    <w:p w14:paraId="4169EE51" w14:textId="77777777" w:rsidR="00B708F3" w:rsidRPr="00B708F3" w:rsidRDefault="00B708F3" w:rsidP="00B7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1. Descomposición del Tensor y </w:t>
      </w:r>
      <w:proofErr w:type="spellStart"/>
      <w:r w:rsidRPr="00B708F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Slicing</w:t>
      </w:r>
      <w:proofErr w:type="spellEnd"/>
      <w:r w:rsidRPr="00B708F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Avanzado</w:t>
      </w:r>
    </w:p>
    <w:p w14:paraId="17E87690" w14:textId="77777777" w:rsidR="00B708F3" w:rsidRPr="00B708F3" w:rsidRDefault="00B708F3" w:rsidP="00B7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 tensor de imagen RGB en entornos de programación como Python posee una forma estructural definida por </w:t>
      </w:r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(Alto, Ancho, Canales)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Para manipular o extraer un canal de manera individual sin recurrir a bucles </w:t>
      </w:r>
      <w:proofErr w:type="spellStart"/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for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—los cuales resultan altamente ineficientes a nivel computacional— se implementa la técnica de </w:t>
      </w:r>
      <w:proofErr w:type="spellStart"/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Slicing</w:t>
      </w:r>
      <w:proofErr w:type="spellEnd"/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(Rebanado) de </w:t>
      </w:r>
      <w:proofErr w:type="spellStart"/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NumPy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C1943AF" w14:textId="77777777" w:rsidR="00B708F3" w:rsidRPr="00B708F3" w:rsidRDefault="00B708F3" w:rsidP="00B7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sintaxis </w:t>
      </w:r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tensor</w:t>
      </w:r>
      <w:proofErr w:type="gramStart"/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[:,</w:t>
      </w:r>
      <w:proofErr w:type="gramEnd"/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:, 0]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instruye al intérprete para extraer todas las filas, todas las columnas, pero limitando la profundidad exclusivamente al canal índice </w:t>
      </w:r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0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0467475" w14:textId="77777777" w:rsidR="00B708F3" w:rsidRPr="00B708F3" w:rsidRDefault="00B708F3" w:rsidP="00B7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Nota técnica crucial: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cuestiones de compatibilidad y herencia de hardware provenientes de los años 90, la biblioteca </w:t>
      </w:r>
      <w:proofErr w:type="spellStart"/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OpenCV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carga por defecto las imágenes utilizando el orden inverso de canales: </w:t>
      </w: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BGR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(Azul = 0, Verde = 1, Rojo = 2).</w:t>
      </w:r>
    </w:p>
    <w:p w14:paraId="7F75EB83" w14:textId="6455FE56" w:rsidR="00B708F3" w:rsidRPr="00B708F3" w:rsidRDefault="00B708F3" w:rsidP="00B70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drawing>
          <wp:inline distT="0" distB="0" distL="0" distR="0" wp14:anchorId="6EBB846D" wp14:editId="2AD43353">
            <wp:extent cx="4486901" cy="25054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0CEE" w14:textId="77777777" w:rsidR="00B708F3" w:rsidRPr="00B708F3" w:rsidRDefault="00B708F3" w:rsidP="00B7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Conversión a Escala de Grises y el Producto Punto Oculto</w:t>
      </w:r>
    </w:p>
    <w:p w14:paraId="46D1E88B" w14:textId="77777777" w:rsidR="00B708F3" w:rsidRPr="00B708F3" w:rsidRDefault="00B708F3" w:rsidP="00B7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transformación de una imagen a escala de grises trasciende la simple aplicación de un promedio aritmético simple entre canales </w:t>
      </w:r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(R+G+</w:t>
      </w:r>
      <w:proofErr w:type="gramStart"/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B)/</w:t>
      </w:r>
      <w:proofErr w:type="gramEnd"/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3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Debido a que la percepción visual humana muestra una sensibilidad notablemente superior hacia la luz verde en comparación con la roja o la azul, </w:t>
      </w:r>
      <w:proofErr w:type="spellStart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Computer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Vision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utiliza una combinación lineal ponderada estandarizada:</w:t>
      </w:r>
    </w:p>
    <w:p w14:paraId="7DD2ED6A" w14:textId="77777777" w:rsidR="00B708F3" w:rsidRPr="00B708F3" w:rsidRDefault="00B708F3" w:rsidP="00B7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$$\</w:t>
      </w:r>
      <w:proofErr w:type="spellStart"/>
      <w:proofErr w:type="gramStart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mathbf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gram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Y = 0.299 \</w:t>
      </w:r>
      <w:proofErr w:type="spellStart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cdot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 + 0.587 \</w:t>
      </w:r>
      <w:proofErr w:type="spellStart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cdot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 + 0.114 \</w:t>
      </w:r>
      <w:proofErr w:type="spellStart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cdot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B}$$</w:t>
      </w:r>
    </w:p>
    <w:p w14:paraId="1FEB024E" w14:textId="77777777" w:rsidR="00B708F3" w:rsidRPr="00B708F3" w:rsidRDefault="00B708F3" w:rsidP="00B7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Desde el punto de vista del álgebra lineal, esta operación representa un </w:t>
      </w: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 Punto (</w:t>
      </w:r>
      <w:proofErr w:type="spellStart"/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Dot</w:t>
      </w:r>
      <w:proofErr w:type="spellEnd"/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</w:t>
      </w:r>
      <w:proofErr w:type="spellEnd"/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ejecutado entre el vector de píxeles de la imagen y un vector de ponderación específico $W = [0.114, 0.587, 0.299]$ (configurado de acuerdo con la convención BGR).</w:t>
      </w:r>
    </w:p>
    <w:p w14:paraId="15C43B7C" w14:textId="77777777" w:rsidR="00B708F3" w:rsidRPr="00B708F3" w:rsidRDefault="00B708F3" w:rsidP="00B7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El Histograma como Herramienta de Estadística de Imagen</w:t>
      </w:r>
    </w:p>
    <w:p w14:paraId="242AD306" w14:textId="77777777" w:rsidR="00B708F3" w:rsidRPr="00B708F3" w:rsidRDefault="00B708F3" w:rsidP="00B7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las fases de preprocesamiento para Machine </w:t>
      </w:r>
      <w:proofErr w:type="spellStart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Learning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resulta indispensable evaluar el contraste de una imagen. El </w:t>
      </w: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Histograma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una gráfica de distribución de frecuencias que cuantifica el número exacto de píxeles presentes en cada uno de los 256 niveles de intensidad (del 0 al 255):</w:t>
      </w:r>
    </w:p>
    <w:p w14:paraId="19EE51E4" w14:textId="77777777" w:rsidR="00B708F3" w:rsidRPr="00B708F3" w:rsidRDefault="00B708F3" w:rsidP="00B70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Subexposición (Imagen oscura):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Los datos estadísticos se concentran fuertemente hacia la izquierda (próximos al 0).</w:t>
      </w:r>
    </w:p>
    <w:p w14:paraId="66C860F5" w14:textId="77777777" w:rsidR="00B708F3" w:rsidRPr="00B708F3" w:rsidRDefault="00B708F3" w:rsidP="00B70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Sobreexpuesta (Imagen muy clara):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Los datos se agrupan hacia la derecha (próximos al 255).</w:t>
      </w:r>
    </w:p>
    <w:p w14:paraId="303C7BA2" w14:textId="77777777" w:rsidR="00B708F3" w:rsidRPr="00B708F3" w:rsidRDefault="00B708F3" w:rsidP="00B70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Contraste Óptimo: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uso equilibrado de todo el espectro de intensidades, condición ideal para el entrenamiento de modelos de aprendizaje automático.</w:t>
      </w:r>
    </w:p>
    <w:p w14:paraId="62E1786D" w14:textId="77777777" w:rsidR="00B708F3" w:rsidRDefault="00B708F3" w:rsidP="00B70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drawing>
          <wp:inline distT="0" distB="0" distL="0" distR="0" wp14:anchorId="5254E222" wp14:editId="1D740347">
            <wp:extent cx="5115639" cy="2448267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3990" w14:textId="6DC6135B" w:rsidR="00B708F3" w:rsidRPr="00B708F3" w:rsidRDefault="00B708F3" w:rsidP="00B70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IV. TALLERES Y ACTIVIDADES PRÁCTICAS</w:t>
      </w:r>
    </w:p>
    <w:p w14:paraId="32841956" w14:textId="77777777" w:rsidR="00B708F3" w:rsidRPr="00B708F3" w:rsidRDefault="00B708F3" w:rsidP="00B7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Taller Analítico 1: Operaciones con Tensores</w:t>
      </w:r>
    </w:p>
    <w:p w14:paraId="10CCD1C9" w14:textId="77777777" w:rsidR="00B708F3" w:rsidRPr="00B708F3" w:rsidRDefault="00B708F3" w:rsidP="00B70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Dimensiones del recorte </w:t>
      </w:r>
      <w:proofErr w:type="gramStart"/>
      <w:r w:rsidRPr="00B708F3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imagen[</w:t>
      </w:r>
      <w:proofErr w:type="gramEnd"/>
      <w:r w:rsidRPr="00B708F3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100:200, 300:400, 1]</w:t>
      </w: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aplicar esta operación sobre una matriz base de dimensiones 1920 × 1080, el resultado genera una matriz 2D con un </w:t>
      </w:r>
      <w:proofErr w:type="spellStart"/>
      <w:r w:rsidRPr="00B708F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shape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exacto de </w:t>
      </w:r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(100, 100)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, conteniendo exclusivamente la información de intensidad correspondiente al canal verde (índice 1) en la región espacial delimitada.</w:t>
      </w:r>
    </w:p>
    <w:p w14:paraId="1C98C1D2" w14:textId="77777777" w:rsidR="00B708F3" w:rsidRPr="00B708F3" w:rsidRDefault="00B708F3" w:rsidP="00B70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Eficiencia computacional del </w:t>
      </w:r>
      <w:proofErr w:type="spellStart"/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Slicing</w:t>
      </w:r>
      <w:proofErr w:type="spellEnd"/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frente a bucles </w:t>
      </w:r>
      <w:proofErr w:type="spellStart"/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</w:t>
      </w:r>
      <w:proofErr w:type="spellEnd"/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uso de </w:t>
      </w:r>
      <w:proofErr w:type="spellStart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Slicing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optimiza drásticamente el rendimiento gracias a la vectorización subyacente implementada en C dentro de </w:t>
      </w:r>
      <w:proofErr w:type="spellStart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NumPy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al aprovechamiento óptimo de la localidad de referencias en la arquitectura de memoria caché del hardware, evitando la sobrecarga de interpretación propia de los bucles iterativos en Python.</w:t>
      </w:r>
    </w:p>
    <w:p w14:paraId="2B5058CD" w14:textId="77777777" w:rsidR="00B708F3" w:rsidRPr="00B708F3" w:rsidRDefault="00B708F3" w:rsidP="00B7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Talleres de Laboratorio (Transformación y Análisis Estadístico)</w:t>
      </w:r>
    </w:p>
    <w:p w14:paraId="446B7D33" w14:textId="77777777" w:rsidR="00B708F3" w:rsidRPr="00B708F3" w:rsidRDefault="00B708F3" w:rsidP="00B70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Laboratorio 1 (Transformación de Espacios):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Creación y evaluación matemática de un píxel amarillo puro </w:t>
      </w:r>
      <w:proofErr w:type="spellStart"/>
      <w:proofErr w:type="gramStart"/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np.array</w:t>
      </w:r>
      <w:proofErr w:type="spellEnd"/>
      <w:proofErr w:type="gramEnd"/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([0, 255, 255])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mediante la fórmula ponderada y su contraste frente a la función optimizada </w:t>
      </w:r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cv2.cvtColor()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</w:t>
      </w:r>
      <w:proofErr w:type="spellStart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OpenCV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AAEE75D" w14:textId="77777777" w:rsidR="00B708F3" w:rsidRPr="00B708F3" w:rsidRDefault="00B708F3" w:rsidP="00B70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Laboratorio 2 (Análisis Estadístico Multicanal):</w:t>
      </w: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Carga de imagen RGB, separación de canales individuales (B, G, R), cálculo de histogramas independientes y superposición gráfica mediante </w:t>
      </w:r>
      <w:proofErr w:type="spellStart"/>
      <w:r w:rsidRPr="00B708F3">
        <w:rPr>
          <w:rFonts w:ascii="Courier New" w:eastAsia="Times New Roman" w:hAnsi="Courier New" w:cs="Courier New"/>
          <w:sz w:val="20"/>
          <w:szCs w:val="20"/>
          <w:lang w:eastAsia="es-CO"/>
        </w:rPr>
        <w:t>matplotlib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determinar el color dominante en la iluminación de la fotografía analizada.</w:t>
      </w:r>
    </w:p>
    <w:p w14:paraId="52EED2D2" w14:textId="77777777" w:rsidR="00B708F3" w:rsidRPr="00B708F3" w:rsidRDefault="00B708F3" w:rsidP="00B70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B708F3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V. CONCLUSIONES</w:t>
      </w:r>
    </w:p>
    <w:p w14:paraId="2F1A9BAE" w14:textId="77777777" w:rsidR="00B708F3" w:rsidRPr="00B708F3" w:rsidRDefault="00B708F3" w:rsidP="00B70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La conceptualización de las imágenes digitales como tensores tridimensionales permite fundamentar matemáticamente los procesos de extracción de características requeridos en Inteligencia Artificial.</w:t>
      </w:r>
    </w:p>
    <w:p w14:paraId="2AD33070" w14:textId="77777777" w:rsidR="00B708F3" w:rsidRPr="00B708F3" w:rsidRDefault="00B708F3" w:rsidP="00B70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uso adecuado de funciones vectorizadas y técnicas de rebanado (</w:t>
      </w:r>
      <w:proofErr w:type="spellStart"/>
      <w:r w:rsidRPr="00B708F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Slicing</w:t>
      </w:r>
      <w:proofErr w:type="spellEnd"/>
      <w:r w:rsidRPr="00B708F3">
        <w:rPr>
          <w:rFonts w:ascii="Times New Roman" w:eastAsia="Times New Roman" w:hAnsi="Times New Roman" w:cs="Times New Roman"/>
          <w:sz w:val="24"/>
          <w:szCs w:val="24"/>
          <w:lang w:eastAsia="es-CO"/>
        </w:rPr>
        <w:t>) garantiza la escalabilidad y eficiencia en el procesamiento de grandes volúmenes de datos visuales en dispositivos móviles y sistemas embebidos.</w:t>
      </w:r>
    </w:p>
    <w:p w14:paraId="1918EAA5" w14:textId="77F9C8A8" w:rsidR="00713F08" w:rsidRDefault="00713F08"/>
    <w:sectPr w:rsidR="00713F08" w:rsidSect="0094187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600E2"/>
    <w:multiLevelType w:val="multilevel"/>
    <w:tmpl w:val="07B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B6184"/>
    <w:multiLevelType w:val="multilevel"/>
    <w:tmpl w:val="9BA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6607D"/>
    <w:multiLevelType w:val="multilevel"/>
    <w:tmpl w:val="C594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5C33A1"/>
    <w:multiLevelType w:val="multilevel"/>
    <w:tmpl w:val="D12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556EB"/>
    <w:multiLevelType w:val="multilevel"/>
    <w:tmpl w:val="7F92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F3"/>
    <w:rsid w:val="00713F08"/>
    <w:rsid w:val="00941870"/>
    <w:rsid w:val="00B7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69847"/>
  <w15:chartTrackingRefBased/>
  <w15:docId w15:val="{7CE7BEBA-7F59-42AB-9DE4-863E1A96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8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708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B708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8F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708F3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B708F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70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708F3"/>
    <w:rPr>
      <w:rFonts w:ascii="Courier New" w:eastAsia="Times New Roman" w:hAnsi="Courier New" w:cs="Courier New"/>
      <w:sz w:val="20"/>
      <w:szCs w:val="20"/>
    </w:rPr>
  </w:style>
  <w:style w:type="character" w:customStyle="1" w:styleId="ng-tns-c447322596-19">
    <w:name w:val="ng-tns-c447322596-19"/>
    <w:basedOn w:val="Fuentedeprrafopredeter"/>
    <w:rsid w:val="00B708F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708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708F3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keyword">
    <w:name w:val="hljs-keyword"/>
    <w:basedOn w:val="Fuentedeprrafopredeter"/>
    <w:rsid w:val="00B708F3"/>
  </w:style>
  <w:style w:type="character" w:customStyle="1" w:styleId="hljs-comment">
    <w:name w:val="hljs-comment"/>
    <w:basedOn w:val="Fuentedeprrafopredeter"/>
    <w:rsid w:val="00B708F3"/>
  </w:style>
  <w:style w:type="character" w:customStyle="1" w:styleId="hljs-string">
    <w:name w:val="hljs-string"/>
    <w:basedOn w:val="Fuentedeprrafopredeter"/>
    <w:rsid w:val="00B708F3"/>
  </w:style>
  <w:style w:type="character" w:customStyle="1" w:styleId="hljs-number">
    <w:name w:val="hljs-number"/>
    <w:basedOn w:val="Fuentedeprrafopredeter"/>
    <w:rsid w:val="00B708F3"/>
  </w:style>
  <w:style w:type="character" w:customStyle="1" w:styleId="math-inline">
    <w:name w:val="math-inline"/>
    <w:basedOn w:val="Fuentedeprrafopredeter"/>
    <w:rsid w:val="00B708F3"/>
  </w:style>
  <w:style w:type="character" w:customStyle="1" w:styleId="ng-tns-c447322596-20">
    <w:name w:val="ng-tns-c447322596-20"/>
    <w:basedOn w:val="Fuentedeprrafopredeter"/>
    <w:rsid w:val="00B708F3"/>
  </w:style>
  <w:style w:type="character" w:customStyle="1" w:styleId="hljs-literal">
    <w:name w:val="hljs-literal"/>
    <w:basedOn w:val="Fuentedeprrafopredeter"/>
    <w:rsid w:val="00B70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89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6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816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Juliana Paipa</dc:creator>
  <cp:keywords/>
  <dc:description/>
  <cp:lastModifiedBy>Arianne Juliana Paipa</cp:lastModifiedBy>
  <cp:revision>1</cp:revision>
  <dcterms:created xsi:type="dcterms:W3CDTF">2026-09-13T04:59:00Z</dcterms:created>
  <dcterms:modified xsi:type="dcterms:W3CDTF">2026-09-13T05:05:00Z</dcterms:modified>
</cp:coreProperties>
</file>