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HoloLens: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Visualization of Object Variable’s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Accessor/Mutator Methods</w:t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ID: #1304 (HoloLens) Visualization of Object Accessor/Mutator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Andres Chalela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Paola Jiron and Andres Chalela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Augmented Reality for Computer Science Education: HoloLens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Francisco Ortega and 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4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color w:val="ffffff"/>
          <w:sz w:val="32"/>
          <w:szCs w:val="32"/>
          <w:shd w:fill="4c4c4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1"/>
            <w:keepLines w:val="1"/>
            <w:pBdr/>
            <w:spacing w:after="240" w:line="240" w:lineRule="auto"/>
            <w:contextualSpacing w:val="0"/>
            <w:jc w:val="center"/>
            <w:rPr>
              <w:rFonts w:ascii="Times New Roman" w:cs="Times New Roman" w:eastAsia="Times New Roman" w:hAnsi="Times New Roman"/>
              <w:b w:val="1"/>
              <w:sz w:val="36"/>
              <w:szCs w:val="36"/>
              <w:shd w:fill="4c4c4c" w:val="clear"/>
            </w:rPr>
          </w:pPr>
          <w:bookmarkStart w:colFirst="0" w:colLast="0" w:name="_gjdgxs" w:id="0"/>
          <w:bookmarkEnd w:id="0"/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Visualization of Object Accessor/Mutator Methods</w:t>
            <w:tab/>
            <w:t xml:space="preserve">2</w:t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1.2 </w:t>
            <w:tab/>
            <w:t xml:space="preserve">Use Cases</w:t>
            <w:tab/>
            <w:t xml:space="preserve">  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Behaviour Requirements</w:t>
            <w:tab/>
            <w:t xml:space="preserve">6</w:t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Sequence Diagrams</w:t>
            <w:tab/>
            <w:t xml:space="preserve">7-13</w:t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Class Diagrams</w:t>
            <w:tab/>
            <w:t xml:space="preserve">14</w:t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4.2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Software Architecture</w:t>
            <w:tab/>
            <w:t xml:space="preserve">15</w:t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5</w:t>
            <w:tab/>
            <w:t xml:space="preserve">Unit Test</w:t>
            <w:tab/>
            <w:t xml:space="preserve">16</w:t>
          </w:r>
        </w:p>
        <w:p w:rsidR="00000000" w:rsidDel="00000000" w:rsidP="00000000" w:rsidRDefault="00000000" w:rsidRPr="00000000">
          <w:pPr>
            <w:pBdr/>
            <w:tabs>
              <w:tab w:val="left" w:pos="480"/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6</w:t>
            <w:tab/>
            <w:t xml:space="preserve">Visual User Guide</w:t>
            <w:tab/>
            <w:t xml:space="preserve">17-18</w:t>
          </w:r>
        </w:p>
        <w:p w:rsidR="00000000" w:rsidDel="00000000" w:rsidP="00000000" w:rsidRDefault="00000000" w:rsidRPr="00000000">
          <w:pPr>
            <w:pBdr/>
            <w:tabs>
              <w:tab w:val="left" w:pos="960"/>
              <w:tab w:val="right" w:pos="9350"/>
            </w:tabs>
            <w:spacing w:after="0" w:line="240" w:lineRule="auto"/>
            <w:ind w:left="240" w:firstLine="0"/>
            <w:contextualSpacing w:val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50"/>
            </w:tabs>
            <w:spacing w:after="120" w:before="120" w:line="240" w:lineRule="auto"/>
            <w:contextualSpacing w:val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Appendix</w:t>
            <w:tab/>
            <w:t xml:space="preserve">19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spacing w:after="240" w:before="0" w:lineRule="auto"/>
        <w:contextualSpacing w:val="0"/>
        <w:jc w:val="both"/>
        <w:rPr>
          <w:smallCaps w:val="1"/>
          <w:sz w:val="32"/>
          <w:szCs w:val="32"/>
        </w:rPr>
      </w:pPr>
      <w:bookmarkStart w:colFirst="0" w:colLast="0" w:name="_fyryos8yvg7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1.1 Visualization of Object Accessor/Mutator Methods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u w:val="single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320.72727272727275" w:lineRule="auto"/>
        <w:contextualSpacing w:val="0"/>
        <w:rPr>
          <w:rFonts w:ascii="Arial" w:cs="Arial" w:eastAsia="Arial" w:hAnsi="Arial"/>
          <w:i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sz w:val="21"/>
          <w:szCs w:val="21"/>
          <w:highlight w:val="white"/>
          <w:rtl w:val="0"/>
        </w:rPr>
        <w:t xml:space="preserve">As a user, I have to be able to be able to manipulate a holographic object’s color variable attribute, so that I can have a visualization of what object accessor/mutator methods are and how they function.</w:t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u w:val="single"/>
          <w:rtl w:val="0"/>
        </w:rPr>
        <w:t xml:space="preserve">Acceptance Criteria: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Use experience &amp; knowledge from previous Sprint HoloLens tutorials to implement needed elements within Unity Project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Create color palette element within Unity that will allow user interaction and allow manipulation of a UI element’s color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Create needed 3D Holographic Object that will be affected by user color choice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Create text elements displaying relevant project information &amp; prompting user interaction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Implement needed HoloLens input scripts that will allow user to interact with color palette via Gaze &amp; Hand Gestures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Implement needed scripts for having 3D Object rotate and move up and down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Allow user to choose color using a cursor that will allow tracking of HoloLens Gaze functionality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Test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Deploy &amp; build to Emulator/HoloLens</w:t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1.2 Use Cases</w:t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zaz4192qd38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ID: US1304-1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Name: HoloLens Gaze &amp; 3D Cursor Integration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Actor: Player, Developer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Preconditions: Actor has initialized the HoloLens App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Postcondition: Actor manipulates cursor with Gaze and head movements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Flow of events: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 initializes HoloLens 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</w:tcBorders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Actor looks around and point Gaze functionality to floating color palette UI element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When the Gaze pointer shows up on the floating color palette UI element, Actor stops moving</w:t>
            </w:r>
          </w:p>
        </w:tc>
        <w:tc>
          <w:tcPr>
            <w:tcBorders>
              <w:right w:color="ffffff" w:space="0" w:sz="8" w:val="single"/>
            </w:tcBorders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</w:tcBorders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Actor sees 3D cursor on top of color palette UI Element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zaz4192qd38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ID: US1304-2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Name: Preview Color UI Element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Actor: Player, Developer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Preconditions: Application is running and actor is wearing the Hololens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Postcondition: Actor sees the Preview Color UI Element change color as cursor moves on the surface of color palette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Flow of events: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Actor gazes at the color palette UI element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</w:tcBorders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Actor controls cursor with head movements and moves cursor across surface of UI color palette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 Actor sees Preview Color UI element change color as cursor moves across different colors</w:t>
            </w:r>
          </w:p>
        </w:tc>
        <w:tc>
          <w:tcPr>
            <w:tcBorders>
              <w:right w:color="ffffff" w:space="0" w:sz="8" w:val="single"/>
            </w:tcBorders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zaz4192qd38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ID: US1304-3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Name: Specific Color Selection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Actor: Player, Developer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Preconditions: Application is running and actor is wearing the Hololens device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Postcondition: Actor decides on a color and uses ‘tap’ HoloLens gesture to change 3D object’s color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720" w:firstLine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Flow of events: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Actor gazes at the color palette UI Element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</w:tcBorders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Actor controls cursor with head movements and moves across color palette.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 Actor sees Preview Color UI element change and decides on a specific color .</w:t>
            </w:r>
          </w:p>
        </w:tc>
        <w:tc>
          <w:tcPr>
            <w:tcBorders>
              <w:right w:color="ffffff" w:space="0" w:sz="8" w:val="single"/>
            </w:tcBorders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</w:tcBorders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Actor ‘taps’ on color palette to select color, and floating 3D object changes to the respective color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Behaviour Requirements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6596063" cy="4990065"/>
            <wp:effectExtent b="0" l="0" r="0" t="0"/>
            <wp:docPr descr="Screen Shot 2017-04-06 at 8.53.54 PM.png" id="6" name="image15.png"/>
            <a:graphic>
              <a:graphicData uri="http://schemas.openxmlformats.org/drawingml/2006/picture">
                <pic:pic>
                  <pic:nvPicPr>
                    <pic:cNvPr descr="Screen Shot 2017-04-06 at 8.53.54 PM.png"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499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Sequence Diagrams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6243638" cy="4010025"/>
            <wp:effectExtent b="0" l="0" r="0" t="0"/>
            <wp:docPr descr="Screen Shot 2017-04-06 at 10.44.23 PM.png" id="7" name="image16.png"/>
            <a:graphic>
              <a:graphicData uri="http://schemas.openxmlformats.org/drawingml/2006/picture">
                <pic:pic>
                  <pic:nvPicPr>
                    <pic:cNvPr descr="Screen Shot 2017-04-06 at 10.44.23 PM.png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Sequence Diagram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740"/>
        <w:tblGridChange w:id="0">
          <w:tblGrid>
            <w:gridCol w:w="900"/>
            <w:gridCol w:w="8740"/>
          </w:tblGrid>
        </w:tblGridChange>
      </w:tblGrid>
      <w:tr>
        <w:trPr>
          <w:trHeight w:val="1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actors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lifelines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activations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entity objects</w:t>
            </w:r>
          </w:p>
        </w:tc>
      </w:tr>
      <w:tr>
        <w:trPr>
          <w:trHeight w:val="2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control objects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method call in the receiving class for each received message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method call in the sending class for each sent message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messages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Standards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20"/>
        <w:tblGridChange w:id="0">
          <w:tblGrid>
            <w:gridCol w:w="920"/>
            <w:gridCol w:w="8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 are a stick figure with full name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Message is a solid line with a filled arrow ahead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message are a dashed line with an open arrowhead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One outgoing action arrow per action box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Compliance of the document guidelines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20"/>
        <w:tblGridChange w:id="0">
          <w:tblGrid>
            <w:gridCol w:w="920"/>
            <w:gridCol w:w="8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UML syntax correct?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an Actor?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there is more than one object for a class (also in other sequence diagrams) are those objects referenced with proper names?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the diagram cover the user case scenario?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Internal consistence of the model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96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40"/>
        <w:tblGridChange w:id="0">
          <w:tblGrid>
            <w:gridCol w:w="920"/>
            <w:gridCol w:w="87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scenario for the sequence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documentation to which scenario belongs a sequence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scenario information correctly described?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events?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methods defined in the class?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actions in the State Diagrams?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Are all objects the same as shown on the class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Are there activation lifelines (rectangles) to show created and deleted objects?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 each message be sent?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each class in the class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method call in the receiving class for each received message?</w:t>
            </w:r>
          </w:p>
        </w:tc>
      </w:tr>
    </w:tbl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319838" cy="4010025"/>
            <wp:effectExtent b="0" l="0" r="0" t="0"/>
            <wp:docPr descr="Screen Shot 2017-04-06 at 10.53.59 PM.png" id="4" name="image13.png"/>
            <a:graphic>
              <a:graphicData uri="http://schemas.openxmlformats.org/drawingml/2006/picture">
                <pic:pic>
                  <pic:nvPicPr>
                    <pic:cNvPr descr="Screen Shot 2017-04-06 at 10.53.59 PM.png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Sequence Diagram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740"/>
        <w:tblGridChange w:id="0">
          <w:tblGrid>
            <w:gridCol w:w="900"/>
            <w:gridCol w:w="8740"/>
          </w:tblGrid>
        </w:tblGridChange>
      </w:tblGrid>
      <w:tr>
        <w:trPr>
          <w:trHeight w:val="1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actors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lifelines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activations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entity objects</w:t>
            </w:r>
          </w:p>
        </w:tc>
      </w:tr>
      <w:tr>
        <w:trPr>
          <w:trHeight w:val="2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control objects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method call in the receiving class for each received message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method call in the sending class for each sent message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messages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Standards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20"/>
        <w:tblGridChange w:id="0">
          <w:tblGrid>
            <w:gridCol w:w="920"/>
            <w:gridCol w:w="8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 are a stick figure with full name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Message is a solid line with a filled arrow ahead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message are a dashed line with an open arrowhead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One outgoing action arrow per action box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Compliance of the document guidelines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20"/>
        <w:tblGridChange w:id="0">
          <w:tblGrid>
            <w:gridCol w:w="920"/>
            <w:gridCol w:w="8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UML syntax correct?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an Actor?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there is more than one object for a class (also in other sequence diagrams) are those objects referenced with proper names?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the diagram cover the user case scenario?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Internal consistence of the model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9"/>
        <w:bidiVisual w:val="0"/>
        <w:tblW w:w="96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40"/>
        <w:tblGridChange w:id="0">
          <w:tblGrid>
            <w:gridCol w:w="920"/>
            <w:gridCol w:w="87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scenario for the sequence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documentation to which scenario belongs a sequence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scenario information correctly described?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events?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methods defined in the class?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actions in the State Diagrams?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Are all objects the same as shown on the class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Are there activation lifelines (rectangles) to show created and deleted objects?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 each message be sent?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each class in the class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method call in the receiving class for each received message?</w:t>
            </w:r>
          </w:p>
        </w:tc>
      </w:tr>
    </w:tbl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6243638" cy="3990975"/>
            <wp:effectExtent b="0" l="0" r="0" t="0"/>
            <wp:docPr descr="Screen Shot 2017-04-06 at 11.12.14 PM.png" id="3" name="image12.png"/>
            <a:graphic>
              <a:graphicData uri="http://schemas.openxmlformats.org/drawingml/2006/picture">
                <pic:pic>
                  <pic:nvPicPr>
                    <pic:cNvPr descr="Screen Shot 2017-04-06 at 11.12.14 PM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0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Sequence Diagram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740"/>
        <w:tblGridChange w:id="0">
          <w:tblGrid>
            <w:gridCol w:w="900"/>
            <w:gridCol w:w="8740"/>
          </w:tblGrid>
        </w:tblGridChange>
      </w:tblGrid>
      <w:tr>
        <w:trPr>
          <w:trHeight w:val="1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actors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lifelines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activations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entity objects</w:t>
            </w:r>
          </w:p>
        </w:tc>
      </w:tr>
      <w:tr>
        <w:trPr>
          <w:trHeight w:val="2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control objects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method call in the receiving class for each received message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method call in the sending class for each sent message</w:t>
            </w:r>
          </w:p>
        </w:tc>
      </w:tr>
      <w:tr>
        <w:trPr>
          <w:trHeight w:val="2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Includes messages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Standards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3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20"/>
        <w:tblGridChange w:id="0">
          <w:tblGrid>
            <w:gridCol w:w="920"/>
            <w:gridCol w:w="8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 are a stick figure with full name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Message is a solid line with a filled arrow ahead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message are a dashed line with an open arrowhead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One outgoing action arrow per action box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4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Compliance of the document guidelines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20"/>
        <w:tblGridChange w:id="0">
          <w:tblGrid>
            <w:gridCol w:w="920"/>
            <w:gridCol w:w="8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UML syntax correct?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an Actor?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there is more than one object for a class (also in other sequence diagrams) are those objects referenced with proper names?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the diagram cover the user case scenario?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6"/>
        <w:bidiVisual w:val="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Internal consistence of the model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7"/>
        <w:bidiVisual w:val="0"/>
        <w:tblW w:w="96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0"/>
        <w:gridCol w:w="8740"/>
        <w:tblGridChange w:id="0">
          <w:tblGrid>
            <w:gridCol w:w="920"/>
            <w:gridCol w:w="87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scenario for the sequence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documentation to which scenario belongs a sequence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scenario information correctly described?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events?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methods defined in the class?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an object of a class receives notifications, are those notifications mapped as actions in the State Diagrams?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Are all objects the same as shown on the class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Are there activation lifelines (rectangles) to show created and deleted objects?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 each message be sent?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each class in the class diagram?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method call in the receiving class for each received message?</w:t>
            </w:r>
          </w:p>
        </w:tc>
      </w:tr>
    </w:tbl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4.1 Class Diagram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367463" cy="4106631"/>
            <wp:effectExtent b="0" l="0" r="0" t="0"/>
            <wp:docPr descr="classDiagram.PNG" id="1" name="image2.png"/>
            <a:graphic>
              <a:graphicData uri="http://schemas.openxmlformats.org/drawingml/2006/picture">
                <pic:pic>
                  <pic:nvPicPr>
                    <pic:cNvPr descr="classDiagram.PN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10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 Software Architecture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388620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Unit Test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US1304-1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User uses HoloLens Gaze functionality to look at color palette UI element. Cursor appears on color palette element once Gaze focuses on it. 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HoloLens app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should be initialized and user must be wearing the Hololens device to be able to utilize Gaze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User should see cursor icon on surface of color palette 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Cursor appears on surface of color palette UI element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US1304-2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User uses HoloLens Gaze to hover over different colors within color palette using the implemented cursor. Preview Color UI element changes according to the color that cursor is focused on.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HoloLens app should be initialized and user must be wearing the Hololens device to be able to utilize Gaze functionality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Preview Color UI element changes color as cursor hovers over different colors within color palette.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Preview Color UI element changes accordingly to the color that cursor is hovered over.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US1304-3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User uses Holens Gaze to hover over a specific color using the implemented cursor. Once color is decided, user can use ‘tap’ gesture to change the color of floating 3D holographic object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  <w:tab/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User sees the 3D holographic object change color once they use ‘tap’ gesture on color palette.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3D holographic object changes to the specific color selected 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Fail.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tn51cwkkd1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itn51cwkkd1v" w:id="3"/>
      <w:bookmarkEnd w:id="3"/>
      <w:r w:rsidDel="00000000" w:rsidR="00000000" w:rsidRPr="00000000">
        <w:drawing>
          <wp:inline distB="114300" distT="114300" distL="114300" distR="114300">
            <wp:extent cx="5943600" cy="3558185"/>
            <wp:effectExtent b="0" l="0" r="0" t="0"/>
            <wp:docPr descr="Sprint5_1.PNG" id="9" name="image18.png"/>
            <a:graphic>
              <a:graphicData uri="http://schemas.openxmlformats.org/drawingml/2006/picture">
                <pic:pic>
                  <pic:nvPicPr>
                    <pic:cNvPr descr="Sprint5_1.PNG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b w:val="1"/>
        </w:rPr>
      </w:pPr>
      <w:bookmarkStart w:colFirst="0" w:colLast="0" w:name="_mwv85xtfdesb" w:id="4"/>
      <w:bookmarkEnd w:id="4"/>
      <w:r w:rsidDel="00000000" w:rsidR="00000000" w:rsidRPr="00000000">
        <w:rPr>
          <w:b w:val="1"/>
          <w:rtl w:val="0"/>
        </w:rPr>
        <w:t xml:space="preserve">Figure 1. Main Scene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b w:val="1"/>
        </w:rPr>
      </w:pPr>
      <w:bookmarkStart w:colFirst="0" w:colLast="0" w:name="_tnu4d3fanqc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y8nk3n7wh5er" w:id="6"/>
      <w:bookmarkEnd w:id="6"/>
      <w:r w:rsidDel="00000000" w:rsidR="00000000" w:rsidRPr="00000000">
        <w:drawing>
          <wp:inline distB="114300" distT="114300" distL="114300" distR="114300">
            <wp:extent cx="5557838" cy="3331140"/>
            <wp:effectExtent b="0" l="0" r="0" t="0"/>
            <wp:docPr descr="Sprint5_2.PNG" id="5" name="image14.png"/>
            <a:graphic>
              <a:graphicData uri="http://schemas.openxmlformats.org/drawingml/2006/picture">
                <pic:pic>
                  <pic:nvPicPr>
                    <pic:cNvPr descr="Sprint5_2.PNG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3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b w:val="1"/>
        </w:rPr>
      </w:pPr>
      <w:bookmarkStart w:colFirst="0" w:colLast="0" w:name="_u2pf8666fkp2" w:id="7"/>
      <w:bookmarkEnd w:id="7"/>
      <w:r w:rsidDel="00000000" w:rsidR="00000000" w:rsidRPr="00000000">
        <w:rPr>
          <w:b w:val="1"/>
          <w:rtl w:val="0"/>
        </w:rPr>
        <w:t xml:space="preserve">Figure 2. Scene 1 [Front View]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b w:val="1"/>
        </w:rPr>
      </w:pPr>
      <w:bookmarkStart w:colFirst="0" w:colLast="0" w:name="_5s2zl7xznoe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b w:val="1"/>
        </w:rPr>
      </w:pPr>
      <w:bookmarkStart w:colFirst="0" w:colLast="0" w:name="_nn1i5scaonm5" w:id="9"/>
      <w:bookmarkEnd w:id="9"/>
      <w:r w:rsidDel="00000000" w:rsidR="00000000" w:rsidRPr="00000000">
        <w:drawing>
          <wp:inline distB="114300" distT="114300" distL="114300" distR="114300">
            <wp:extent cx="5943600" cy="3416300"/>
            <wp:effectExtent b="0" l="0" r="0" t="0"/>
            <wp:docPr descr="Sprint5_3.PNG" id="2" name="image11.png"/>
            <a:graphic>
              <a:graphicData uri="http://schemas.openxmlformats.org/drawingml/2006/picture">
                <pic:pic>
                  <pic:nvPicPr>
                    <pic:cNvPr descr="Sprint5_3.PNG" id="0" name="image11.png"/>
                    <pic:cNvPicPr preferRelativeResize="0"/>
                  </pic:nvPicPr>
                  <pic:blipFill>
                    <a:blip r:embed="rId13"/>
                    <a:srcRect b="1993" l="0" r="0" t="19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b w:val="1"/>
        </w:rPr>
      </w:pPr>
      <w:bookmarkStart w:colFirst="0" w:colLast="0" w:name="_3tlf9p5nwu1t" w:id="10"/>
      <w:bookmarkEnd w:id="10"/>
      <w:r w:rsidDel="00000000" w:rsidR="00000000" w:rsidRPr="00000000">
        <w:rPr>
          <w:b w:val="1"/>
          <w:rtl w:val="0"/>
        </w:rPr>
        <w:t xml:space="preserve">Figure 3. Scene 1 [Side View]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b w:val="1"/>
        </w:rPr>
      </w:pPr>
      <w:bookmarkStart w:colFirst="0" w:colLast="0" w:name="_7c8hdtj44ef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xteeob9cq2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98et5q3k5g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iye18f0ep0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83ihg27scsj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APPENDIX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3326nn1pts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y4lgm1xn7ms" w:id="17"/>
      <w:bookmarkEnd w:id="17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u35az1xt34o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bookmarkStart w:colFirst="0" w:colLast="0" w:name="_aev463qa0nzb" w:id="19"/>
      <w:bookmarkEnd w:id="19"/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[1] "GitHub - Microsoft/HoloToolkit-Unity". Web. 30 Mar. 2017. &lt;https://github.com/Microsoft/HoloToolkit-Unity&gt;.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30j0zll" w:id="20"/>
      <w:bookmarkEnd w:id="20"/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5840" w:w="12240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1080"/>
      </w:pPr>
      <w:rPr>
        <w:rFonts w:ascii="Arial" w:cs="Arial" w:eastAsia="Arial" w:hAnsi="Arial"/>
        <w:b w:val="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7.jp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image" Target="media/image15.png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