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1a5e9477b5c060ee6f31f9651f853ca8f069dff"/>
      <w:r>
        <w:t xml:space="preserve">A note to my co-authors — Kamal, Nuning, and Maria</w:t>
      </w:r>
      <w:bookmarkEnd w:id="20"/>
    </w:p>
    <w:p>
      <w:pPr>
        <w:pStyle w:val="FirstParagraph"/>
      </w:pPr>
      <w:r>
        <w:t xml:space="preserve">Hi Kamal, Nuning, and Maria,</w:t>
      </w:r>
    </w:p>
    <w:p>
      <w:pPr>
        <w:pStyle w:val="BodyText"/>
      </w:pPr>
      <w:r>
        <w:t xml:space="preserve">I wanted to put down, in one place, the four things about the South Cotabato</w:t>
      </w:r>
      <w:r>
        <w:t xml:space="preserve"> </w:t>
      </w:r>
      <w:r>
        <w:t xml:space="preserve">dengue epidemic-forest paper that I’d most like us to agree on early, while they’re</w:t>
      </w:r>
      <w:r>
        <w:t xml:space="preserve"> </w:t>
      </w:r>
      <w:r>
        <w:t xml:space="preserve">still easy to change. They are: (a) how I’ve positioned this paper</w:t>
      </w:r>
      <w:r>
        <w:t xml:space="preserve"> </w:t>
      </w:r>
      <w:r>
        <w:t xml:space="preserve">relative to our group’s Nasution 2024 Jakarta paper; (b) that I’ve</w:t>
      </w:r>
      <w:r>
        <w:t xml:space="preserve"> </w:t>
      </w:r>
      <w:r>
        <w:rPr>
          <w:b/>
        </w:rPr>
        <w:t xml:space="preserve">harmonised the</w:t>
      </w:r>
      <w:r>
        <w:rPr>
          <w:b/>
        </w:rPr>
        <w:t xml:space="preserve"> </w:t>
      </w:r>
      <w:r>
        <w:rPr>
          <w:b/>
        </w:rPr>
        <w:t xml:space="preserve">Strength of Linkage to Nasution’s exact Eq. 5</w:t>
      </w:r>
      <w:r>
        <w:t xml:space="preserve">, which (c)</w:t>
      </w:r>
      <w:r>
        <w:t xml:space="preserve"> </w:t>
      </w:r>
      <w:r>
        <w:rPr>
          <w:b/>
        </w:rPr>
        <w:t xml:space="preserve">changed the paper’s</w:t>
      </w:r>
      <w:r>
        <w:rPr>
          <w:b/>
        </w:rPr>
        <w:t xml:space="preserve"> </w:t>
      </w:r>
      <w:r>
        <w:rPr>
          <w:b/>
        </w:rPr>
        <w:t xml:space="preserve">headline finding</w:t>
      </w:r>
      <w:r>
        <w:t xml:space="preserve">; and (d) a</w:t>
      </w:r>
      <w:r>
        <w:t xml:space="preserve"> </w:t>
      </w:r>
      <w:r>
        <w:rPr>
          <w:b/>
        </w:rPr>
        <w:t xml:space="preserve">scope/title choice</w:t>
      </w:r>
      <w:r>
        <w:t xml:space="preserve"> </w:t>
      </w:r>
      <w:r>
        <w:t xml:space="preserve">now that I’ve applied the</w:t>
      </w:r>
      <w:r>
        <w:t xml:space="preserve"> </w:t>
      </w:r>
      <w:r>
        <w:t xml:space="preserve">method across several Region 12 provinces. I’ve put a short list of the limitations I</w:t>
      </w:r>
      <w:r>
        <w:t xml:space="preserve"> </w:t>
      </w:r>
      <w:r>
        <w:t xml:space="preserve">actually ran into at the end.</w:t>
      </w:r>
    </w:p>
    <w:p>
      <w:pPr>
        <w:pStyle w:val="Heading2"/>
      </w:pPr>
      <w:bookmarkStart w:id="21" w:name="what-im-asking-in-one-line"/>
      <w:r>
        <w:t xml:space="preserve">What I’m asking, in one line</w:t>
      </w:r>
      <w:bookmarkEnd w:id="21"/>
    </w:p>
    <w:p>
      <w:pPr>
        <w:pStyle w:val="FirstParagraph"/>
      </w:pPr>
      <w:r>
        <w:t xml:space="preserve">Nuning and Kamal are on</w:t>
      </w:r>
      <w:r>
        <w:t xml:space="preserve"> </w:t>
      </w:r>
      <w:r>
        <w:rPr>
          <w:b/>
        </w:rPr>
        <w:t xml:space="preserve">both</w:t>
      </w:r>
      <w:r>
        <w:t xml:space="preserve"> </w:t>
      </w:r>
      <w:r>
        <w:t xml:space="preserve">this paper and the Nasution 2024 Jakarta paper, and</w:t>
      </w:r>
      <w:r>
        <w:t xml:space="preserve"> </w:t>
      </w:r>
      <w:r>
        <w:t xml:space="preserve">Maria is a co-author here — so how we cite and build on the Jakarta work, and how</w:t>
      </w:r>
      <w:r>
        <w:t xml:space="preserve"> </w:t>
      </w:r>
      <w:r>
        <w:t xml:space="preserve">boldly we frame the multi-province results, feel like decisions we should make together</w:t>
      </w:r>
      <w:r>
        <w:t xml:space="preserve"> </w:t>
      </w:r>
      <w:r>
        <w:t xml:space="preserve">and up front. I think both moves</w:t>
      </w:r>
      <w:r>
        <w:t xml:space="preserve"> </w:t>
      </w:r>
      <w:r>
        <w:rPr>
          <w:i/>
        </w:rPr>
        <w:t xml:space="preserve">strengthen</w:t>
      </w:r>
      <w:r>
        <w:t xml:space="preserve"> </w:t>
      </w:r>
      <w:r>
        <w:t xml:space="preserve">the paper, but I want your read.</w:t>
      </w:r>
    </w:p>
    <w:p>
      <w:pPr>
        <w:pStyle w:val="Heading2"/>
      </w:pPr>
      <w:bookmarkStart w:id="22" w:name="the-sister-paper"/>
      <w:r>
        <w:t xml:space="preserve">The sister paper</w:t>
      </w:r>
      <w:bookmarkEnd w:id="22"/>
    </w:p>
    <w:p>
      <w:pPr>
        <w:pStyle w:val="FirstParagraph"/>
      </w:pPr>
      <w:r>
        <w:rPr>
          <w:b/>
        </w:rPr>
        <w:t xml:space="preserve">Nasution, Sitorus, Sukandar, Nuraini, Apri, Salama (2024),</w:t>
      </w:r>
      <w:r>
        <w:t xml:space="preserve"> </w:t>
      </w:r>
      <w:r>
        <w:rPr>
          <w:i/>
        </w:rPr>
        <w:t xml:space="preserve">Scientific Reports</w:t>
      </w:r>
      <w:r>
        <w:t xml:space="preserve"> </w:t>
      </w:r>
      <w:r>
        <w:t xml:space="preserve">14:7619 — the region-scale epidemic forest applied to acute respiratory infection in</w:t>
      </w:r>
      <w:r>
        <w:t xml:space="preserve"> </w:t>
      </w:r>
      <w:r>
        <w:t xml:space="preserve">Jakarta.</w:t>
      </w:r>
    </w:p>
    <w:p>
      <w:pPr>
        <w:pStyle w:val="BodyText"/>
      </w:pPr>
      <w:r>
        <w:t xml:space="preserve">Here’s what I think it already established, so I’ve attributed these to it and do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claim them as novel here:</w:t>
      </w:r>
    </w:p>
    <w:p>
      <w:pPr>
        <w:numPr>
          <w:ilvl w:val="0"/>
          <w:numId w:val="1001"/>
        </w:numPr>
        <w:pStyle w:val="Compact"/>
      </w:pPr>
      <w:r>
        <w:t xml:space="preserve">adapting Li et al.’s individual-level epidemic forest to</w:t>
      </w:r>
      <w:r>
        <w:t xml:space="preserve"> </w:t>
      </w:r>
      <w:r>
        <w:rPr>
          <w:b/>
        </w:rPr>
        <w:t xml:space="preserve">aggregated administrative</w:t>
      </w:r>
      <w:r>
        <w:rPr>
          <w:b/>
        </w:rPr>
        <w:t xml:space="preserve"> </w:t>
      </w:r>
      <w:r>
        <w:rPr>
          <w:b/>
        </w:rPr>
        <w:t xml:space="preserve">units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case prevalence</w:t>
      </w:r>
      <w:r>
        <w:t xml:space="preserve"> </w:t>
      </w:r>
      <w:r>
        <w:t xml:space="preserve">as a third Strength-of-Linkage criterion (their Eq. 5);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Richards / logistic onset</w:t>
      </w:r>
      <w:r>
        <w:t xml:space="preserve"> </w:t>
      </w:r>
      <w:r>
        <w:t xml:space="preserve">estimation;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R_t and R_c</w:t>
      </w:r>
      <w:r>
        <w:t xml:space="preserve">, dominant trees, and the intervention-by-case-suppression idea.</w:t>
      </w:r>
    </w:p>
    <w:p>
      <w:pPr>
        <w:pStyle w:val="Heading2"/>
      </w:pPr>
      <w:bookmarkStart w:id="23" w:name="X72dd998911031d1910b917233adb0b73792870f"/>
      <w:r>
        <w:t xml:space="preserve">What’s genuinely new here (and I think it’s a real contribution)</w:t>
      </w:r>
      <w:bookmarkEnd w:id="23"/>
    </w:p>
    <w:p>
      <w:pPr>
        <w:pStyle w:val="FirstParagraph"/>
      </w:pPr>
      <w:r>
        <w:t xml:space="preserve">Nasution restricts candidate parents to a</w:t>
      </w:r>
      <w:r>
        <w:t xml:space="preserve"> </w:t>
      </w:r>
      <w:r>
        <w:rPr>
          <w:b/>
        </w:rPr>
        <w:t xml:space="preserve">fixed binary adjacency</w:t>
      </w:r>
      <w:r>
        <w:t xml:space="preserve"> </w:t>
      </w:r>
      <w:r>
        <w:t xml:space="preserve">matrix and reports</w:t>
      </w:r>
      <w:r>
        <w:t xml:space="preserve"> </w:t>
      </w:r>
      <w:r>
        <w:t xml:space="preserve">a</w:t>
      </w:r>
      <w:r>
        <w:t xml:space="preserve"> </w:t>
      </w:r>
      <w:r>
        <w:rPr>
          <w:b/>
        </w:rPr>
        <w:t xml:space="preserve">single deterministic forest</w:t>
      </w:r>
      <w:r>
        <w:t xml:space="preserve"> </w:t>
      </w:r>
      <w:r>
        <w:t xml:space="preserve">— and the Discussion there explicitly names</w:t>
      </w:r>
      <w:r>
        <w:t xml:space="preserve"> </w:t>
      </w:r>
      <w:r>
        <w:t xml:space="preserve">“</w:t>
      </w:r>
      <w:r>
        <w:t xml:space="preserve">inter-regional connectivity and networks</w:t>
      </w:r>
      <w:r>
        <w:t xml:space="preserve">”</w:t>
      </w:r>
      <w:r>
        <w:t xml:space="preserve"> </w:t>
      </w:r>
      <w:r>
        <w:t xml:space="preserve">as missing future work.</w:t>
      </w:r>
    </w:p>
    <w:p>
      <w:pPr>
        <w:pStyle w:val="BodyText"/>
      </w:pPr>
      <w:r>
        <w:t xml:space="preserve">That’s exactly what I’ve built here:</w:t>
      </w:r>
    </w:p>
    <w:p>
      <w:pPr>
        <w:numPr>
          <w:ilvl w:val="0"/>
          <w:numId w:val="1002"/>
        </w:numPr>
        <w:pStyle w:val="Compact"/>
      </w:pPr>
      <w:r>
        <w:t xml:space="preserve">I replace the fixed adjacency with a</w:t>
      </w:r>
      <w:r>
        <w:t xml:space="preserve"> </w:t>
      </w:r>
      <w:r>
        <w:rPr>
          <w:b/>
        </w:rPr>
        <w:t xml:space="preserve">probabilistic distance-decay connectivity</w:t>
      </w:r>
      <w:r>
        <w:rPr>
          <w:b/>
        </w:rPr>
        <w:t xml:space="preserve"> </w:t>
      </w:r>
      <w:r>
        <w:rPr>
          <w:b/>
        </w:rPr>
        <w:t xml:space="preserve">network</w:t>
      </w:r>
      <w:r>
        <w:t xml:space="preserve"> </w:t>
      </w:r>
      <w:r>
        <w:t xml:space="preserve">(Eq. 4,</w:t>
      </w:r>
      <w:r>
        <w:t xml:space="preserve"> </w:t>
      </w:r>
      <w:r>
        <w:rPr>
          <w:rStyle w:val="VerbatimChar"/>
        </w:rPr>
        <w:t xml:space="preserve">P_ij = exp(-λd)</w:t>
      </w:r>
      <w:r>
        <w:t xml:space="preserve">);</w:t>
      </w:r>
    </w:p>
    <w:p>
      <w:pPr>
        <w:numPr>
          <w:ilvl w:val="0"/>
          <w:numId w:val="1002"/>
        </w:numPr>
        <w:pStyle w:val="Compact"/>
      </w:pPr>
      <w:r>
        <w:t xml:space="preserve">I reconstruct the forest as a</w:t>
      </w:r>
      <w:r>
        <w:t xml:space="preserve"> </w:t>
      </w:r>
      <w:r>
        <w:rPr>
          <w:b/>
        </w:rPr>
        <w:t xml:space="preserve">Monte-Carlo ensemble</w:t>
      </w:r>
      <w:r>
        <w:t xml:space="preserve"> </w:t>
      </w:r>
      <w:r>
        <w:t xml:space="preserve">(M = 5000 realisations) with</w:t>
      </w:r>
      <w:r>
        <w:t xml:space="preserve"> </w:t>
      </w:r>
      <w:r>
        <w:rPr>
          <w:b/>
        </w:rPr>
        <w:t xml:space="preserve">per-edge stability</w:t>
      </w:r>
      <w:r>
        <w:t xml:space="preserve"> </w:t>
      </w:r>
      <w:r>
        <w:t xml:space="preserve">rather than one tree;</w:t>
      </w:r>
    </w:p>
    <w:p>
      <w:pPr>
        <w:numPr>
          <w:ilvl w:val="0"/>
          <w:numId w:val="1002"/>
        </w:numPr>
        <w:pStyle w:val="Compact"/>
      </w:pPr>
      <w:r>
        <w:t xml:space="preserve">it’s the</w:t>
      </w:r>
      <w:r>
        <w:t xml:space="preserve"> </w:t>
      </w:r>
      <w:r>
        <w:rPr>
          <w:b/>
        </w:rPr>
        <w:t xml:space="preserve">first Philippine dengue application</w:t>
      </w:r>
      <w:r>
        <w:t xml:space="preserve"> </w:t>
      </w:r>
      <w:r>
        <w:t xml:space="preserve">of the approach.</w:t>
      </w:r>
    </w:p>
    <w:p>
      <w:pPr>
        <w:pStyle w:val="FirstParagraph"/>
      </w:pPr>
      <w:r>
        <w:t xml:space="preserve">So the honest framing I’ve gone with is: prevalence, region-scale aggregation,</w:t>
      </w:r>
      <w:r>
        <w:t xml:space="preserve"> </w:t>
      </w:r>
      <w:r>
        <w:rPr>
          <w:b/>
        </w:rPr>
        <w:t xml:space="preserve">and</w:t>
      </w:r>
      <w:r>
        <w:rPr>
          <w:b/>
        </w:rPr>
        <w:t xml:space="preserve"> </w:t>
      </w:r>
      <w:r>
        <w:rPr>
          <w:b/>
        </w:rPr>
        <w:t xml:space="preserve">now the exact Strength of Linkage (their Eq. 5)</w:t>
      </w:r>
      <w:r>
        <w:t xml:space="preserve"> </w:t>
      </w:r>
      <w:r>
        <w:t xml:space="preserve">are theirs; the</w:t>
      </w:r>
      <w:r>
        <w:t xml:space="preserve"> </w:t>
      </w:r>
      <w:r>
        <w:rPr>
          <w:b/>
        </w:rPr>
        <w:t xml:space="preserve">connectivity layer</w:t>
      </w:r>
      <w:r>
        <w:rPr>
          <w:b/>
        </w:rPr>
        <w:t xml:space="preserve"> </w:t>
      </w:r>
      <w:r>
        <w:rPr>
          <w:b/>
        </w:rPr>
        <w:t xml:space="preserve">+ ensemble + edge stability</w:t>
      </w:r>
      <w:r>
        <w:t xml:space="preserve"> </w:t>
      </w:r>
      <w:r>
        <w:t xml:space="preserve">are ours — we build the thing they flagged as future</w:t>
      </w:r>
      <w:r>
        <w:t xml:space="preserve"> </w:t>
      </w:r>
      <w:r>
        <w:t xml:space="preserve">work. I think citing our Jakarta paper as the direct predecessor makes the lineage a</w:t>
      </w:r>
      <w:r>
        <w:t xml:space="preserve"> </w:t>
      </w:r>
      <w:r>
        <w:t xml:space="preserve">strength, not an overlap.</w:t>
      </w:r>
    </w:p>
    <w:p>
      <w:pPr>
        <w:pStyle w:val="Heading2"/>
      </w:pPr>
      <w:bookmarkStart w:id="24" w:name="X801a249d17606b7fc87c0fd45cd8142b05661cf"/>
      <w:r>
        <w:t xml:space="preserve">I harmonised the Strength of Linkage — and it changed the headline result</w:t>
      </w:r>
      <w:bookmarkEnd w:id="24"/>
    </w:p>
    <w:p>
      <w:pPr>
        <w:pStyle w:val="FirstParagraph"/>
      </w:pPr>
      <w:r>
        <w:t xml:space="preserve">The paper previously used an equivalent but re-parameterised SoL (normalised by the</w:t>
      </w:r>
      <w:r>
        <w:t xml:space="preserve"> </w:t>
      </w:r>
      <w:r>
        <w:t xml:space="preserve">candidate mean, minimised), which I’d chosen for exact reproducibility. I’ve now</w:t>
      </w:r>
      <w:r>
        <w:t xml:space="preserve"> </w:t>
      </w:r>
      <w:r>
        <w:rPr>
          <w:b/>
        </w:rPr>
        <w:t xml:space="preserve">adopted Nasution’s exact Eq. 5</w:t>
      </w:r>
      <w:r>
        <w:t xml:space="preserve"> </w:t>
      </w:r>
      <w:r>
        <w:t xml:space="preserve">(maximised, inverse min-normalised distances,</w:t>
      </w:r>
      <w:r>
        <w:t xml:space="preserve"> </w:t>
      </w:r>
      <w:r>
        <w:t xml:space="preserve">prevalence difference), so</w:t>
      </w:r>
      <w:r>
        <w:t xml:space="preserve"> </w:t>
      </w:r>
      <w:r>
        <w:rPr>
          <w:b/>
        </w:rPr>
        <w:t xml:space="preserve">both papers use one identical linkage definition.</w:t>
      </w:r>
      <w:r>
        <w:t xml:space="preserve"> </w:t>
      </w:r>
      <w:r>
        <w:t xml:space="preserve">I think</w:t>
      </w:r>
      <w:r>
        <w:t xml:space="preserve"> </w:t>
      </w:r>
      <w:r>
        <w:t xml:space="preserve">that’s cleaner and it strengthens the</w:t>
      </w:r>
      <w:r>
        <w:t xml:space="preserve"> </w:t>
      </w:r>
      <w:r>
        <w:t xml:space="preserve">“</w:t>
      </w:r>
      <w:r>
        <w:t xml:space="preserve">same method, new connectivity layer</w:t>
      </w:r>
      <w:r>
        <w:t xml:space="preserve">”</w:t>
      </w:r>
      <w:r>
        <w:t xml:space="preserve"> </w:t>
      </w:r>
      <w:r>
        <w:t xml:space="preserve">story.</w:t>
      </w:r>
    </w:p>
    <w:p>
      <w:pPr>
        <w:pStyle w:val="BodyText"/>
      </w:pPr>
      <w:r>
        <w:rPr>
          <w:b/>
        </w:rPr>
        <w:t xml:space="preserve">But it changed a central result, and Kamal, I’d really like your read before I lock</w:t>
      </w:r>
      <w:r>
        <w:rPr>
          <w:b/>
        </w:rPr>
        <w:t xml:space="preserve"> </w:t>
      </w:r>
      <w:r>
        <w:rPr>
          <w:b/>
        </w:rPr>
        <w:t xml:space="preserve">it in: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Unchanged:</w:t>
      </w:r>
      <w:r>
        <w:t xml:space="preserve"> </w:t>
      </w:r>
      <w:r>
        <w:rPr>
          <w:b/>
        </w:rPr>
        <w:t xml:space="preserve">General Santos City remains the consistent terminal recipient</w:t>
      </w:r>
      <w:r>
        <w:t xml:space="preserve"> </w:t>
      </w:r>
      <w:r>
        <w:t xml:space="preserve">(never seeds, all periods; R_c = 0 in 100% of the 5,000 realisations), and the global</w:t>
      </w:r>
      <w:r>
        <w:t xml:space="preserve"> </w:t>
      </w:r>
      <w:r>
        <w:t xml:space="preserve">reproduction ratios are R_t = 5 / 2 / 3.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Changed:</w:t>
      </w:r>
      <w:r>
        <w:t xml:space="preserve"> </w:t>
      </w:r>
      <w:r>
        <w:t xml:space="preserve">the dominant source</w:t>
      </w:r>
      <w:r>
        <w:t xml:space="preserve"> </w:t>
      </w:r>
      <w:r>
        <w:rPr>
          <w:b/>
        </w:rPr>
        <w:t xml:space="preserve">flips from rural Surallah to Koronadal City — the</w:t>
      </w:r>
      <w:r>
        <w:rPr>
          <w:b/>
        </w:rPr>
        <w:t xml:space="preserve"> </w:t>
      </w:r>
      <w:r>
        <w:rPr>
          <w:b/>
        </w:rPr>
        <w:t xml:space="preserve">provincial capital</w:t>
      </w:r>
      <w:r>
        <w:t xml:space="preserve"> </w:t>
      </w:r>
      <w:r>
        <w:t xml:space="preserve">(LGU reproduction number R_c = 4 in Periods 1–2; inland</w:t>
      </w:r>
      <w:r>
        <w:t xml:space="preserve"> </w:t>
      </w:r>
      <w:r>
        <w:t xml:space="preserve">municipalities, Banga leading, take over in Period 3). The R_c: Koronadal City</w:t>
      </w:r>
      <w:r>
        <w:t xml:space="preserve"> </w:t>
      </w:r>
      <w:r>
        <w:t xml:space="preserve">[4,4,0], Tupi [2,2,1], Surallah [2,1,2], Banga [0,0,2].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Narrative impact:</w:t>
      </w:r>
      <w:r>
        <w:t xml:space="preserve"> </w:t>
      </w:r>
      <w:r>
        <w:t xml:space="preserve">the framing moved from</w:t>
      </w:r>
      <w:r>
        <w:t xml:space="preserve"> </w:t>
      </w:r>
      <w:r>
        <w:t xml:space="preserve">“</w:t>
      </w:r>
      <w:r>
        <w:t xml:space="preserve">rural periphery → urban centre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rPr>
          <w:b/>
        </w:rPr>
        <w:t xml:space="preserve">inland administrative/population hub → coastal centre</w:t>
      </w:r>
      <w:r>
        <w:t xml:space="preserve">.</w:t>
      </w:r>
      <w:r>
        <w:t xml:space="preserve">”</w:t>
      </w:r>
      <w:r>
        <w:t xml:space="preserve"> </w:t>
      </w:r>
      <w:r>
        <w:t xml:space="preserve">I rewrote the prose to</w:t>
      </w:r>
      <w:r>
        <w:t xml:space="preserve"> </w:t>
      </w:r>
      <w:r>
        <w:t xml:space="preserve">match the numbers, but the</w:t>
      </w:r>
      <w:r>
        <w:t xml:space="preserve"> </w:t>
      </w:r>
      <w:r>
        <w:rPr>
          <w:i/>
        </w:rPr>
        <w:t xml:space="preserve">interpretation</w:t>
      </w:r>
      <w:r>
        <w:t xml:space="preserve"> </w:t>
      </w:r>
      <w:r>
        <w:t xml:space="preserve">of why the capital seeds is a scientific</w:t>
      </w:r>
      <w:r>
        <w:t xml:space="preserve"> </w:t>
      </w:r>
      <w:r>
        <w:t xml:space="preserve">judgement I’d rather we confirm together.</w:t>
      </w:r>
    </w:p>
    <w:p>
      <w:pPr>
        <w:pStyle w:val="FirstParagraph"/>
      </w:pPr>
      <w:r>
        <w:rPr>
          <w:b/>
        </w:rPr>
        <w:t xml:space="preserve">One thing that reassures me about the flip:</w:t>
      </w:r>
      <w:r>
        <w:t xml:space="preserve"> </w:t>
      </w:r>
      <w:r>
        <w:t xml:space="preserve">an independent study (Ygoña, Deligero &amp;</w:t>
      </w:r>
      <w:r>
        <w:t xml:space="preserve"> </w:t>
      </w:r>
      <w:r>
        <w:t xml:space="preserve">Ceballos, 2025,</w:t>
      </w:r>
      <w:r>
        <w:t xml:space="preserve"> </w:t>
      </w:r>
      <w:r>
        <w:rPr>
          <w:i/>
        </w:rPr>
        <w:t xml:space="preserve">Recoletos Multidiscip. Res. J.</w:t>
      </w:r>
      <w:r>
        <w:t xml:space="preserve">) analysed South Cotabato dengue for</w:t>
      </w:r>
      <w:r>
        <w:t xml:space="preserve"> </w:t>
      </w:r>
      <w:r>
        <w:t xml:space="preserve">2020–2022 with scan statistics (SaTScan / Moran’s I) and found the</w:t>
      </w:r>
      <w:r>
        <w:t xml:space="preserve"> </w:t>
      </w:r>
      <w:r>
        <w:rPr>
          <w:b/>
        </w:rPr>
        <w:t xml:space="preserve">dominant</w:t>
      </w:r>
      <w:r>
        <w:rPr>
          <w:b/>
        </w:rPr>
        <w:t xml:space="preserve"> </w:t>
      </w:r>
      <w:r>
        <w:rPr>
          <w:b/>
        </w:rPr>
        <w:t xml:space="preserve">spatio-temporal cluster over Polomolok and Koronadal City</w:t>
      </w:r>
      <w:r>
        <w:t xml:space="preserve">, attributing the urban</w:t>
      </w:r>
      <w:r>
        <w:t xml:space="preserve"> </w:t>
      </w:r>
      <w:r>
        <w:t xml:space="preserve">centre’s high incidence to drainage and water-storage conditions. My ensemble reaches</w:t>
      </w:r>
      <w:r>
        <w:t xml:space="preserve"> </w:t>
      </w:r>
      <w:r>
        <w:t xml:space="preserve">the</w:t>
      </w:r>
      <w:r>
        <w:t xml:space="preserve"> </w:t>
      </w:r>
      <w:r>
        <w:rPr>
          <w:b/>
        </w:rPr>
        <w:t xml:space="preserve">same conclusion (Koronadal City as leading source) by a different method on a</w:t>
      </w:r>
      <w:r>
        <w:rPr>
          <w:b/>
        </w:rPr>
        <w:t xml:space="preserve"> </w:t>
      </w:r>
      <w:r>
        <w:rPr>
          <w:b/>
        </w:rPr>
        <w:t xml:space="preserve">non-overlapping window (2015–2019)</w:t>
      </w:r>
      <w:r>
        <w:t xml:space="preserve"> </w:t>
      </w:r>
      <w:r>
        <w:t xml:space="preserve">— so I read the harmonised result as corroborated,</w:t>
      </w:r>
      <w:r>
        <w:t xml:space="preserve"> </w:t>
      </w:r>
      <w:r>
        <w:t xml:space="preserve">not a modelling artefact. I think that makes the Koronadal finding an easier sell.</w:t>
      </w:r>
    </w:p>
    <w:p>
      <w:pPr>
        <w:pStyle w:val="Heading2"/>
      </w:pPr>
      <w:bookmarkStart w:id="25" w:name="how-ive-framed-and-positioned-it"/>
      <w:r>
        <w:t xml:space="preserve">How I’ve framed and positioned it</w:t>
      </w:r>
      <w:bookmarkEnd w:id="25"/>
    </w:p>
    <w:p>
      <w:pPr>
        <w:pStyle w:val="FirstParagraph"/>
      </w:pPr>
      <w:r>
        <w:t xml:space="preserve">I’ve framed the paper as</w:t>
      </w:r>
      <w:r>
        <w:t xml:space="preserve"> </w:t>
      </w:r>
      <w:r>
        <w:rPr>
          <w:b/>
        </w:rPr>
        <w:t xml:space="preserve">methodological</w:t>
      </w:r>
      <w:r>
        <w:t xml:space="preserve"> </w:t>
      </w:r>
      <w:r>
        <w:t xml:space="preserve">— its contribution being</w:t>
      </w:r>
      <w:r>
        <w:t xml:space="preserve"> </w:t>
      </w:r>
      <w:r>
        <w:rPr>
          <w:i/>
        </w:rPr>
        <w:t xml:space="preserve">quantified linkage</w:t>
      </w:r>
      <w:r>
        <w:rPr>
          <w:i/>
        </w:rPr>
        <w:t xml:space="preserve"> </w:t>
      </w:r>
      <w:r>
        <w:rPr>
          <w:i/>
        </w:rPr>
        <w:t xml:space="preserve">uncertainty</w:t>
      </w:r>
      <w:r>
        <w:t xml:space="preserve"> </w:t>
      </w:r>
      <w:r>
        <w:t xml:space="preserve">(the probabilistic connectivity network + Monte-Carlo ensemble + per-edge</w:t>
      </w:r>
      <w:r>
        <w:t xml:space="preserve"> </w:t>
      </w:r>
      <w:r>
        <w:t xml:space="preserve">stability), demonstrated on the South Cotabato case, with references led by the</w:t>
      </w:r>
      <w:r>
        <w:t xml:space="preserve"> </w:t>
      </w:r>
      <w:r>
        <w:t xml:space="preserve">epidemic-forest / transmission-reconstruction lineage and the outbreak literature</w:t>
      </w:r>
      <w:r>
        <w:t xml:space="preserve"> </w:t>
      </w:r>
      <w:r>
        <w:t xml:space="preserve">supporting the application. I’ve grounded the three study periods as the</w:t>
      </w:r>
      <w:r>
        <w:t xml:space="preserve"> </w:t>
      </w:r>
      <w:r>
        <w:rPr>
          <w:b/>
        </w:rPr>
        <w:t xml:space="preserve">2015,</w:t>
      </w:r>
      <w:r>
        <w:rPr>
          <w:b/>
        </w:rPr>
        <w:t xml:space="preserve"> </w:t>
      </w:r>
      <w:r>
        <w:rPr>
          <w:b/>
        </w:rPr>
        <w:t xml:space="preserve">2016–17, and 2019</w:t>
      </w:r>
      <w:r>
        <w:t xml:space="preserve"> </w:t>
      </w:r>
      <w:r>
        <w:t xml:space="preserve">outbreak seasons (Period 3 = the 2019 national epidemic).</w:t>
      </w:r>
    </w:p>
    <w:p>
      <w:pPr>
        <w:pStyle w:val="Heading2"/>
      </w:pPr>
      <w:bookmarkStart w:id="26" w:name="Xb9e2a4a65e990eddc1c0084c8df6983f156f0b5"/>
      <w:r>
        <w:t xml:space="preserve">The scope/title reframe — cross-province validation</w:t>
      </w:r>
      <w:bookmarkEnd w:id="26"/>
    </w:p>
    <w:p>
      <w:pPr>
        <w:pStyle w:val="FirstParagraph"/>
      </w:pPr>
      <w:r>
        <w:t xml:space="preserve">Using the DOH Region 12 (CHD12) line-list, I applied the identical pipeline to</w:t>
      </w:r>
      <w:r>
        <w:t xml:space="preserve"> </w:t>
      </w:r>
      <w:r>
        <w:rPr>
          <w:b/>
        </w:rPr>
        <w:t xml:space="preserve">three</w:t>
      </w:r>
      <w:r>
        <w:rPr>
          <w:b/>
        </w:rPr>
        <w:t xml:space="preserve"> </w:t>
      </w:r>
      <w:r>
        <w:rPr>
          <w:b/>
        </w:rPr>
        <w:t xml:space="preserve">further provinces — North Cotabato, Sultan Kudarat, and Sarangani</w:t>
      </w:r>
      <w:r>
        <w:t xml:space="preserve"> </w:t>
      </w:r>
      <w:r>
        <w:t xml:space="preserve">— as a</w:t>
      </w:r>
      <w:r>
        <w:t xml:space="preserve"> </w:t>
      </w:r>
      <w:r>
        <w:t xml:space="preserve">generalisability check. The same signature recurs everywhere: an</w:t>
      </w:r>
      <w:r>
        <w:t xml:space="preserve"> </w:t>
      </w:r>
      <w:r>
        <w:rPr>
          <w:b/>
        </w:rPr>
        <w:t xml:space="preserve">inland</w:t>
      </w:r>
      <w:r>
        <w:rPr>
          <w:b/>
        </w:rPr>
        <w:t xml:space="preserve"> </w:t>
      </w:r>
      <w:r>
        <w:rPr>
          <w:b/>
        </w:rPr>
        <w:t xml:space="preserve">population/administrative hub (the provincial capital in 3 of 4 provinces) is the</w:t>
      </w:r>
      <w:r>
        <w:rPr>
          <w:b/>
        </w:rPr>
        <w:t xml:space="preserve"> </w:t>
      </w:r>
      <w:r>
        <w:rPr>
          <w:b/>
        </w:rPr>
        <w:t xml:space="preserve">dominant source, with peripheral/coastal LGUs terminal.</w:t>
      </w:r>
      <w:r>
        <w:t xml:space="preserve"> </w:t>
      </w:r>
      <w:r>
        <w:t xml:space="preserve">I went with a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case study +</w:t>
      </w:r>
      <w:r>
        <w:rPr>
          <w:b/>
        </w:rPr>
        <w:t xml:space="preserve"> </w:t>
      </w:r>
      <w:r>
        <w:rPr>
          <w:b/>
        </w:rPr>
        <w:t xml:space="preserve">preliminary validation</w:t>
      </w:r>
      <w:r>
        <w:rPr>
          <w:b/>
        </w:rPr>
        <w:t xml:space="preserve">”</w:t>
      </w:r>
      <w:r>
        <w:t xml:space="preserve"> </w:t>
      </w:r>
      <w:r>
        <w:t xml:space="preserve">framing rather than a full multi-province reframe: the</w:t>
      </w:r>
      <w:r>
        <w:t xml:space="preserve"> </w:t>
      </w:r>
      <w:r>
        <w:rPr>
          <w:b/>
        </w:rPr>
        <w:t xml:space="preserve">title</w:t>
      </w:r>
      <w:r>
        <w:t xml:space="preserve"> </w:t>
      </w:r>
      <w:r>
        <w:t xml:space="preserve">now reads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…a South Cotabato case study with a preliminary cross-province</w:t>
      </w:r>
      <w:r>
        <w:rPr>
          <w:i/>
        </w:rPr>
        <w:t xml:space="preserve"> </w:t>
      </w:r>
      <w:r>
        <w:rPr>
          <w:i/>
        </w:rPr>
        <w:t xml:space="preserve">transferability assessment in Region 12</w:t>
      </w:r>
      <w:r>
        <w:rPr>
          <w:i/>
        </w:rPr>
        <w:t xml:space="preserve">”</w:t>
      </w:r>
      <w:r>
        <w:t xml:space="preserve"> </w:t>
      </w:r>
      <w:r>
        <w:t xml:space="preserve">(I softened</w:t>
      </w:r>
      <w:r>
        <w:t xml:space="preserve"> </w:t>
      </w:r>
      <w:r>
        <w:t xml:space="preserve">“</w:t>
      </w:r>
      <w:r>
        <w:t xml:space="preserve">validation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transferability</w:t>
      </w:r>
      <w:r>
        <w:t xml:space="preserve">”</w:t>
      </w:r>
      <w:r>
        <w:t xml:space="preserve">),</w:t>
      </w:r>
      <w:r>
        <w:t xml:space="preserve"> </w:t>
      </w:r>
      <w:r>
        <w:t xml:space="preserve">and I updated the abstract/methods/discussion/conclusion to match, with a new results §3.5</w:t>
      </w:r>
      <w:r>
        <w:t xml:space="preserve"> </w:t>
      </w:r>
      <w:r>
        <w:t xml:space="preserve">and summary table. This lifts the generalisation into</w:t>
      </w:r>
      <w:r>
        <w:t xml:space="preserve"> </w:t>
      </w:r>
      <w:r>
        <w:t xml:space="preserve">the</w:t>
      </w:r>
      <w:r>
        <w:t xml:space="preserve"> </w:t>
      </w:r>
      <w:r>
        <w:rPr>
          <w:b/>
        </w:rPr>
        <w:t xml:space="preserve">title/abstract</w:t>
      </w:r>
      <w:r>
        <w:t xml:space="preserve">, so it’s a scope decision I’d like us to make together — the</w:t>
      </w:r>
      <w:r>
        <w:t xml:space="preserve"> </w:t>
      </w:r>
      <w:r>
        <w:t xml:space="preserve">alternative is to keep the South Cotabato title and hold the reframe until the</w:t>
      </w:r>
      <w:r>
        <w:t xml:space="preserve"> </w:t>
      </w:r>
      <w:r>
        <w:t xml:space="preserve">validation is final.</w:t>
      </w:r>
    </w:p>
    <w:p>
      <w:pPr>
        <w:pStyle w:val="BodyText"/>
      </w:pPr>
      <w:r>
        <w:t xml:space="preserve">I’ve kept the validation</w:t>
      </w:r>
      <w:r>
        <w:t xml:space="preserve"> </w:t>
      </w:r>
      <w:r>
        <w:rPr>
          <w:b/>
        </w:rPr>
        <w:t xml:space="preserve">explicitly preliminary</w:t>
      </w:r>
      <w:r>
        <w:t xml:space="preserve"> </w:t>
      </w:r>
      <w:r>
        <w:t xml:space="preserve">and labelled it so throughout:</w:t>
      </w:r>
      <w:r>
        <w:t xml:space="preserve"> </w:t>
      </w:r>
      <w:r>
        <w:t xml:space="preserve">the coordinates are gazetteer town-centres (not GIS centroids), the Sultan</w:t>
      </w:r>
      <w:r>
        <w:t xml:space="preserve"> </w:t>
      </w:r>
      <w:r>
        <w:t xml:space="preserve">Kudarat/Sarangani populations are provisional (not PSA), and I reused the outbreak</w:t>
      </w:r>
      <w:r>
        <w:t xml:space="preserve"> </w:t>
      </w:r>
      <w:r>
        <w:t xml:space="preserve">windows. Finalising it needs PSA populations, GIS centroids, and per-province period</w:t>
      </w:r>
      <w:r>
        <w:t xml:space="preserve"> </w:t>
      </w:r>
      <w:r>
        <w:t xml:space="preserve">selection.</w:t>
      </w:r>
    </w:p>
    <w:p>
      <w:pPr>
        <w:pStyle w:val="Heading2"/>
      </w:pPr>
      <w:bookmarkStart w:id="27" w:name="Xec2ba2c7c37fbf15d71da620060f59ec3825701"/>
      <w:r>
        <w:t xml:space="preserve">Limitations I actually hit (now a Limitations section in the paper)</w:t>
      </w:r>
      <w:bookmarkEnd w:id="27"/>
    </w:p>
    <w:p>
      <w:pPr>
        <w:pStyle w:val="FirstParagraph"/>
      </w:pPr>
      <w:r>
        <w:t xml:space="preserve">I think we should be upfront about these, since I ran into several of them directly: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No ground truth / unsupervised</w:t>
      </w:r>
      <w:r>
        <w:t xml:space="preserve"> </w:t>
      </w:r>
      <w:r>
        <w:t xml:space="preserve">— many individual edges are weakly determined</w:t>
      </w:r>
      <w:r>
        <w:t xml:space="preserve"> </w:t>
      </w:r>
      <w:r>
        <w:t xml:space="preserve">(stability &lt; 40%), so I report the stable source/sink partition, not exact trees.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Aggregation</w:t>
      </w:r>
      <w:r>
        <w:t xml:space="preserve"> </w:t>
      </w:r>
      <w:r>
        <w:t xml:space="preserve">— links are between LGUs, not individuals; onset fits are shakier for</w:t>
      </w:r>
      <w:r>
        <w:t xml:space="preserve"> </w:t>
      </w:r>
      <w:r>
        <w:t xml:space="preserve">low-count LGUs.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Model dependence</w:t>
      </w:r>
      <w:r>
        <w:t xml:space="preserve"> </w:t>
      </w:r>
      <w:r>
        <w:t xml:space="preserve">— the dominant source depends on the SoL weights/kernel</w:t>
      </w:r>
      <w:r>
        <w:t xml:space="preserve"> </w:t>
      </w:r>
      <w:r>
        <w:t xml:space="preserve">(now probed by the fuller robustness suite in §3.4 / Table 8 — stable across weights,</w:t>
      </w:r>
      <w:r>
        <w:t xml:space="preserve"> </w:t>
      </w:r>
      <w:r>
        <w:t xml:space="preserve">decay rates, kernel form, and a deterministic adjacency — but I still note it).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Surveillance data</w:t>
      </w:r>
      <w:r>
        <w:t xml:space="preserve"> </w:t>
      </w:r>
      <w:r>
        <w:t xml:space="preserve">— under-reporting and report-based onset dates.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(Resolved) Pipeline is now fully Python</w:t>
      </w:r>
      <w:r>
        <w:t xml:space="preserve"> </w:t>
      </w:r>
      <w:r>
        <w:t xml:space="preserve">— the whole analysis (smoothing, onset</w:t>
      </w:r>
      <w:r>
        <w:t xml:space="preserve"> </w:t>
      </w:r>
      <w:r>
        <w:t xml:space="preserve">estimation, ensemble) runs natively in Python, so there is no longer any MATLAB</w:t>
      </w:r>
      <w:r>
        <w:t xml:space="preserve"> </w:t>
      </w:r>
      <w:r>
        <w:t xml:space="preserve">dependency or cross-software onset caveat.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Preliminary metadata</w:t>
      </w:r>
      <w:r>
        <w:t xml:space="preserve"> </w:t>
      </w:r>
      <w:r>
        <w:t xml:space="preserve">for the validation provinces (as above).</w:t>
      </w:r>
    </w:p>
    <w:p>
      <w:pPr>
        <w:pStyle w:val="Heading2"/>
      </w:pPr>
      <w:bookmarkStart w:id="28" w:name="Xeb6e11e19cbd86b065fa57d34d530e161269c00"/>
      <w:r>
        <w:t xml:space="preserve">A few specifics in the current draft worth flagging</w:t>
      </w:r>
      <w:bookmarkEnd w:id="28"/>
    </w:p>
    <w:p>
      <w:pPr>
        <w:pStyle w:val="FirstParagraph"/>
      </w:pPr>
      <w:r>
        <w:t xml:space="preserve">So nothing catches you by surprise when you read the paper, a few choices I’ve made: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The cross-province work is framed as a</w:t>
      </w:r>
      <w:r>
        <w:rPr>
          <w:b/>
        </w:rPr>
        <w:t xml:space="preserve"> </w:t>
      </w:r>
      <w:r>
        <w:rPr>
          <w:i/>
          <w:b/>
        </w:rPr>
        <w:t xml:space="preserve">preliminary transferability assessment</w:t>
      </w:r>
      <w:r>
        <w:rPr>
          <w:b/>
        </w:rPr>
        <w:t xml:space="preserve">, not a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validation</w:t>
      </w:r>
      <w:r>
        <w:rPr>
          <w:b/>
        </w:rPr>
        <w:t xml:space="preserve">”</w:t>
      </w:r>
      <w:r>
        <w:t xml:space="preserve"> </w:t>
      </w:r>
      <w:r>
        <w:t xml:space="preserve">— including in the title — since the metadata for those provinces is still</w:t>
      </w:r>
      <w:r>
        <w:t xml:space="preserve"> </w:t>
      </w:r>
      <w:r>
        <w:t xml:space="preserve">provisional.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The out-degree metric is called the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LGU reproduction number</w:t>
      </w:r>
      <w:r>
        <w:rPr>
          <w:b/>
        </w:rPr>
        <w:t xml:space="preserve">”</w:t>
      </w:r>
      <w:r>
        <w:t xml:space="preserve"> </w:t>
      </w:r>
      <w:r>
        <w:t xml:space="preserve">(most of our units are</w:t>
      </w:r>
      <w:r>
        <w:t xml:space="preserve"> </w:t>
      </w:r>
      <w:r>
        <w:t xml:space="preserve">municipalities, not cities). The symbol R_{c,i} and the attribution to your Eq. 5</w:t>
      </w:r>
      <w:r>
        <w:t xml:space="preserve"> </w:t>
      </w:r>
      <w:r>
        <w:t xml:space="preserve">framework are unchanged.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The decay rate λ = 5 is justified explicitly</w:t>
      </w:r>
      <w:r>
        <w:t xml:space="preserve"> </w:t>
      </w:r>
      <w:r>
        <w:t xml:space="preserve">— it corresponds to a decay length of</w:t>
      </w:r>
      <w:r>
        <w:t xml:space="preserve"> </w:t>
      </w:r>
      <w:r>
        <w:t xml:space="preserve">≈ 22 km (half-probability ≈ 15 km), which matches the short-range dispersal of</w:t>
      </w:r>
      <w:r>
        <w:t xml:space="preserve"> </w:t>
      </w:r>
      <w:r>
        <w:t xml:space="preserve">Aedes-borne dengue.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The Discussion explains why General Santos is always terminal</w:t>
      </w:r>
      <w:r>
        <w:t xml:space="preserve"> </w:t>
      </w:r>
      <w:r>
        <w:t xml:space="preserve">— it onsets after the</w:t>
      </w:r>
      <w:r>
        <w:t xml:space="preserve"> </w:t>
      </w:r>
      <w:r>
        <w:t xml:space="preserve">inland hubs (so it reads as a recipient), being terminal is about timing not burden, and</w:t>
      </w:r>
      <w:r>
        <w:t xml:space="preserve"> </w:t>
      </w:r>
      <w:r>
        <w:t xml:space="preserve">straight-line distance can’t capture its long-range road/commuter links.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The three outbreak windows are justified</w:t>
      </w:r>
      <w:r>
        <w:t xml:space="preserve"> </w:t>
      </w:r>
      <w:r>
        <w:t xml:space="preserve">— chosen by visual inspection corroborated by</w:t>
      </w:r>
      <w:r>
        <w:t xml:space="preserve"> </w:t>
      </w:r>
      <w:r>
        <w:t xml:space="preserve">DOH surveillance / the known epidemic years, with algorithmic change-point detection named</w:t>
      </w:r>
      <w:r>
        <w:t xml:space="preserve"> </w:t>
      </w:r>
      <w:r>
        <w:t xml:space="preserve">as a future refinement.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There is a robustness suite (Table 8 + Figure 4).</w:t>
      </w:r>
      <w:r>
        <w:t xml:space="preserve"> </w:t>
      </w:r>
      <w:r>
        <w:t xml:space="preserve">I re-ran the full ensemble while</w:t>
      </w:r>
      <w:r>
        <w:t xml:space="preserve"> </w:t>
      </w:r>
      <w:r>
        <w:t xml:space="preserve">varying λ over an order of magnitude, swapping the exponential kernel for a Gaussian one,</w:t>
      </w:r>
      <w:r>
        <w:t xml:space="preserve"> </w:t>
      </w:r>
      <w:r>
        <w:t xml:space="preserve">and replacing the probabilistic network with a fixed</w:t>
      </w:r>
      <w:r>
        <w:t xml:space="preserve"> </w:t>
      </w:r>
      <w:r>
        <w:rPr>
          <w:b/>
        </w:rPr>
        <w:t xml:space="preserve">deterministic adjacency</w:t>
      </w:r>
      <w:r>
        <w:t xml:space="preserve">. The</w:t>
      </w:r>
      <w:r>
        <w:t xml:space="preserve"> </w:t>
      </w:r>
      <w:r>
        <w:t xml:space="preserve">result is reassuring:</w:t>
      </w:r>
      <w:r>
        <w:t xml:space="preserve"> </w:t>
      </w:r>
      <w:r>
        <w:rPr>
          <w:b/>
        </w:rPr>
        <w:t xml:space="preserve">General Santos stays terminal (R_c = 0) in every setting, and</w:t>
      </w:r>
      <w:r>
        <w:rPr>
          <w:b/>
        </w:rPr>
        <w:t xml:space="preserve"> </w:t>
      </w:r>
      <w:r>
        <w:rPr>
          <w:b/>
        </w:rPr>
        <w:t xml:space="preserve">Koronadal (Periods 1–2) and Banga (Period 3) stay the dominant sources in all of them</w:t>
      </w:r>
      <w:r>
        <w:t xml:space="preserve"> </w:t>
      </w:r>
      <w:r>
        <w:t xml:space="preserve">—</w:t>
      </w:r>
      <w:r>
        <w:t xml:space="preserve"> </w:t>
      </w:r>
      <w:r>
        <w:t xml:space="preserve">λ only changes the network density, and with it the R_t magnitude. The deterministic</w:t>
      </w:r>
      <w:r>
        <w:t xml:space="preserve"> </w:t>
      </w:r>
      <w:r>
        <w:t xml:space="preserve">adjacency (essentially the Nasution-style fixed matrix) reproduces the same R_t = 5/2/3</w:t>
      </w:r>
      <w:r>
        <w:t xml:space="preserve"> </w:t>
      </w:r>
      <w:r>
        <w:t xml:space="preserve">but forces every edge to look certain — exactly the over-confidence our ensemble avoids.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It’s fully reproducible</w:t>
      </w:r>
      <w:r>
        <w:t xml:space="preserve"> </w:t>
      </w:r>
      <w:r>
        <w:t xml:space="preserve">— a notebook section regenerates the robustness table and</w:t>
      </w:r>
      <w:r>
        <w:t xml:space="preserve"> </w:t>
      </w:r>
      <w:r>
        <w:t xml:space="preserve">figure.</w:t>
      </w:r>
    </w:p>
    <w:p>
      <w:pPr>
        <w:pStyle w:val="Heading2"/>
      </w:pPr>
      <w:bookmarkStart w:id="29" w:name="what-id-like-us-to-agree-on"/>
      <w:r>
        <w:t xml:space="preserve">What I’d like us to agree on</w:t>
      </w:r>
      <w:bookmarkEnd w:id="29"/>
    </w:p>
    <w:p>
      <w:pPr>
        <w:numPr>
          <w:ilvl w:val="0"/>
          <w:numId w:val="1006"/>
        </w:numPr>
        <w:pStyle w:val="Compact"/>
      </w:pPr>
      <w:r>
        <w:t xml:space="preserve">That we frame the paper as the</w:t>
      </w:r>
      <w:r>
        <w:t xml:space="preserve"> </w:t>
      </w:r>
      <w:r>
        <w:rPr>
          <w:b/>
        </w:rPr>
        <w:t xml:space="preserve">connectivity / ensemble follow-up</w:t>
      </w:r>
      <w:r>
        <w:t xml:space="preserve"> </w:t>
      </w:r>
      <w:r>
        <w:t xml:space="preserve">to Nasution 2024,</w:t>
      </w:r>
      <w:r>
        <w:t xml:space="preserve"> </w:t>
      </w:r>
      <w:r>
        <w:t xml:space="preserve">citing it as the direct predecessor, with the attribution split (prevalence /</w:t>
      </w:r>
      <w:r>
        <w:t xml:space="preserve"> </w:t>
      </w:r>
      <w:r>
        <w:t xml:space="preserve">region-scale + SoL = Nasution; network + ensemble + stability = here).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Sign-off on the harmonised SoL</w:t>
      </w:r>
      <w:r>
        <w:t xml:space="preserve"> </w:t>
      </w:r>
      <w:r>
        <w:t xml:space="preserve">(adopting their exact Eq. 5) and on the</w:t>
      </w:r>
      <w:r>
        <w:t xml:space="preserve"> </w:t>
      </w:r>
      <w:r>
        <w:rPr>
          <w:b/>
        </w:rPr>
        <w:t xml:space="preserve">resulting</w:t>
      </w:r>
      <w:r>
        <w:rPr>
          <w:b/>
        </w:rPr>
        <w:t xml:space="preserve"> </w:t>
      </w:r>
      <w:r>
        <w:rPr>
          <w:b/>
        </w:rPr>
        <w:t xml:space="preserve">change in the headline finding</w:t>
      </w:r>
      <w:r>
        <w:t xml:space="preserve"> </w:t>
      </w:r>
      <w:r>
        <w:t xml:space="preserve">(Koronadal City, not Surallah, as the dominant</w:t>
      </w:r>
      <w:r>
        <w:t xml:space="preserve"> </w:t>
      </w:r>
      <w:r>
        <w:t xml:space="preserve">source) — which Ygoña et al. (2025) independently corroborate. The old SoL is one</w:t>
      </w:r>
      <w:r>
        <w:t xml:space="preserve"> </w:t>
      </w:r>
      <w:r>
        <w:t xml:space="preserve">toggle away (</w:t>
      </w:r>
      <w:r>
        <w:rPr>
          <w:rStyle w:val="VerbatimChar"/>
        </w:rPr>
        <w:t xml:space="preserve">SOL_MODE="current"</w:t>
      </w:r>
      <w:r>
        <w:t xml:space="preserve">) if we’d rather keep the Surallah result.</w:t>
      </w:r>
    </w:p>
    <w:p>
      <w:pPr>
        <w:numPr>
          <w:ilvl w:val="0"/>
          <w:numId w:val="1006"/>
        </w:numPr>
        <w:pStyle w:val="Compact"/>
      </w:pPr>
      <w:r>
        <w:t xml:space="preserve">The</w:t>
      </w:r>
      <w:r>
        <w:t xml:space="preserve"> </w:t>
      </w:r>
      <w:r>
        <w:rPr>
          <w:b/>
        </w:rPr>
        <w:t xml:space="preserve">methodological framing</w:t>
      </w:r>
      <w:r>
        <w:t xml:space="preserve"> </w:t>
      </w:r>
      <w:r>
        <w:t xml:space="preserve">(uncertainty quantification as the aim, South Cotabato</w:t>
      </w:r>
      <w:r>
        <w:t xml:space="preserve"> </w:t>
      </w:r>
      <w:r>
        <w:t xml:space="preserve">as the demonstrating case).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The scope/title decision</w:t>
      </w:r>
      <w:r>
        <w:t xml:space="preserve"> </w:t>
      </w:r>
      <w:r>
        <w:t xml:space="preserve">— are we comfortable putting the preliminary</w:t>
      </w:r>
      <w:r>
        <w:t xml:space="preserve"> </w:t>
      </w:r>
      <w:r>
        <w:t xml:space="preserve">cross-province transferability assessment in the</w:t>
      </w:r>
      <w:r>
        <w:t xml:space="preserve"> </w:t>
      </w:r>
      <w:r>
        <w:rPr>
          <w:b/>
        </w:rPr>
        <w:t xml:space="preserve">title and abstract</w:t>
      </w:r>
      <w:r>
        <w:t xml:space="preserve">, or would you</w:t>
      </w:r>
      <w:r>
        <w:t xml:space="preserve"> </w:t>
      </w:r>
      <w:r>
        <w:t xml:space="preserve">rather I keep it as the §3.5 subsection and hold the title until the metadata is final?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The R_c relabel</w:t>
      </w:r>
      <w:r>
        <w:t xml:space="preserve"> </w:t>
      </w:r>
      <w:r>
        <w:t xml:space="preserve">— I renamed</w:t>
      </w:r>
      <w:r>
        <w:t xml:space="preserve"> </w:t>
      </w:r>
      <w:r>
        <w:t xml:space="preserve">“</w:t>
      </w:r>
      <w:r>
        <w:t xml:space="preserve">city reproduction number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LGU reproduction</w:t>
      </w:r>
      <w:r>
        <w:rPr>
          <w:b/>
        </w:rPr>
        <w:t xml:space="preserve"> </w:t>
      </w:r>
      <w:r>
        <w:rPr>
          <w:b/>
        </w:rPr>
        <w:t xml:space="preserve">number</w:t>
      </w:r>
      <w:r>
        <w:rPr>
          <w:b/>
        </w:rPr>
        <w:t xml:space="preserve">”</w:t>
      </w:r>
      <w:r>
        <w:t xml:space="preserve"> </w:t>
      </w:r>
      <w:r>
        <w:t xml:space="preserve">(most of our units are municipalities, not cities; the symbol R_{c,i} and the</w:t>
      </w:r>
      <w:r>
        <w:t xml:space="preserve"> </w:t>
      </w:r>
      <w:r>
        <w:t xml:space="preserve">attribution to your Eq. 5 framework are unchanged). Since the term comes from the Jakarta</w:t>
      </w:r>
      <w:r>
        <w:t xml:space="preserve"> </w:t>
      </w:r>
      <w:r>
        <w:t xml:space="preserve">paper, tell me if you’d rather keep</w:t>
      </w:r>
      <w:r>
        <w:t xml:space="preserve"> </w:t>
      </w:r>
      <w:r>
        <w:t xml:space="preserve">“</w:t>
      </w:r>
      <w:r>
        <w:t xml:space="preserve">city reproduction number</w:t>
      </w:r>
      <w:r>
        <w:t xml:space="preserve">”</w:t>
      </w:r>
      <w:r>
        <w:t xml:space="preserve"> </w:t>
      </w:r>
      <w:r>
        <w:t xml:space="preserve">— it’s a one-word revert.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Renamed both R_t and R_c</w:t>
      </w:r>
      <w:r>
        <w:t xml:space="preserve"> </w:t>
      </w:r>
      <w:r>
        <w:t xml:space="preserve">— to pre-empt a predictable reviewer objection (our</w:t>
      </w:r>
      <w:r>
        <w:t xml:space="preserve"> </w:t>
      </w:r>
      <w:r>
        <w:t xml:space="preserve">quantities are not classical effective reproduction numbers), I renamed</w:t>
      </w:r>
      <w:r>
        <w:t xml:space="preserve"> </w:t>
      </w:r>
      <w:r>
        <w:rPr>
          <w:b/>
        </w:rPr>
        <w:t xml:space="preserve">R_t to the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LGU branching ratio (LBR)</w:t>
      </w:r>
      <w:r>
        <w:rPr>
          <w:b/>
        </w:rP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R_c to the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LGU out-degree index (LOI)</w:t>
      </w:r>
      <w:r>
        <w:rPr>
          <w:b/>
        </w:rPr>
        <w:t xml:space="preserve">”</w:t>
      </w:r>
      <w:r>
        <w:t xml:space="preserve">, changing</w:t>
      </w:r>
      <w:r>
        <w:t xml:space="preserve"> </w:t>
      </w:r>
      <w:r>
        <w:t xml:space="preserve">both names and symbols (R_t becomes LBR; R_c becomes LOI). These are shared with the</w:t>
      </w:r>
      <w:r>
        <w:t xml:space="preserve"> </w:t>
      </w:r>
      <w:r>
        <w:t xml:space="preserve">Jakarta paper, so I’d like your read — both are clean find-and-replace reverts if the</w:t>
      </w:r>
      <w:r>
        <w:t xml:space="preserve"> </w:t>
      </w:r>
      <w:r>
        <w:t xml:space="preserve">group prefers Nasution’s original notation.</w:t>
      </w:r>
      <w:r>
        <w:t xml:space="preserve"> </w:t>
      </w:r>
      <w:r>
        <w:t xml:space="preserve">This is shared terminology with the Jakarta paper, so I’d like your read — it’s a</w:t>
      </w:r>
      <w:r>
        <w:t xml:space="preserve"> </w:t>
      </w:r>
      <w:r>
        <w:t xml:space="preserve">clean find-and-replace to revert if you’d prefer we keep Nasution’s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</m:sub>
        </m:sSub>
      </m:oMath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A sanity-check that the</w:t>
      </w:r>
      <w:r>
        <w:t xml:space="preserve"> </w:t>
      </w:r>
      <w:r>
        <w:rPr>
          <w:b/>
        </w:rPr>
        <w:t xml:space="preserve">limitations list</w:t>
      </w:r>
      <w:r>
        <w:t xml:space="preserve"> </w:t>
      </w:r>
      <w:r>
        <w:t xml:space="preserve">reads fairly — whether any should be</w:t>
      </w:r>
      <w:r>
        <w:t xml:space="preserve"> </w:t>
      </w:r>
      <w:r>
        <w:t xml:space="preserve">softened or added.</w:t>
      </w:r>
    </w:p>
    <w:p>
      <w:pPr>
        <w:numPr>
          <w:ilvl w:val="0"/>
          <w:numId w:val="1006"/>
        </w:numPr>
        <w:pStyle w:val="Compact"/>
      </w:pPr>
      <w:r>
        <w:t xml:space="preserve">Whether there’s anything</w:t>
      </w:r>
      <w:r>
        <w:t xml:space="preserve"> </w:t>
      </w:r>
      <w:r>
        <w:rPr>
          <w:b/>
        </w:rPr>
        <w:t xml:space="preserve">in progress on your side</w:t>
      </w:r>
      <w:r>
        <w:t xml:space="preserve"> </w:t>
      </w:r>
      <w:r>
        <w:t xml:space="preserve">this should coordinate with</w:t>
      </w:r>
      <w:r>
        <w:t xml:space="preserve"> </w:t>
      </w:r>
      <w:r>
        <w:t xml:space="preserve">(e.g. a planned extension of the Jakarta work).</w:t>
      </w:r>
    </w:p>
    <w:p>
      <w:pPr>
        <w:pStyle w:val="Heading2"/>
      </w:pPr>
      <w:bookmarkStart w:id="30" w:name="anchor-references-for-context"/>
      <w:r>
        <w:t xml:space="preserve">Anchor references for context</w:t>
      </w:r>
      <w:bookmarkEnd w:id="30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Nasution et al. 2024</w:t>
      </w:r>
      <w:r>
        <w:t xml:space="preserve">,</w:t>
      </w:r>
      <w:r>
        <w:t xml:space="preserve"> </w:t>
      </w:r>
      <w:r>
        <w:rPr>
          <w:i/>
        </w:rPr>
        <w:t xml:space="preserve">Sci Rep</w:t>
      </w:r>
      <w:r>
        <w:t xml:space="preserve"> </w:t>
      </w:r>
      <w:r>
        <w:t xml:space="preserve">14:7619 — sister paper (DOI 10.1038/s41598-024-58390-3).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Li et al. 2019</w:t>
      </w:r>
      <w:r>
        <w:t xml:space="preserve">,</w:t>
      </w:r>
      <w:r>
        <w:t xml:space="preserve"> </w:t>
      </w:r>
      <w:r>
        <w:rPr>
          <w:i/>
        </w:rPr>
        <w:t xml:space="preserve">Ann. AAG</w:t>
      </w:r>
      <w:r>
        <w:t xml:space="preserve"> </w:t>
      </w:r>
      <w:r>
        <w:t xml:space="preserve">109(3):812–836 — original epidemic forest,</w:t>
      </w:r>
      <w:r>
        <w:t xml:space="preserve"> </w:t>
      </w:r>
      <w:r>
        <w:t xml:space="preserve">individual-level, space + time only (DOI 10.1080/24694452.2018.1511413).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Haydon et al. 2003</w:t>
      </w:r>
      <w:r>
        <w:t xml:space="preserve"> </w:t>
      </w:r>
      <w:r>
        <w:t xml:space="preserve">— original epidemic</w:t>
      </w:r>
      <w:r>
        <w:t xml:space="preserve"> </w:t>
      </w:r>
      <w:r>
        <w:rPr>
          <w:i/>
        </w:rPr>
        <w:t xml:space="preserve">trees</w:t>
      </w:r>
      <w:r>
        <w:t xml:space="preserve"> </w:t>
      </w:r>
      <w:r>
        <w:t xml:space="preserve">at farm (unit) level; why LGU-scale</w:t>
      </w:r>
      <w:r>
        <w:t xml:space="preserve"> </w:t>
      </w:r>
      <w:r>
        <w:t xml:space="preserve">reconstruction is a legitimate lineage, not a degraded Li.</w:t>
      </w:r>
    </w:p>
    <w:p>
      <w:pPr>
        <w:pStyle w:val="FirstParagraph"/>
      </w:pPr>
      <w:r>
        <w:t xml:space="preserve">Thanks for reading — happy to hop on a call if that’s easier.</w:t>
      </w:r>
    </w:p>
    <w:p>
      <w:pPr>
        <w:pStyle w:val="BodyText"/>
      </w:pPr>
      <w:r>
        <w:t xml:space="preserve">Jayrold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2026-07-05T17:39:37Z</dcterms:created>
  <dcterms:modified xsi:type="dcterms:W3CDTF">2026-07-05T17:39:37Z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