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méthode de calcul des résidus utiliser : MDOF, MDOF2,</w:t>
      </w:r>
      <w:r w:rsidDel="00000000" w:rsidR="00000000" w:rsidRPr="00000000">
        <w:rPr>
          <w:shd w:fill="d9ead3" w:val="clear"/>
          <w:rtl w:val="0"/>
        </w:rPr>
        <w:t xml:space="preserve"> MIMO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valeurs saisir pour les paramètres en début d’analyse modale 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model size (max iterations) =&gt; default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Tolérance fréquence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Tolérance amortissement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model size (to extract modal parameters) =&gt; a l’air bien avec 10 (Nmod=4, identifie les bonnes fréquences)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voir notes EMA_TD4_3 : forme des FRF, erreur dimension matrice Psi l341, mean l288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