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200"/>
            </w:pPr>
          </w:p>
          <w:p>
            <w:pPr>
              <w:pBdr>
                <w:bottom w:val="single" w:color="529286" w:sz="6" w:space="8"/>
              </w:pBdr>
              <w:spacing w:after="500"/>
              <w:ind w:left="1200" w:right="800"/>
            </w:pPr>
            <w:r>
              <w:rPr>
                <w:rFonts w:ascii="Calibri" w:eastAsia="SimHei"/>
                <w:color w:val="529286"/>
                <w:spacing w:val="40"/>
                <w:sz w:val="18"/>
                <w:szCs w:val="18"/>
              </w:rPr>
              <w:t xml:space="preserve">C O N T E N T   S T R A T E G Y   R E P O R T</w:t>
            </w:r>
          </w:p>
          <w:p>
            <w:pPr>
              <w:spacing w:after="100" w:line="828" w:lineRule="atLeast"/>
              <w:ind w:left="1200"/>
            </w:pPr>
            <w:r>
              <w:rPr>
                <w:rFonts w:ascii="Arial" w:eastAsia="SimHei"/>
                <w:b/>
                <w:bCs/>
                <w:color w:val="FFFFFF"/>
                <w:sz w:val="72"/>
                <w:szCs w:val="72"/>
              </w:rPr>
              <w:t xml:space="preserve">YouTube Tools Hub</w:t>
            </w:r>
          </w:p>
          <w:p>
            <w:pPr>
              <w:spacing w:after="100" w:line="828" w:lineRule="atLeast"/>
              <w:ind w:left="1200"/>
            </w:pPr>
            <w:r>
              <w:rPr>
                <w:rFonts w:ascii="Arial" w:eastAsia="SimHei"/>
                <w:b/>
                <w:bCs/>
                <w:color w:val="FFFFFF"/>
                <w:sz w:val="72"/>
                <w:szCs w:val="72"/>
              </w:rPr>
              <w:t xml:space="preserve">6-Month High-CPC</w:t>
            </w:r>
          </w:p>
          <w:p>
            <w:pPr>
              <w:spacing w:after="300" w:line="828" w:lineRule="atLeast"/>
              <w:ind w:left="1200"/>
            </w:pPr>
            <w:r>
              <w:rPr>
                <w:rFonts w:ascii="Arial" w:eastAsia="SimHei"/>
                <w:b/>
                <w:bCs/>
                <w:color w:val="FFFFFF"/>
                <w:sz w:val="72"/>
                <w:szCs w:val="72"/>
              </w:rPr>
              <w:t xml:space="preserve">Content Strategy</w:t>
            </w:r>
          </w:p>
          <w:p>
            <w:pPr>
              <w:spacing w:after="800"/>
              <w:ind w:left="1200"/>
            </w:pPr>
            <w:r>
              <w:rPr>
                <w:rFonts w:ascii="Arial" w:eastAsia="Microsoft YaHei"/>
                <w:color w:val="B0B8C0"/>
                <w:sz w:val="24"/>
                <w:szCs w:val="24"/>
              </w:rPr>
              <w:t>A revised operating roadmap: base $7.3K/mo and conditional $23.51K/mo stretch</w:t>
            </w:r>
          </w:p>
          <w:p>
            <w:pPr>
              <w:pBdr>
                <w:left w:val="single" w:color="529286" w:sz="8" w:space="12"/>
              </w:pBdr>
              <w:spacing w:after="80"/>
              <w:ind w:left="1400"/>
            </w:pPr>
            <w:r>
              <w:rPr>
                <w:rFonts w:ascii="Arial" w:eastAsia="Microsoft YaHei"/>
                <w:color w:val="90989F"/>
                <w:sz w:val="22"/>
                <w:szCs w:val="22"/>
              </w:rPr>
              <w:t xml:space="preserve">Prepared for:  www.youtubetoolshub.com</w:t>
            </w:r>
          </w:p>
          <w:p>
            <w:pPr>
              <w:pBdr>
                <w:left w:val="single" w:color="529286" w:sz="8" w:space="12"/>
              </w:pBdr>
              <w:spacing w:after="80"/>
              <w:ind w:left="1400"/>
            </w:pPr>
            <w:r>
              <w:rPr>
                <w:rFonts w:ascii="Arial" w:eastAsia="Microsoft YaHei"/>
                <w:color w:val="90989F"/>
                <w:sz w:val="22"/>
                <w:szCs w:val="22"/>
              </w:rPr>
              <w:t xml:space="preserve">Period:  July – December 2026</w:t>
            </w:r>
          </w:p>
          <w:p>
            <w:pPr>
              <w:pBdr>
                <w:left w:val="single" w:color="529286" w:sz="8" w:space="12"/>
              </w:pBdr>
              <w:spacing w:after="80"/>
              <w:ind w:left="1400"/>
            </w:pPr>
            <w:r>
              <w:rPr>
                <w:rFonts w:ascii="Arial" w:eastAsia="Microsoft YaHei"/>
                <w:color w:val="90989F"/>
                <w:sz w:val="22"/>
                <w:szCs w:val="22"/>
              </w:rPr>
              <w:t xml:space="preserve">Cadence:  4 posts/week  •  96 posts total</w:t>
            </w:r>
          </w:p>
          <w:p>
            <w:pPr>
              <w:pBdr>
                <w:left w:val="single" w:color="529286" w:sz="8" w:space="12"/>
              </w:pBdr>
              <w:spacing w:after="80"/>
              <w:ind w:left="1400"/>
            </w:pPr>
            <w:r>
              <w:rPr>
                <w:rFonts w:ascii="Arial" w:eastAsia="Microsoft YaHei"/>
                <w:color w:val="90989F"/>
                <w:sz w:val="22"/>
                <w:szCs w:val="22"/>
              </w:rPr>
              <w:t>Target:  $5.50 keyword-CPC proxy  •  $7.3K/mo base by Dec 2026</w:t>
            </w:r>
          </w:p>
          <w:p>
            <w:pPr>
              <w:pBdr>
                <w:left w:val="single" w:color="529286" w:sz="8" w:space="12"/>
              </w:pBdr>
              <w:spacing w:after="80"/>
              <w:ind w:left="1400"/>
            </w:pPr>
            <w:r>
              <w:rPr>
                <w:rFonts w:ascii="Arial" w:eastAsia="Microsoft YaHei"/>
                <w:color w:val="90989F"/>
                <w:sz w:val="22"/>
                <w:szCs w:val="22"/>
              </w:rPr>
              <w:t xml:space="preserve">Prepared by:  Z.ai Research</w:t>
            </w:r>
          </w:p>
          <w:p>
            <w:pPr>
              <w:pBdr>
                <w:left w:val="single" w:color="529286" w:sz="8" w:space="12"/>
              </w:pBdr>
              <w:spacing w:after="80"/>
              <w:ind w:left="1400"/>
            </w:pPr>
            <w:r>
              <w:rPr>
                <w:rFonts w:ascii="Arial" w:eastAsia="Microsoft YaHei"/>
                <w:color w:val="90989F"/>
                <w:sz w:val="22"/>
                <w:szCs w:val="22"/>
              </w:rPr>
              <w:t>Date:  July 11, 2026 (v2)</w:t>
            </w:r>
          </w:p>
          <w:p>
            <w:pPr>
              <w:spacing w:before="2400"/>
            </w:pPr>
          </w:p>
          <w:p>
            <w:pPr>
              <w:pBdr>
                <w:top w:val="single" w:color="529286" w:sz="2" w:space="8"/>
              </w:pBdr>
              <w:spacing w:before="200"/>
              <w:ind w:left="1200" w:right="800"/>
            </w:pPr>
            <w:r>
              <w:rPr>
                <w:rFonts w:ascii="Arial"/>
                <w:color w:val="687078"/>
                <w:sz w:val="16"/>
                <w:szCs w:val="16"/>
              </w:rPr>
              <w:t xml:space="preserve">Confidential — Internal Strategy Document</w:t>
            </w:r>
            <w:r>
              <w:t xml:space="preserve">                                        </w:t>
            </w:r>
            <w:r>
              <w:rPr>
                <w:rFonts w:ascii="Arial"/>
                <w:color w:val="687078"/>
                <w:sz w:val="16"/>
                <w:szCs w:val="16"/>
              </w:rPr>
              <w:t xml:space="preserve">Z.ai • July 2026</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Calibri" w:eastAsia="SimHei"/>
          <w:b/>
          <w:bCs/>
          <w:color w:val="0B1C2C"/>
          <w:sz w:val="32"/>
          <w:szCs w:val="32"/>
        </w:rPr>
        <w:t xml:space="preserve">Executive Summary</w:t>
      </w:r>
    </w:p>
    <w:p>
      <w:pPr>
        <w:spacing w:after="120" w:line="312"/>
        <w:ind w:firstLine="0"/>
        <w:jc w:val="both"/>
      </w:pPr>
      <w:r>
        <w:t>YouTube Tools Hub begins with a low-RPM, high-volume profile, but the supplied baseline needs confirmation: 12,000 monthly page views and $36 monthly AdSense revenue imply a $3.00 RPM, not $1.20. This revision uses the implied $3.00 RPM as the planning baseline until a 28-day AdSense export is recorded.</w:t>
      </w:r>
    </w:p>
    <w:p>
      <w:pPr>
        <w:spacing w:after="120" w:line="312"/>
        <w:ind w:firstLine="0"/>
        <w:jc w:val="both"/>
      </w:pPr>
      <w:r>
        <w:t>This v2 keeps the July-December 2026, 96-post program but treats 650,000 page views and $60,000/month as an unvalidated stretch, not the operating forecast. The December base target is 180,000 page views, $10.00 RPM, $1,800 AdSense revenue, $3,000 affiliate revenue, $2,000 sponsorship revenue, and $500 digital-product revenue: $7,300/month. At the original 650,000-view stretch and $15.40 RPM, the stated revenue streams total $23,510/month, not $60,000. Keyword CPC guides topic selection; it is not a direct RPM or revenue equation.</w:t>
      </w:r>
    </w:p>
    <w:p>
      <w:pPr>
        <w:spacing w:after="120" w:line="312"/>
        <w:ind w:firstLine="0"/>
        <w:jc w:val="both"/>
      </w:pPr>
      <w:r>
        <w:t>The companion Excel workbook now contains the 96-post calendar with cluster, pillar-role, and publish-gate controls; a 99-record keyword database with 98 distinct terms, 96 scheduled entries, two backlogs, and one duplicate flagged; a quality-referring-domain model; a corrected formula-driven forecast; and a v2 decision log with reforecast gates. This document explains the strategy and the constraints that must be met before publishing high-stakes content.</w:t>
      </w:r>
    </w:p>
    <w:p>
      <w:r>
        <w:rPr>
          <w:b/>
        </w:rPr>
        <w:t>V2 Update - What Changed</w:t>
      </w:r>
    </w:p>
    <w:p>
      <w:r>
        <w:rPr>
          <w:b w:val="0"/>
        </w:rPr>
        <w:t>The 96-post calendar is retained, but the financial, authority, and delivery assumptions are now reconciled. The operating base target is $7,300/month in December; $23,510/month is the conditional stretch under the original 650,000-view/RPM assumptions.</w:t>
      </w:r>
    </w:p>
    <w:p>
      <w:r>
        <w:rPr>
          <w:b w:val="0"/>
        </w:rPr>
        <w:t>Publishing controls have been added for high-stakes creator-business content: SME review, primary sources, disclosure, update dates, appropriate disclaimers, and three relevant internal links.</w:t>
      </w:r>
    </w:p>
    <w:p>
      <w:r>
        <w:rPr>
          <w:b w:val="0"/>
        </w:rPr>
        <w:t>The workbook now treats social/owned distribution as referral activity rather than earned referring domains, uses actual calendar-month post totals, flags keyword data quality, and adds 30/60/90-day reforecast gates.</w:t>
      </w:r>
    </w:p>
    <w:p>
      <w:pPr>
        <w:pStyle w:val="Heading2"/>
        <w:spacing w:after="160" w:before="280"/>
      </w:pPr>
      <w:r>
        <w:rPr>
          <w:rFonts w:ascii="Calibri" w:eastAsia="SimHei"/>
          <w:b/>
          <w:bCs/>
          <w:color w:val="0B1C2C"/>
          <w:sz w:val="28"/>
          <w:szCs w:val="28"/>
        </w:rPr>
        <w:t xml:space="preserve">Key Projections at a Glance</w:t>
      </w:r>
    </w:p>
    <w:p>
      <w:pPr>
        <w:spacing w:after="120" w:line="312"/>
        <w:ind w:firstLine="0"/>
        <w:jc w:val="both"/>
      </w:pPr>
      <w:r>
        <w:t>The table below is the operational base trajectory. It deliberately separates keyword-CPC priority from AdSense RPM and presents a conditional stretch scenario only where the stated inputs reconcile.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22%"/>
            <w:shd w:fill="529286" w:val="clear"/>
            <w:tcMar>
              <w:top w:type="dxa" w:w="80"/>
              <w:left w:type="dxa" w:w="120"/>
              <w:bottom w:type="dxa" w:w="80"/>
              <w:right w:type="dxa" w:w="120"/>
            </w:tcMar>
          </w:tcPr>
          <w:p>
            <w:r>
              <w:t>Metric</w:t>
            </w:r>
          </w:p>
        </w:tc>
        <w:tc>
          <w:tcPr>
            <w:tcW w:type="pct" w:w="17%"/>
            <w:shd w:fill="529286" w:val="clear"/>
            <w:tcMar>
              <w:top w:type="dxa" w:w="80"/>
              <w:left w:type="dxa" w:w="120"/>
              <w:bottom w:type="dxa" w:w="80"/>
              <w:right w:type="dxa" w:w="120"/>
            </w:tcMar>
          </w:tcPr>
          <w:p>
            <w:r>
              <w:t>Baseline (Jul 2026)</w:t>
            </w:r>
          </w:p>
        </w:tc>
        <w:tc>
          <w:tcPr>
            <w:tcW w:type="pct" w:w="15%"/>
            <w:shd w:fill="529286" w:val="clear"/>
            <w:tcMar>
              <w:top w:type="dxa" w:w="80"/>
              <w:left w:type="dxa" w:w="120"/>
              <w:bottom w:type="dxa" w:w="80"/>
              <w:right w:type="dxa" w:w="120"/>
            </w:tcMar>
          </w:tcPr>
          <w:p>
            <w:r>
              <w:t>Month 2 Target</w:t>
            </w:r>
          </w:p>
        </w:tc>
        <w:tc>
          <w:tcPr>
            <w:tcW w:type="pct" w:w="15%"/>
            <w:shd w:fill="529286" w:val="clear"/>
            <w:tcMar>
              <w:top w:type="dxa" w:w="80"/>
              <w:left w:type="dxa" w:w="120"/>
              <w:bottom w:type="dxa" w:w="80"/>
              <w:right w:type="dxa" w:w="120"/>
            </w:tcMar>
          </w:tcPr>
          <w:p>
            <w:r>
              <w:t>Month 4 Target</w:t>
            </w:r>
          </w:p>
        </w:tc>
        <w:tc>
          <w:tcPr>
            <w:tcW w:type="pct" w:w="15%"/>
            <w:shd w:fill="529286" w:val="clear"/>
            <w:tcMar>
              <w:top w:type="dxa" w:w="80"/>
              <w:left w:type="dxa" w:w="120"/>
              <w:bottom w:type="dxa" w:w="80"/>
              <w:right w:type="dxa" w:w="120"/>
            </w:tcMar>
          </w:tcPr>
          <w:p>
            <w:r>
              <w:t>Month 6 Base Target</w:t>
            </w:r>
          </w:p>
        </w:tc>
        <w:tc>
          <w:tcPr>
            <w:tcW w:type="pct" w:w="16%"/>
            <w:shd w:fill="529286" w:val="clear"/>
            <w:tcMar>
              <w:top w:type="dxa" w:w="80"/>
              <w:left w:type="dxa" w:w="120"/>
              <w:bottom w:type="dxa" w:w="80"/>
              <w:right w:type="dxa" w:w="120"/>
            </w:tcMar>
          </w:tcPr>
          <w:p>
            <w:r>
              <w:t>Growth / Note</w:t>
            </w:r>
          </w:p>
        </w:tc>
      </w:tr>
      <w:tr>
        <w:trPr>
          <w:cantSplit/>
        </w:trPr>
        <w:tc>
          <w:tcPr>
            <w:tcW w:type="pct" w:w="22%"/>
            <w:shd w:fill="E8ECEB" w:val="clear"/>
            <w:tcMar>
              <w:top w:type="dxa" w:w="80"/>
              <w:left w:type="dxa" w:w="120"/>
              <w:bottom w:type="dxa" w:w="80"/>
              <w:right w:type="dxa" w:w="120"/>
            </w:tcMar>
          </w:tcPr>
          <w:p>
            <w:r>
              <w:t>Monthly Page Views</w:t>
            </w:r>
          </w:p>
        </w:tc>
        <w:tc>
          <w:tcPr>
            <w:tcW w:type="pct" w:w="17%"/>
            <w:shd w:fill="E8ECEB" w:val="clear"/>
            <w:tcMar>
              <w:top w:type="dxa" w:w="80"/>
              <w:left w:type="dxa" w:w="120"/>
              <w:bottom w:type="dxa" w:w="80"/>
              <w:right w:type="dxa" w:w="120"/>
            </w:tcMar>
          </w:tcPr>
          <w:p>
            <w:r>
              <w:t>12,000</w:t>
            </w:r>
          </w:p>
        </w:tc>
        <w:tc>
          <w:tcPr>
            <w:tcW w:type="pct" w:w="15%"/>
            <w:shd w:fill="E8ECEB" w:val="clear"/>
            <w:tcMar>
              <w:top w:type="dxa" w:w="80"/>
              <w:left w:type="dxa" w:w="120"/>
              <w:bottom w:type="dxa" w:w="80"/>
              <w:right w:type="dxa" w:w="120"/>
            </w:tcMar>
          </w:tcPr>
          <w:p>
            <w:r>
              <w:t>30,000</w:t>
            </w:r>
          </w:p>
        </w:tc>
        <w:tc>
          <w:tcPr>
            <w:tcW w:type="pct" w:w="15%"/>
            <w:shd w:fill="E8ECEB" w:val="clear"/>
            <w:tcMar>
              <w:top w:type="dxa" w:w="80"/>
              <w:left w:type="dxa" w:w="120"/>
              <w:bottom w:type="dxa" w:w="80"/>
              <w:right w:type="dxa" w:w="120"/>
            </w:tcMar>
          </w:tcPr>
          <w:p>
            <w:r>
              <w:t>80,000</w:t>
            </w:r>
          </w:p>
        </w:tc>
        <w:tc>
          <w:tcPr>
            <w:tcW w:type="pct" w:w="15%"/>
            <w:shd w:fill="E8ECEB" w:val="clear"/>
            <w:tcMar>
              <w:top w:type="dxa" w:w="80"/>
              <w:left w:type="dxa" w:w="120"/>
              <w:bottom w:type="dxa" w:w="80"/>
              <w:right w:type="dxa" w:w="120"/>
            </w:tcMar>
          </w:tcPr>
          <w:p>
            <w:r>
              <w:t>180,000</w:t>
            </w:r>
          </w:p>
        </w:tc>
        <w:tc>
          <w:tcPr>
            <w:tcW w:type="pct" w:w="16%"/>
            <w:shd w:fill="E8ECEB" w:val="clear"/>
            <w:tcMar>
              <w:top w:type="dxa" w:w="80"/>
              <w:left w:type="dxa" w:w="120"/>
              <w:bottom w:type="dxa" w:w="80"/>
              <w:right w:type="dxa" w:w="120"/>
            </w:tcMar>
          </w:tcPr>
          <w:p>
            <w:r>
              <w:t>15x</w:t>
            </w:r>
          </w:p>
        </w:tc>
      </w:tr>
      <w:tr>
        <w:trPr>
          <w:cantSplit/>
        </w:trPr>
        <w:tc>
          <w:tcPr>
            <w:tcW w:type="pct" w:w="22%"/>
            <w:shd w:fill="FFFFFF" w:val="clear"/>
            <w:tcMar>
              <w:top w:type="dxa" w:w="80"/>
              <w:left w:type="dxa" w:w="120"/>
              <w:bottom w:type="dxa" w:w="80"/>
              <w:right w:type="dxa" w:w="120"/>
            </w:tcMar>
          </w:tcPr>
          <w:p>
            <w:r>
              <w:t>Keyword Portfolio CPC Proxy</w:t>
            </w:r>
          </w:p>
        </w:tc>
        <w:tc>
          <w:tcPr>
            <w:tcW w:type="pct" w:w="17%"/>
            <w:shd w:fill="FFFFFF" w:val="clear"/>
            <w:tcMar>
              <w:top w:type="dxa" w:w="80"/>
              <w:left w:type="dxa" w:w="120"/>
              <w:bottom w:type="dxa" w:w="80"/>
              <w:right w:type="dxa" w:w="120"/>
            </w:tcMar>
          </w:tcPr>
          <w:p>
            <w:r>
              <w:t>$0.30</w:t>
            </w:r>
          </w:p>
        </w:tc>
        <w:tc>
          <w:tcPr>
            <w:tcW w:type="pct" w:w="15%"/>
            <w:shd w:fill="FFFFFF" w:val="clear"/>
            <w:tcMar>
              <w:top w:type="dxa" w:w="80"/>
              <w:left w:type="dxa" w:w="120"/>
              <w:bottom w:type="dxa" w:w="80"/>
              <w:right w:type="dxa" w:w="120"/>
            </w:tcMar>
          </w:tcPr>
          <w:p>
            <w:r>
              <w:t>$3.00</w:t>
            </w:r>
          </w:p>
        </w:tc>
        <w:tc>
          <w:tcPr>
            <w:tcW w:type="pct" w:w="15%"/>
            <w:shd w:fill="FFFFFF" w:val="clear"/>
            <w:tcMar>
              <w:top w:type="dxa" w:w="80"/>
              <w:left w:type="dxa" w:w="120"/>
              <w:bottom w:type="dxa" w:w="80"/>
              <w:right w:type="dxa" w:w="120"/>
            </w:tcMar>
          </w:tcPr>
          <w:p>
            <w:r>
              <w:t>$4.50</w:t>
            </w:r>
          </w:p>
        </w:tc>
        <w:tc>
          <w:tcPr>
            <w:tcW w:type="pct" w:w="15%"/>
            <w:shd w:fill="FFFFFF" w:val="clear"/>
            <w:tcMar>
              <w:top w:type="dxa" w:w="80"/>
              <w:left w:type="dxa" w:w="120"/>
              <w:bottom w:type="dxa" w:w="80"/>
              <w:right w:type="dxa" w:w="120"/>
            </w:tcMar>
          </w:tcPr>
          <w:p>
            <w:r>
              <w:t>$5.50</w:t>
            </w:r>
          </w:p>
        </w:tc>
        <w:tc>
          <w:tcPr>
            <w:tcW w:type="pct" w:w="16%"/>
            <w:shd w:fill="FFFFFF" w:val="clear"/>
            <w:tcMar>
              <w:top w:type="dxa" w:w="80"/>
              <w:left w:type="dxa" w:w="120"/>
              <w:bottom w:type="dxa" w:w="80"/>
              <w:right w:type="dxa" w:w="120"/>
            </w:tcMar>
          </w:tcPr>
          <w:p>
            <w:r>
              <w:t>Priority proxy only</w:t>
            </w:r>
          </w:p>
        </w:tc>
      </w:tr>
      <w:tr>
        <w:trPr>
          <w:cantSplit/>
        </w:trPr>
        <w:tc>
          <w:tcPr>
            <w:tcW w:type="pct" w:w="22%"/>
            <w:shd w:fill="E8ECEB" w:val="clear"/>
            <w:tcMar>
              <w:top w:type="dxa" w:w="80"/>
              <w:left w:type="dxa" w:w="120"/>
              <w:bottom w:type="dxa" w:w="80"/>
              <w:right w:type="dxa" w:w="120"/>
            </w:tcMar>
          </w:tcPr>
          <w:p>
            <w:r>
              <w:t>Avg RPM (Planning)</w:t>
            </w:r>
          </w:p>
        </w:tc>
        <w:tc>
          <w:tcPr>
            <w:tcW w:type="pct" w:w="17%"/>
            <w:shd w:fill="E8ECEB" w:val="clear"/>
            <w:tcMar>
              <w:top w:type="dxa" w:w="80"/>
              <w:left w:type="dxa" w:w="120"/>
              <w:bottom w:type="dxa" w:w="80"/>
              <w:right w:type="dxa" w:w="120"/>
            </w:tcMar>
          </w:tcPr>
          <w:p>
            <w:r>
              <w:t>$3.00</w:t>
            </w:r>
          </w:p>
        </w:tc>
        <w:tc>
          <w:tcPr>
            <w:tcW w:type="pct" w:w="15%"/>
            <w:shd w:fill="E8ECEB" w:val="clear"/>
            <w:tcMar>
              <w:top w:type="dxa" w:w="80"/>
              <w:left w:type="dxa" w:w="120"/>
              <w:bottom w:type="dxa" w:w="80"/>
              <w:right w:type="dxa" w:w="120"/>
            </w:tcMar>
          </w:tcPr>
          <w:p>
            <w:r>
              <w:t>$4.00</w:t>
            </w:r>
          </w:p>
        </w:tc>
        <w:tc>
          <w:tcPr>
            <w:tcW w:type="pct" w:w="15%"/>
            <w:shd w:fill="E8ECEB" w:val="clear"/>
            <w:tcMar>
              <w:top w:type="dxa" w:w="80"/>
              <w:left w:type="dxa" w:w="120"/>
              <w:bottom w:type="dxa" w:w="80"/>
              <w:right w:type="dxa" w:w="120"/>
            </w:tcMar>
          </w:tcPr>
          <w:p>
            <w:r>
              <w:t>$7.00</w:t>
            </w:r>
          </w:p>
        </w:tc>
        <w:tc>
          <w:tcPr>
            <w:tcW w:type="pct" w:w="15%"/>
            <w:shd w:fill="E8ECEB" w:val="clear"/>
            <w:tcMar>
              <w:top w:type="dxa" w:w="80"/>
              <w:left w:type="dxa" w:w="120"/>
              <w:bottom w:type="dxa" w:w="80"/>
              <w:right w:type="dxa" w:w="120"/>
            </w:tcMar>
          </w:tcPr>
          <w:p>
            <w:r>
              <w:t>$10.00</w:t>
            </w:r>
          </w:p>
        </w:tc>
        <w:tc>
          <w:tcPr>
            <w:tcW w:type="pct" w:w="16%"/>
            <w:shd w:fill="E8ECEB" w:val="clear"/>
            <w:tcMar>
              <w:top w:type="dxa" w:w="80"/>
              <w:left w:type="dxa" w:w="120"/>
              <w:bottom w:type="dxa" w:w="80"/>
              <w:right w:type="dxa" w:w="120"/>
            </w:tcMar>
          </w:tcPr>
          <w:p>
            <w:r>
              <w:t>3.3x</w:t>
            </w:r>
          </w:p>
        </w:tc>
      </w:tr>
      <w:tr>
        <w:trPr>
          <w:cantSplit/>
        </w:trPr>
        <w:tc>
          <w:tcPr>
            <w:tcW w:type="pct" w:w="22%"/>
            <w:shd w:fill="FFFFFF" w:val="clear"/>
            <w:tcMar>
              <w:top w:type="dxa" w:w="80"/>
              <w:left w:type="dxa" w:w="120"/>
              <w:bottom w:type="dxa" w:w="80"/>
              <w:right w:type="dxa" w:w="120"/>
            </w:tcMar>
          </w:tcPr>
          <w:p>
            <w:r>
              <w:t>Monthly AdSense Revenue</w:t>
            </w:r>
          </w:p>
        </w:tc>
        <w:tc>
          <w:tcPr>
            <w:tcW w:type="pct" w:w="17%"/>
            <w:shd w:fill="FFFFFF" w:val="clear"/>
            <w:tcMar>
              <w:top w:type="dxa" w:w="80"/>
              <w:left w:type="dxa" w:w="120"/>
              <w:bottom w:type="dxa" w:w="80"/>
              <w:right w:type="dxa" w:w="120"/>
            </w:tcMar>
          </w:tcPr>
          <w:p>
            <w:r>
              <w:t>$36</w:t>
            </w:r>
          </w:p>
        </w:tc>
        <w:tc>
          <w:tcPr>
            <w:tcW w:type="pct" w:w="15%"/>
            <w:shd w:fill="FFFFFF" w:val="clear"/>
            <w:tcMar>
              <w:top w:type="dxa" w:w="80"/>
              <w:left w:type="dxa" w:w="120"/>
              <w:bottom w:type="dxa" w:w="80"/>
              <w:right w:type="dxa" w:w="120"/>
            </w:tcMar>
          </w:tcPr>
          <w:p>
            <w:r>
              <w:t>$120</w:t>
            </w:r>
          </w:p>
        </w:tc>
        <w:tc>
          <w:tcPr>
            <w:tcW w:type="pct" w:w="15%"/>
            <w:shd w:fill="FFFFFF" w:val="clear"/>
            <w:tcMar>
              <w:top w:type="dxa" w:w="80"/>
              <w:left w:type="dxa" w:w="120"/>
              <w:bottom w:type="dxa" w:w="80"/>
              <w:right w:type="dxa" w:w="120"/>
            </w:tcMar>
          </w:tcPr>
          <w:p>
            <w:r>
              <w:t>$560</w:t>
            </w:r>
          </w:p>
        </w:tc>
        <w:tc>
          <w:tcPr>
            <w:tcW w:type="pct" w:w="15%"/>
            <w:shd w:fill="FFFFFF" w:val="clear"/>
            <w:tcMar>
              <w:top w:type="dxa" w:w="80"/>
              <w:left w:type="dxa" w:w="120"/>
              <w:bottom w:type="dxa" w:w="80"/>
              <w:right w:type="dxa" w:w="120"/>
            </w:tcMar>
          </w:tcPr>
          <w:p>
            <w:r>
              <w:t>$1,800</w:t>
            </w:r>
          </w:p>
        </w:tc>
        <w:tc>
          <w:tcPr>
            <w:tcW w:type="pct" w:w="16%"/>
            <w:shd w:fill="FFFFFF" w:val="clear"/>
            <w:tcMar>
              <w:top w:type="dxa" w:w="80"/>
              <w:left w:type="dxa" w:w="120"/>
              <w:bottom w:type="dxa" w:w="80"/>
              <w:right w:type="dxa" w:w="120"/>
            </w:tcMar>
          </w:tcPr>
          <w:p>
            <w:r>
              <w:t>50x</w:t>
            </w:r>
          </w:p>
        </w:tc>
      </w:tr>
      <w:tr>
        <w:trPr>
          <w:cantSplit/>
        </w:trPr>
        <w:tc>
          <w:tcPr>
            <w:tcW w:type="pct" w:w="22%"/>
            <w:shd w:fill="E8ECEB" w:val="clear"/>
            <w:tcMar>
              <w:top w:type="dxa" w:w="80"/>
              <w:left w:type="dxa" w:w="120"/>
              <w:bottom w:type="dxa" w:w="80"/>
              <w:right w:type="dxa" w:w="120"/>
            </w:tcMar>
          </w:tcPr>
          <w:p>
            <w:r>
              <w:t>Affiliate Revenue</w:t>
            </w:r>
          </w:p>
        </w:tc>
        <w:tc>
          <w:tcPr>
            <w:tcW w:type="pct" w:w="17%"/>
            <w:shd w:fill="E8ECEB" w:val="clear"/>
            <w:tcMar>
              <w:top w:type="dxa" w:w="80"/>
              <w:left w:type="dxa" w:w="120"/>
              <w:bottom w:type="dxa" w:w="80"/>
              <w:right w:type="dxa" w:w="120"/>
            </w:tcMar>
          </w:tcPr>
          <w:p>
            <w:r>
              <w:t>$0</w:t>
            </w:r>
          </w:p>
        </w:tc>
        <w:tc>
          <w:tcPr>
            <w:tcW w:type="pct" w:w="15%"/>
            <w:shd w:fill="E8ECEB" w:val="clear"/>
            <w:tcMar>
              <w:top w:type="dxa" w:w="80"/>
              <w:left w:type="dxa" w:w="120"/>
              <w:bottom w:type="dxa" w:w="80"/>
              <w:right w:type="dxa" w:w="120"/>
            </w:tcMar>
          </w:tcPr>
          <w:p>
            <w:r>
              <w:t>$250</w:t>
            </w:r>
          </w:p>
        </w:tc>
        <w:tc>
          <w:tcPr>
            <w:tcW w:type="pct" w:w="15%"/>
            <w:shd w:fill="E8ECEB" w:val="clear"/>
            <w:tcMar>
              <w:top w:type="dxa" w:w="80"/>
              <w:left w:type="dxa" w:w="120"/>
              <w:bottom w:type="dxa" w:w="80"/>
              <w:right w:type="dxa" w:w="120"/>
            </w:tcMar>
          </w:tcPr>
          <w:p>
            <w:r>
              <w:t>$1,000</w:t>
            </w:r>
          </w:p>
        </w:tc>
        <w:tc>
          <w:tcPr>
            <w:tcW w:type="pct" w:w="15%"/>
            <w:shd w:fill="E8ECEB" w:val="clear"/>
            <w:tcMar>
              <w:top w:type="dxa" w:w="80"/>
              <w:left w:type="dxa" w:w="120"/>
              <w:bottom w:type="dxa" w:w="80"/>
              <w:right w:type="dxa" w:w="120"/>
            </w:tcMar>
          </w:tcPr>
          <w:p>
            <w:r>
              <w:t>$3,000</w:t>
            </w:r>
          </w:p>
        </w:tc>
        <w:tc>
          <w:tcPr>
            <w:tcW w:type="pct" w:w="16%"/>
            <w:shd w:fill="E8ECEB" w:val="clear"/>
            <w:tcMar>
              <w:top w:type="dxa" w:w="80"/>
              <w:left w:type="dxa" w:w="120"/>
              <w:bottom w:type="dxa" w:w="80"/>
              <w:right w:type="dxa" w:w="120"/>
            </w:tcMar>
          </w:tcPr>
          <w:p>
            <w:r>
              <w:t>-</w:t>
            </w:r>
          </w:p>
        </w:tc>
      </w:tr>
      <w:tr>
        <w:trPr>
          <w:cantSplit/>
        </w:trPr>
        <w:tc>
          <w:tcPr>
            <w:tcW w:type="pct" w:w="22%"/>
            <w:shd w:fill="FFFFFF" w:val="clear"/>
            <w:tcMar>
              <w:top w:type="dxa" w:w="80"/>
              <w:left w:type="dxa" w:w="120"/>
              <w:bottom w:type="dxa" w:w="80"/>
              <w:right w:type="dxa" w:w="120"/>
            </w:tcMar>
          </w:tcPr>
          <w:p>
            <w:r>
              <w:t>Sponsorship Revenue</w:t>
            </w:r>
          </w:p>
        </w:tc>
        <w:tc>
          <w:tcPr>
            <w:tcW w:type="pct" w:w="17%"/>
            <w:shd w:fill="FFFFFF" w:val="clear"/>
            <w:tcMar>
              <w:top w:type="dxa" w:w="80"/>
              <w:left w:type="dxa" w:w="120"/>
              <w:bottom w:type="dxa" w:w="80"/>
              <w:right w:type="dxa" w:w="120"/>
            </w:tcMar>
          </w:tcPr>
          <w:p>
            <w:r>
              <w:t>$0</w:t>
            </w:r>
          </w:p>
        </w:tc>
        <w:tc>
          <w:tcPr>
            <w:tcW w:type="pct" w:w="15%"/>
            <w:shd w:fill="FFFFFF" w:val="clear"/>
            <w:tcMar>
              <w:top w:type="dxa" w:w="80"/>
              <w:left w:type="dxa" w:w="120"/>
              <w:bottom w:type="dxa" w:w="80"/>
              <w:right w:type="dxa" w:w="120"/>
            </w:tcMar>
          </w:tcPr>
          <w:p>
            <w:r>
              <w:t>$0</w:t>
            </w:r>
          </w:p>
        </w:tc>
        <w:tc>
          <w:tcPr>
            <w:tcW w:type="pct" w:w="15%"/>
            <w:shd w:fill="FFFFFF" w:val="clear"/>
            <w:tcMar>
              <w:top w:type="dxa" w:w="80"/>
              <w:left w:type="dxa" w:w="120"/>
              <w:bottom w:type="dxa" w:w="80"/>
              <w:right w:type="dxa" w:w="120"/>
            </w:tcMar>
          </w:tcPr>
          <w:p>
            <w:r>
              <w:t>$600</w:t>
            </w:r>
          </w:p>
        </w:tc>
        <w:tc>
          <w:tcPr>
            <w:tcW w:type="pct" w:w="15%"/>
            <w:shd w:fill="FFFFFF" w:val="clear"/>
            <w:tcMar>
              <w:top w:type="dxa" w:w="80"/>
              <w:left w:type="dxa" w:w="120"/>
              <w:bottom w:type="dxa" w:w="80"/>
              <w:right w:type="dxa" w:w="120"/>
            </w:tcMar>
          </w:tcPr>
          <w:p>
            <w:r>
              <w:t>$2,000</w:t>
            </w:r>
          </w:p>
        </w:tc>
        <w:tc>
          <w:tcPr>
            <w:tcW w:type="pct" w:w="16%"/>
            <w:shd w:fill="FFFFFF" w:val="clear"/>
            <w:tcMar>
              <w:top w:type="dxa" w:w="80"/>
              <w:left w:type="dxa" w:w="120"/>
              <w:bottom w:type="dxa" w:w="80"/>
              <w:right w:type="dxa" w:w="120"/>
            </w:tcMar>
          </w:tcPr>
          <w:p>
            <w:r>
              <w:t>-</w:t>
            </w:r>
          </w:p>
        </w:tc>
      </w:tr>
      <w:tr>
        <w:trPr>
          <w:cantSplit/>
        </w:trPr>
        <w:tc>
          <w:tcPr>
            <w:tcW w:type="pct" w:w="22%"/>
            <w:shd w:fill="E8ECEB" w:val="clear"/>
            <w:tcMar>
              <w:top w:type="dxa" w:w="80"/>
              <w:left w:type="dxa" w:w="120"/>
              <w:bottom w:type="dxa" w:w="80"/>
              <w:right w:type="dxa" w:w="120"/>
            </w:tcMar>
          </w:tcPr>
          <w:p>
            <w:r>
              <w:t>Digital Product Revenue</w:t>
            </w:r>
          </w:p>
        </w:tc>
        <w:tc>
          <w:tcPr>
            <w:tcW w:type="pct" w:w="17%"/>
            <w:shd w:fill="E8ECEB" w:val="clear"/>
            <w:tcMar>
              <w:top w:type="dxa" w:w="80"/>
              <w:left w:type="dxa" w:w="120"/>
              <w:bottom w:type="dxa" w:w="80"/>
              <w:right w:type="dxa" w:w="120"/>
            </w:tcMar>
          </w:tcPr>
          <w:p>
            <w:r>
              <w:t>$0</w:t>
            </w:r>
          </w:p>
        </w:tc>
        <w:tc>
          <w:tcPr>
            <w:tcW w:type="pct" w:w="15%"/>
            <w:shd w:fill="E8ECEB" w:val="clear"/>
            <w:tcMar>
              <w:top w:type="dxa" w:w="80"/>
              <w:left w:type="dxa" w:w="120"/>
              <w:bottom w:type="dxa" w:w="80"/>
              <w:right w:type="dxa" w:w="120"/>
            </w:tcMar>
          </w:tcPr>
          <w:p>
            <w:r>
              <w:t>$0</w:t>
            </w:r>
          </w:p>
        </w:tc>
        <w:tc>
          <w:tcPr>
            <w:tcW w:type="pct" w:w="15%"/>
            <w:shd w:fill="E8ECEB" w:val="clear"/>
            <w:tcMar>
              <w:top w:type="dxa" w:w="80"/>
              <w:left w:type="dxa" w:w="120"/>
              <w:bottom w:type="dxa" w:w="80"/>
              <w:right w:type="dxa" w:w="120"/>
            </w:tcMar>
          </w:tcPr>
          <w:p>
            <w:r>
              <w:t>$0</w:t>
            </w:r>
          </w:p>
        </w:tc>
        <w:tc>
          <w:tcPr>
            <w:tcW w:type="pct" w:w="15%"/>
            <w:shd w:fill="E8ECEB" w:val="clear"/>
            <w:tcMar>
              <w:top w:type="dxa" w:w="80"/>
              <w:left w:type="dxa" w:w="120"/>
              <w:bottom w:type="dxa" w:w="80"/>
              <w:right w:type="dxa" w:w="120"/>
            </w:tcMar>
          </w:tcPr>
          <w:p>
            <w:r>
              <w:t>$500</w:t>
            </w:r>
          </w:p>
        </w:tc>
        <w:tc>
          <w:tcPr>
            <w:tcW w:type="pct" w:w="16%"/>
            <w:shd w:fill="E8ECEB" w:val="clear"/>
            <w:tcMar>
              <w:top w:type="dxa" w:w="80"/>
              <w:left w:type="dxa" w:w="120"/>
              <w:bottom w:type="dxa" w:w="80"/>
              <w:right w:type="dxa" w:w="120"/>
            </w:tcMar>
          </w:tcPr>
          <w:p>
            <w:r>
              <w:t>-</w:t>
            </w:r>
          </w:p>
        </w:tc>
      </w:tr>
      <w:tr>
        <w:trPr>
          <w:cantSplit/>
        </w:trPr>
        <w:tc>
          <w:tcPr>
            <w:tcW w:type="pct" w:w="22%"/>
            <w:shd w:fill="FFFFFF" w:val="clear"/>
            <w:tcMar>
              <w:top w:type="dxa" w:w="80"/>
              <w:left w:type="dxa" w:w="120"/>
              <w:bottom w:type="dxa" w:w="80"/>
              <w:right w:type="dxa" w:w="120"/>
            </w:tcMar>
          </w:tcPr>
          <w:p>
            <w:r>
              <w:t>Total Monthly Revenue</w:t>
            </w:r>
          </w:p>
        </w:tc>
        <w:tc>
          <w:tcPr>
            <w:tcW w:type="pct" w:w="17%"/>
            <w:shd w:fill="FFFFFF" w:val="clear"/>
            <w:tcMar>
              <w:top w:type="dxa" w:w="80"/>
              <w:left w:type="dxa" w:w="120"/>
              <w:bottom w:type="dxa" w:w="80"/>
              <w:right w:type="dxa" w:w="120"/>
            </w:tcMar>
          </w:tcPr>
          <w:p>
            <w:r>
              <w:t>$36</w:t>
            </w:r>
          </w:p>
        </w:tc>
        <w:tc>
          <w:tcPr>
            <w:tcW w:type="pct" w:w="15%"/>
            <w:shd w:fill="FFFFFF" w:val="clear"/>
            <w:tcMar>
              <w:top w:type="dxa" w:w="80"/>
              <w:left w:type="dxa" w:w="120"/>
              <w:bottom w:type="dxa" w:w="80"/>
              <w:right w:type="dxa" w:w="120"/>
            </w:tcMar>
          </w:tcPr>
          <w:p>
            <w:r>
              <w:t>$370</w:t>
            </w:r>
          </w:p>
        </w:tc>
        <w:tc>
          <w:tcPr>
            <w:tcW w:type="pct" w:w="15%"/>
            <w:shd w:fill="FFFFFF" w:val="clear"/>
            <w:tcMar>
              <w:top w:type="dxa" w:w="80"/>
              <w:left w:type="dxa" w:w="120"/>
              <w:bottom w:type="dxa" w:w="80"/>
              <w:right w:type="dxa" w:w="120"/>
            </w:tcMar>
          </w:tcPr>
          <w:p>
            <w:r>
              <w:t>$2,160</w:t>
            </w:r>
          </w:p>
        </w:tc>
        <w:tc>
          <w:tcPr>
            <w:tcW w:type="pct" w:w="15%"/>
            <w:shd w:fill="FFFFFF" w:val="clear"/>
            <w:tcMar>
              <w:top w:type="dxa" w:w="80"/>
              <w:left w:type="dxa" w:w="120"/>
              <w:bottom w:type="dxa" w:w="80"/>
              <w:right w:type="dxa" w:w="120"/>
            </w:tcMar>
          </w:tcPr>
          <w:p>
            <w:r>
              <w:t>$7,300</w:t>
            </w:r>
          </w:p>
        </w:tc>
        <w:tc>
          <w:tcPr>
            <w:tcW w:type="pct" w:w="16%"/>
            <w:shd w:fill="FFFFFF" w:val="clear"/>
            <w:tcMar>
              <w:top w:type="dxa" w:w="80"/>
              <w:left w:type="dxa" w:w="120"/>
              <w:bottom w:type="dxa" w:w="80"/>
              <w:right w:type="dxa" w:w="120"/>
            </w:tcMar>
          </w:tcPr>
          <w:p>
            <w:r>
              <w:t>203x</w:t>
            </w:r>
          </w:p>
        </w:tc>
      </w:tr>
      <w:tr>
        <w:trPr>
          <w:cantSplit/>
        </w:trPr>
        <w:tc>
          <w:tcPr>
            <w:tcW w:type="pct" w:w="22%"/>
            <w:shd w:fill="E8ECEB" w:val="clear"/>
            <w:tcMar>
              <w:top w:type="dxa" w:w="80"/>
              <w:left w:type="dxa" w:w="120"/>
              <w:bottom w:type="dxa" w:w="80"/>
              <w:right w:type="dxa" w:w="120"/>
            </w:tcMar>
          </w:tcPr>
          <w:p>
            <w:r>
              <w:t>Qualified Referring Domains</w:t>
            </w:r>
          </w:p>
        </w:tc>
        <w:tc>
          <w:tcPr>
            <w:tcW w:type="pct" w:w="17%"/>
            <w:shd w:fill="E8ECEB" w:val="clear"/>
            <w:tcMar>
              <w:top w:type="dxa" w:w="80"/>
              <w:left w:type="dxa" w:w="120"/>
              <w:bottom w:type="dxa" w:w="80"/>
              <w:right w:type="dxa" w:w="120"/>
            </w:tcMar>
          </w:tcPr>
          <w:p>
            <w:r>
              <w:t>85</w:t>
            </w:r>
          </w:p>
        </w:tc>
        <w:tc>
          <w:tcPr>
            <w:tcW w:type="pct" w:w="15%"/>
            <w:shd w:fill="E8ECEB" w:val="clear"/>
            <w:tcMar>
              <w:top w:type="dxa" w:w="80"/>
              <w:left w:type="dxa" w:w="120"/>
              <w:bottom w:type="dxa" w:w="80"/>
              <w:right w:type="dxa" w:w="120"/>
            </w:tcMar>
          </w:tcPr>
          <w:p>
            <w:r>
              <w:t>110</w:t>
            </w:r>
          </w:p>
        </w:tc>
        <w:tc>
          <w:tcPr>
            <w:tcW w:type="pct" w:w="15%"/>
            <w:shd w:fill="E8ECEB" w:val="clear"/>
            <w:tcMar>
              <w:top w:type="dxa" w:w="80"/>
              <w:left w:type="dxa" w:w="120"/>
              <w:bottom w:type="dxa" w:w="80"/>
              <w:right w:type="dxa" w:w="120"/>
            </w:tcMar>
          </w:tcPr>
          <w:p>
            <w:r>
              <w:t>155</w:t>
            </w:r>
          </w:p>
        </w:tc>
        <w:tc>
          <w:tcPr>
            <w:tcW w:type="pct" w:w="15%"/>
            <w:shd w:fill="E8ECEB" w:val="clear"/>
            <w:tcMar>
              <w:top w:type="dxa" w:w="80"/>
              <w:left w:type="dxa" w:w="120"/>
              <w:bottom w:type="dxa" w:w="80"/>
              <w:right w:type="dxa" w:w="120"/>
            </w:tcMar>
          </w:tcPr>
          <w:p>
            <w:r>
              <w:t>210</w:t>
            </w:r>
          </w:p>
        </w:tc>
        <w:tc>
          <w:tcPr>
            <w:tcW w:type="pct" w:w="16%"/>
            <w:shd w:fill="E8ECEB" w:val="clear"/>
            <w:tcMar>
              <w:top w:type="dxa" w:w="80"/>
              <w:left w:type="dxa" w:w="120"/>
              <w:bottom w:type="dxa" w:w="80"/>
              <w:right w:type="dxa" w:w="120"/>
            </w:tcMar>
          </w:tcPr>
          <w:p>
            <w:r>
              <w:t>2.5x</w:t>
            </w:r>
          </w:p>
        </w:tc>
      </w:tr>
    </w:tbl>
    <w:p>
      <w:pPr>
        <w:pStyle w:val="Heading1"/>
        <w:spacing w:after="160" w:before="360"/>
      </w:pPr>
      <w:r>
        <w:rPr>
          <w:rFonts w:ascii="Calibri" w:eastAsia="SimHei"/>
          <w:b/>
          <w:bCs/>
          <w:color w:val="0B1C2C"/>
          <w:sz w:val="32"/>
          <w:szCs w:val="32"/>
        </w:rPr>
        <w:t xml:space="preserve">1. Market Research &amp; Industry Context</w:t>
      </w:r>
    </w:p>
    <w:p>
      <w:pPr>
        <w:pStyle w:val="Heading2"/>
        <w:spacing w:after="160" w:before="280"/>
      </w:pPr>
      <w:r>
        <w:rPr>
          <w:rFonts w:ascii="Calibri" w:eastAsia="SimHei"/>
          <w:b/>
          <w:bCs/>
          <w:color w:val="0B1C2C"/>
          <w:sz w:val="28"/>
          <w:szCs w:val="28"/>
        </w:rPr>
        <w:t xml:space="preserve">1.1 The Creator Economy Is Now a $250B Market</w:t>
      </w:r>
    </w:p>
    <w:p>
      <w:pPr>
        <w:spacing w:after="120" w:line="312"/>
        <w:ind w:firstLine="0"/>
        <w:jc w:val="both"/>
      </w:pPr>
      <w:r>
        <w:rPr>
          <w:rFonts w:ascii="Calibri" w:eastAsia="Microsoft YaHei"/>
          <w:color w:val="1A1A1A"/>
          <w:sz w:val="22"/>
          <w:szCs w:val="22"/>
        </w:rPr>
        <w:t xml:space="preserve">According to Precedence Research, the global creator economy was valued at $254.4 billion in 2025 and is projected to reach $2,084.57 billion by 2035, growing at a 23.4% compound annual rate. Despite over 207 million people worldwide now identifying as content creators, only 4% earn more than $100,000 annually, according to Behind the Scenes' 2026 State of the Creator Economy report. This massive income gap is the single largest unmet content need in the YouTube-creator blogosphere: most existing blogs cover "how to grow views" but very few cover "how to convert views into a real business with proper legal structure, tax strategy, insurance, retirement planning, and diversified income streams."</w:t>
      </w:r>
    </w:p>
    <w:p>
      <w:pPr>
        <w:spacing w:after="120" w:line="312"/>
        <w:ind w:firstLine="0"/>
        <w:jc w:val="both"/>
      </w:pPr>
      <w:r>
        <w:rPr>
          <w:rFonts w:ascii="Calibri" w:eastAsia="Microsoft YaHei"/>
          <w:color w:val="1A1A1A"/>
          <w:sz w:val="22"/>
          <w:szCs w:val="22"/>
        </w:rPr>
        <w:t xml:space="preserve">YouTube Tools Hub is uniquely positioned to fill this gap because the site already has a tools-first audience (creators actively looking to optimize) and a clean backlink profile. The strategic move is to add a creator-business layer on top of the existing tools content — not to replace the tools content, but to complement it with adjacent topics that attract advertisers willing to pay $5–$22 per click instead of $0.10–$0.50.</w:t>
      </w:r>
    </w:p>
    <w:p>
      <w:pPr>
        <w:pStyle w:val="Heading2"/>
        <w:spacing w:after="160" w:before="280"/>
      </w:pPr>
      <w:r>
        <w:rPr>
          <w:rFonts w:ascii="Calibri" w:eastAsia="SimHei"/>
          <w:b/>
          <w:bCs/>
          <w:color w:val="0B1C2C"/>
          <w:sz w:val="28"/>
          <w:szCs w:val="28"/>
        </w:rPr>
        <w:t xml:space="preserve">1.2 CPC Benchmarks by Niche — Where the Money Actually Lives</w:t>
      </w:r>
    </w:p>
    <w:p>
      <w:pPr>
        <w:spacing w:after="120" w:line="312"/>
        <w:ind w:firstLine="0"/>
        <w:jc w:val="both"/>
      </w:pPr>
      <w:r>
        <w:rPr>
          <w:rFonts w:ascii="Calibri" w:eastAsia="Microsoft YaHei"/>
          <w:color w:val="1A1A1A"/>
          <w:sz w:val="22"/>
          <w:szCs w:val="22"/>
        </w:rPr>
        <w:t xml:space="preserve">Independent research from Adstimate, Publift, MonetizePros, PPC.io, and Easton Dev confirms a consistent ranking of the highest-paying AdSense niches in 2026. The data is unambiguous: legal services, insurance, and finance pay 50–100x more per click than consumer-tech and entertainment. The table below maps the 2026 CPC ranges against the YouTube-creator content verticals that YouTube Tools Hub can credibly enter.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AdSense Niche</w:t>
            </w:r>
          </w:p>
        </w:tc>
        <w:tc>
          <w:tcPr>
            <w:tcW w:type="pct" w:w="16%"/>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2026 CPC Range (Tier-1)</w:t>
            </w:r>
          </w:p>
        </w:tc>
        <w:tc>
          <w:tcPr>
            <w:tcW w:type="pct" w:w="36%"/>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Adjacent YouTube-Creator Vertical</w:t>
            </w:r>
          </w:p>
        </w:tc>
        <w:tc>
          <w:tcPr>
            <w:tcW w:type="pct" w:w="30%"/>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Strategic Fit</w:t>
            </w:r>
          </w:p>
        </w:tc>
      </w:tr>
      <w:tr>
        <w:trPr>
          <w:cantSplit/>
        </w:trPr>
        <w:tc>
          <w:tcPr>
            <w:tcW w:type="pct" w:w="1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Legal services</w:t>
            </w:r>
          </w:p>
        </w:tc>
        <w:tc>
          <w:tcPr>
            <w:tcW w:type="pct" w:w="1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$100–$300</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LLC formation, brand-deal contracts, IP</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Strong — natural fit for business posts</w:t>
            </w:r>
          </w:p>
        </w:tc>
      </w:tr>
      <w:tr>
        <w:trPr>
          <w:cantSplit/>
        </w:trPr>
        <w:tc>
          <w:tcPr>
            <w:tcW w:type="pct" w:w="1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Insurance</w:t>
            </w:r>
          </w:p>
        </w:tc>
        <w:tc>
          <w:tcPr>
            <w:tcW w:type="pct" w:w="1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$25–$50</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Creator liability + equipment coverage</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Strong — underserved topic</w:t>
            </w:r>
          </w:p>
        </w:tc>
      </w:tr>
      <w:tr>
        <w:trPr>
          <w:cantSplit/>
        </w:trPr>
        <w:tc>
          <w:tcPr>
            <w:tcW w:type="pct" w:w="1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Finance / investing</w:t>
            </w:r>
          </w:p>
        </w:tc>
        <w:tc>
          <w:tcPr>
            <w:tcW w:type="pct" w:w="1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$20–$40</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income, diversification, retirement</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Excellent — direct creator pain point</w:t>
            </w:r>
          </w:p>
        </w:tc>
      </w:tr>
      <w:tr>
        <w:trPr>
          <w:cantSplit/>
        </w:trPr>
        <w:tc>
          <w:tcPr>
            <w:tcW w:type="pct" w:w="1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Loans / credit</w:t>
            </w:r>
          </w:p>
        </w:tc>
        <w:tc>
          <w:tcPr>
            <w:tcW w:type="pct" w:w="1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$15–$30</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Business credit cards, equipment financing</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Moderate — selective posts</w:t>
            </w:r>
          </w:p>
        </w:tc>
      </w:tr>
      <w:tr>
        <w:trPr>
          <w:cantSplit/>
        </w:trPr>
        <w:tc>
          <w:tcPr>
            <w:tcW w:type="pct" w:w="1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SaaS / B2B software</w:t>
            </w:r>
          </w:p>
        </w:tc>
        <w:tc>
          <w:tcPr>
            <w:tcW w:type="pct" w:w="1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$5–$15</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Editing, SEO, CRM, accounting tools</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Excellent — already in content wheelhouse</w:t>
            </w:r>
          </w:p>
        </w:tc>
      </w:tr>
      <w:tr>
        <w:trPr>
          <w:cantSplit/>
        </w:trPr>
        <w:tc>
          <w:tcPr>
            <w:tcW w:type="pct" w:w="1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Marketing / ads</w:t>
            </w:r>
          </w:p>
        </w:tc>
        <w:tc>
          <w:tcPr>
            <w:tcW w:type="pct" w:w="1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$5–$12</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ads, funnel, email marketing</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Strong — overlaps with growth posts</w:t>
            </w:r>
          </w:p>
        </w:tc>
      </w:tr>
      <w:tr>
        <w:trPr>
          <w:cantSplit/>
        </w:trPr>
        <w:tc>
          <w:tcPr>
            <w:tcW w:type="pct" w:w="1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Ed-tech / courses</w:t>
            </w:r>
          </w:p>
        </w:tc>
        <w:tc>
          <w:tcPr>
            <w:tcW w:type="pct" w:w="1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$4–$10</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Course platforms, e-learning tools</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Moderate — pitch only in product posts</w:t>
            </w:r>
          </w:p>
        </w:tc>
      </w:tr>
      <w:tr>
        <w:trPr>
          <w:cantSplit/>
        </w:trPr>
        <w:tc>
          <w:tcPr>
            <w:tcW w:type="pct" w:w="1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Health / wellness</w:t>
            </w:r>
          </w:p>
        </w:tc>
        <w:tc>
          <w:tcPr>
            <w:tcW w:type="pct" w:w="1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$3–$8</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Mental health for creators (low priority)</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Weak — off-brand</w:t>
            </w:r>
          </w:p>
        </w:tc>
      </w:tr>
      <w:tr>
        <w:trPr>
          <w:cantSplit/>
        </w:trPr>
        <w:tc>
          <w:tcPr>
            <w:tcW w:type="pct" w:w="1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Consumer tech</w:t>
            </w:r>
          </w:p>
        </w:tc>
        <w:tc>
          <w:tcPr>
            <w:tcW w:type="pct" w:w="1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Cameras, mics, gear reviews</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Baseline — current content tier</w:t>
            </w:r>
          </w:p>
        </w:tc>
      </w:tr>
      <w:tr>
        <w:trPr>
          <w:cantSplit/>
        </w:trPr>
        <w:tc>
          <w:tcPr>
            <w:tcW w:type="pct" w:w="1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Entertainment / gaming</w:t>
            </w:r>
          </w:p>
        </w:tc>
        <w:tc>
          <w:tcPr>
            <w:tcW w:type="pct" w:w="1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$0.50–$2</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Generic YouTube news</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Avoid — pulls down CPC</w:t>
            </w:r>
          </w:p>
        </w:tc>
      </w:tr>
    </w:tbl>
    <w:p>
      <w:pPr>
        <w:spacing w:after="120" w:line="312"/>
        <w:ind w:firstLine="0"/>
        <w:jc w:val="both"/>
      </w:pPr>
      <w:r>
        <w:t>High-CPC topics remain useful, but not every post should sit in the legal, insurance, or finance categories. Use commercial intent to prioritize pages that the site can credibly support. Legal, tax, insurance, credit, investment, and contract pages require an expert review, primary sources, a visible update date, and an appropriate disclaimer before publication.</w:t>
      </w:r>
    </w:p>
    <w:p>
      <w:pPr>
        <w:pStyle w:val="Heading2"/>
        <w:spacing w:after="160" w:before="280"/>
      </w:pPr>
      <w:r>
        <w:rPr>
          <w:rFonts w:ascii="Calibri" w:eastAsia="SimHei"/>
          <w:b/>
          <w:bCs/>
          <w:color w:val="0B1C2C"/>
          <w:sz w:val="28"/>
          <w:szCs w:val="28"/>
        </w:rPr>
        <w:t xml:space="preserve">1.3 YouTube CPM/RPM Reality by Niche (2026)</w:t>
      </w:r>
    </w:p>
    <w:p>
      <w:pPr>
        <w:spacing w:after="120" w:line="312"/>
        <w:ind w:firstLine="0"/>
        <w:jc w:val="both"/>
      </w:pPr>
      <w:r>
        <w:rPr>
          <w:rFonts w:ascii="Calibri" w:eastAsia="Microsoft YaHei"/>
          <w:color w:val="1A1A1A"/>
          <w:sz w:val="22"/>
          <w:szCs w:val="22"/>
        </w:rPr>
        <w:t xml:space="preserve">Independent data from Miraflow AI, Hubfluence, and TubeAnalytics confirms that YouTube CPM rates in 2026 range from $1.50 for music content to $65+ for finance content — a 40x spread that determines whether creators earn $500 or $20,000 per million views. The average YouTube CPM across all niches is $10–$30 for pre-roll ads and $15–$40 for creator integrations, but the niche-level variance is enormous: finance and business channels routinely earn $8–$22 RPM, while gaming channels earn $1–$3 RPM. This data is itself a content asset: YouTube Tools Hub can publish proprietary RPM-benchmark tables (sourced from this research) that earn natural backlinks from journalists and other creator-economy blogs.</w:t>
      </w:r>
    </w:p>
    <w:p>
      <w:pPr>
        <w:pStyle w:val="Heading2"/>
        <w:spacing w:after="160" w:before="280"/>
      </w:pPr>
      <w:r>
        <w:rPr>
          <w:rFonts w:ascii="Calibri" w:eastAsia="SimHei"/>
          <w:b/>
          <w:bCs/>
          <w:color w:val="0B1C2C"/>
          <w:sz w:val="28"/>
          <w:szCs w:val="28"/>
        </w:rPr>
        <w:t xml:space="preserve">1.4 Geographic CPC Variance — The Tier-1 Multiplier</w:t>
      </w:r>
    </w:p>
    <w:p>
      <w:pPr>
        <w:spacing w:after="120" w:line="312"/>
        <w:ind w:firstLine="0"/>
        <w:jc w:val="both"/>
      </w:pPr>
      <w:r>
        <w:rPr>
          <w:rFonts w:ascii="Calibri" w:eastAsia="Microsoft YaHei"/>
          <w:color w:val="1A1A1A"/>
          <w:sz w:val="22"/>
          <w:szCs w:val="22"/>
        </w:rPr>
        <w:t xml:space="preserve">AdSense CPC varies by 10–30x across geographies. The US, UK, Canada, and Australia deliver the highest CPCs in the YouTube-creator vertical because that is where SaaS, fintech, and B2B advertisers concentrate their ad spend. Germany, France, and the UAE form a strong second tier with CPCs 60–80% of US levels but lower SERP competition. India, Southeast Asia, and LATAM deliver 5–10x the traffic volume of Tier-1 markets but at 5–10x lower CPC — useful for building domain authority and long-tail traffic, but value-destructive if it dominates the audience mix.</w:t>
      </w:r>
    </w:p>
    <w:p>
      <w:pPr>
        <w:spacing w:after="120" w:line="312"/>
        <w:ind w:firstLine="0"/>
        <w:jc w:val="both"/>
      </w:pPr>
      <w:r>
        <w:t>The original country split was not implemented in the calendar: the existing schedule is approximately half US-inclusive and half Global, with no researched Germany/UAE program. V2 therefore uses US-first commercial content plus Global discovery content. UK/CA/AU or Germany/UAE adaptations are deferred until localized keyword research, local primary sources, and expert review are available.</w:t>
      </w:r>
    </w:p>
    <w:p>
      <w:pPr>
        <w:pStyle w:val="Heading1"/>
        <w:spacing w:after="160" w:before="360"/>
      </w:pPr>
      <w:r>
        <w:rPr>
          <w:rFonts w:ascii="Calibri" w:eastAsia="SimHei"/>
          <w:b/>
          <w:bCs/>
          <w:color w:val="0B1C2C"/>
          <w:sz w:val="32"/>
          <w:szCs w:val="32"/>
        </w:rPr>
        <w:t xml:space="preserve">2. Competitor Analysis — Top 10 Players</w:t>
      </w:r>
    </w:p>
    <w:p>
      <w:pPr>
        <w:spacing w:after="120" w:line="312"/>
        <w:ind w:firstLine="0"/>
        <w:jc w:val="both"/>
      </w:pPr>
      <w:r>
        <w:rPr>
          <w:rFonts w:ascii="Calibri" w:eastAsia="Microsoft YaHei"/>
          <w:color w:val="1A1A1A"/>
          <w:sz w:val="22"/>
          <w:szCs w:val="22"/>
        </w:rPr>
        <w:t xml:space="preserve">We analyzed the top 10 blogs competing for the YouTube-creator audience across five dimensions: domain authority, monthly traffic, average CPC niche fit, content pillar focus, and gap opportunities. The table below summarizes the field; the analysis that follows identifies the specific positioning gaps YouTube Tools Hub should exploit.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Competitor</w:t>
            </w:r>
          </w:p>
        </w:tc>
        <w:tc>
          <w:tcPr>
            <w:tcW w:type="pct" w:w="8%"/>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DA</w:t>
            </w:r>
          </w:p>
        </w:tc>
        <w:tc>
          <w:tcPr>
            <w:tcW w:type="pct" w:w="14%"/>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Mo. Traffic</w:t>
            </w:r>
          </w:p>
        </w:tc>
        <w:tc>
          <w:tcPr>
            <w:tcW w:type="pct" w:w="30%"/>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Top Content Pillar</w:t>
            </w:r>
          </w:p>
        </w:tc>
        <w:tc>
          <w:tcPr>
            <w:tcW w:type="pct" w:w="26%"/>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Gap Opportunity</w:t>
            </w:r>
          </w:p>
        </w:tc>
      </w:tr>
      <w:tr>
        <w:trPr>
          <w:cantSplit/>
        </w:trPr>
        <w:tc>
          <w:tcPr>
            <w:tcW w:type="pct" w:w="2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vidIQ Blog</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72</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2.4M</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growth tutorials</w:t>
            </w:r>
          </w:p>
        </w:tc>
        <w:tc>
          <w:tcPr>
            <w:tcW w:type="pct" w:w="2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Weak on LLC/tax/finance topics</w:t>
            </w:r>
          </w:p>
        </w:tc>
      </w:tr>
      <w:tr>
        <w:trPr>
          <w:cantSplit/>
        </w:trPr>
        <w:tc>
          <w:tcPr>
            <w:tcW w:type="pct" w:w="2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TubeBuddy Blog</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68</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1.1M</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Tool tutorials + monetization</w:t>
            </w:r>
          </w:p>
        </w:tc>
        <w:tc>
          <w:tcPr>
            <w:tcW w:type="pct" w:w="2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Limited SaaS comparison content</w:t>
            </w:r>
          </w:p>
        </w:tc>
      </w:tr>
      <w:tr>
        <w:trPr>
          <w:cantSplit/>
        </w:trPr>
        <w:tc>
          <w:tcPr>
            <w:tcW w:type="pct" w:w="2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Backlinko</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88</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1.8M</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SEO + link building</w:t>
            </w:r>
          </w:p>
        </w:tc>
        <w:tc>
          <w:tcPr>
            <w:tcW w:type="pct" w:w="2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No YouTube-specific deep dives</w:t>
            </w:r>
          </w:p>
        </w:tc>
      </w:tr>
      <w:tr>
        <w:trPr>
          <w:cantSplit/>
        </w:trPr>
        <w:tc>
          <w:tcPr>
            <w:tcW w:type="pct" w:w="2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Think Media</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54</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420K</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Gear reviews + tips</w:t>
            </w:r>
          </w:p>
        </w:tc>
        <w:tc>
          <w:tcPr>
            <w:tcW w:type="pct" w:w="2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Light on finance/business angles</w:t>
            </w:r>
          </w:p>
        </w:tc>
      </w:tr>
      <w:tr>
        <w:trPr>
          <w:cantSplit/>
        </w:trPr>
        <w:tc>
          <w:tcPr>
            <w:tcW w:type="pct" w:w="2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Hootsuite YouTube</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89</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3.2M</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Social media management</w:t>
            </w:r>
          </w:p>
        </w:tc>
        <w:tc>
          <w:tcPr>
            <w:tcW w:type="pct" w:w="2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Limited monetization depth</w:t>
            </w:r>
          </w:p>
        </w:tc>
      </w:tr>
      <w:tr>
        <w:trPr>
          <w:cantSplit/>
        </w:trPr>
        <w:tc>
          <w:tcPr>
            <w:tcW w:type="pct" w:w="2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Later YouTube</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78</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920K</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Cross-platform strategy</w:t>
            </w:r>
          </w:p>
        </w:tc>
        <w:tc>
          <w:tcPr>
            <w:tcW w:type="pct" w:w="2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Weak on creator finance</w:t>
            </w:r>
          </w:p>
        </w:tc>
      </w:tr>
      <w:tr>
        <w:trPr>
          <w:cantSplit/>
        </w:trPr>
        <w:tc>
          <w:tcPr>
            <w:tcW w:type="pct" w:w="2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Social Blade Blog</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62</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680K</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Channel analytics</w:t>
            </w:r>
          </w:p>
        </w:tc>
        <w:tc>
          <w:tcPr>
            <w:tcW w:type="pct" w:w="2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Few how-to guides, mostly data</w:t>
            </w:r>
          </w:p>
        </w:tc>
      </w:tr>
      <w:tr>
        <w:trPr>
          <w:cantSplit/>
        </w:trPr>
        <w:tc>
          <w:tcPr>
            <w:tcW w:type="pct" w:w="2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Tubics Blog</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48</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180K</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SEO + AI tools</w:t>
            </w:r>
          </w:p>
        </w:tc>
        <w:tc>
          <w:tcPr>
            <w:tcW w:type="pct" w:w="2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Smaller traffic — chance to outrank</w:t>
            </w:r>
          </w:p>
        </w:tc>
      </w:tr>
      <w:tr>
        <w:trPr>
          <w:cantSplit/>
        </w:trPr>
        <w:tc>
          <w:tcPr>
            <w:tcW w:type="pct" w:w="2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InVideo Blog</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65</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740K</w:t>
            </w:r>
          </w:p>
        </w:tc>
        <w:tc>
          <w:tcPr>
            <w:tcW w:type="pct" w:w="3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Video templates + AI tools</w:t>
            </w:r>
          </w:p>
        </w:tc>
        <w:tc>
          <w:tcPr>
            <w:tcW w:type="pct" w:w="2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Limited creator-business content</w:t>
            </w:r>
          </w:p>
        </w:tc>
      </w:tr>
      <w:tr>
        <w:trPr>
          <w:cantSplit/>
        </w:trPr>
        <w:tc>
          <w:tcPr>
            <w:tcW w:type="pct" w:w="2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Flippa Insights</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71</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540K</w:t>
            </w:r>
          </w:p>
        </w:tc>
        <w:tc>
          <w:tcPr>
            <w:tcW w:type="pct" w:w="3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Channel valuation + M&amp;A</w:t>
            </w:r>
          </w:p>
        </w:tc>
        <w:tc>
          <w:tcPr>
            <w:tcW w:type="pct" w:w="2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Light on operational how-tos</w:t>
            </w:r>
          </w:p>
        </w:tc>
      </w:tr>
    </w:tbl>
    <w:p>
      <w:pPr>
        <w:pStyle w:val="Heading2"/>
        <w:spacing w:after="160" w:before="280"/>
      </w:pPr>
      <w:r>
        <w:rPr>
          <w:rFonts w:ascii="Calibri" w:eastAsia="SimHei"/>
          <w:b/>
          <w:bCs/>
          <w:color w:val="0B1C2C"/>
          <w:sz w:val="28"/>
          <w:szCs w:val="28"/>
        </w:rPr>
        <w:t xml:space="preserve">2.1 Where the Competitors Are Strong</w:t>
      </w:r>
    </w:p>
    <w:p>
      <w:pPr>
        <w:spacing w:after="120" w:line="312"/>
        <w:ind w:firstLine="0"/>
        <w:jc w:val="both"/>
      </w:pPr>
      <w:r>
        <w:rPr>
          <w:rFonts w:ascii="Calibri" w:eastAsia="Microsoft YaHei"/>
          <w:color w:val="1A1A1A"/>
          <w:sz w:val="22"/>
          <w:szCs w:val="22"/>
        </w:rPr>
        <w:t xml:space="preserve">The top three competitors (Backlinko, Hootsuite, Later) dominate the general SEO and social-media-management SERPs with domain authorities of 78–89 and backlink profiles in the 12,000–63,000 range. They win on breadth and brand authority, but their YouTube-specific content is shallow: Hootsuite treats YouTube as one of seven social platforms, Later treats it as one of five, and Backlinko covers YouTube SEO only in passing. The mid-tier competitors (vidIQ, TubeBuddy, Think Media, InVideo) are YouTube-specialized but their content is heavily tilted toward tool tutorials and gear reviews — the lowest-CPC segment of the YouTube-creator niche.</w:t>
      </w:r>
    </w:p>
    <w:p>
      <w:pPr>
        <w:pStyle w:val="Heading2"/>
        <w:spacing w:after="160" w:before="280"/>
      </w:pPr>
      <w:r>
        <w:rPr>
          <w:rFonts w:ascii="Calibri" w:eastAsia="SimHei"/>
          <w:b/>
          <w:bCs/>
          <w:color w:val="0B1C2C"/>
          <w:sz w:val="28"/>
          <w:szCs w:val="28"/>
        </w:rPr>
        <w:t xml:space="preserve">2.2 Where the Competitors Are Weak — The Strategic Opening</w:t>
      </w:r>
    </w:p>
    <w:p>
      <w:pPr>
        <w:spacing w:after="120" w:line="312"/>
        <w:ind w:firstLine="0"/>
        <w:jc w:val="both"/>
      </w:pPr>
      <w:r>
        <w:rPr>
          <w:rFonts w:ascii="Calibri" w:eastAsia="Microsoft YaHei"/>
          <w:color w:val="1A1A1A"/>
          <w:sz w:val="22"/>
          <w:szCs w:val="22"/>
        </w:rPr>
        <w:t xml:space="preserve">The competitor field has a clear structural gap: no player owns the "YouTube creator business" vertical. There is no dominant blog that covers LLC formation for YouTubers, creator tax strategy, business insurance, retirement planning for self-employed creators, brand-deal contract templates, or channel valuation. These topics have high commercial intent, attract SaaS + fintech + B2B advertisers, and generate CPCs of $5–$22 per click. They are also underserved because they require subject-matter expertise (legal, tax, finance) that pure-YouTube blogs lack.</w:t>
      </w:r>
    </w:p>
    <w:p>
      <w:pPr>
        <w:spacing w:after="120" w:line="312"/>
        <w:ind w:firstLine="0"/>
        <w:jc w:val="both"/>
      </w:pPr>
      <w:r>
        <w:t>The calendar actually alternates 24 Money, 24 Business, 24 Tools, and 24 Growth posts. These are editorial tracks, not eight equal topic clusters. V2 maps every post to one of eight provisional clusters and identifies eight pillars, so the architecture is eight pillars plus 88 supporting posts = 96 total, not 96 supporting posts in addition to pillars.</w:t>
      </w:r>
    </w:p>
    <w:p>
      <w:pPr>
        <w:pStyle w:val="Heading2"/>
        <w:spacing w:after="160" w:before="280"/>
      </w:pPr>
      <w:r>
        <w:rPr>
          <w:rFonts w:ascii="Calibri" w:eastAsia="SimHei"/>
          <w:b/>
          <w:bCs/>
          <w:color w:val="0B1C2C"/>
          <w:sz w:val="28"/>
          <w:szCs w:val="28"/>
        </w:rPr>
        <w:t xml:space="preserve">2.3 The Three-Tier Content Differentiation Strategy</w:t>
      </w:r>
    </w:p>
    <w:p>
      <w:pPr>
        <w:spacing w:after="120" w:line="312"/>
        <w:ind w:firstLine="0"/>
        <w:jc w:val="both"/>
      </w:pPr>
      <w:r>
        <w:rPr>
          <w:rFonts w:ascii="Calibri" w:eastAsia="Microsoft YaHei"/>
          <w:color w:val="1A1A1A"/>
          <w:sz w:val="22"/>
          <w:szCs w:val="22"/>
        </w:rPr>
        <w:t xml:space="preserve">To avoid head-to-head competition with high-DA incumbents on their strongest keywords, YouTube Tools Hub should adopt a three-tier differentiation strategy:</w:t>
      </w:r>
    </w:p>
    <w:p>
      <w:pPr>
        <w:pStyle w:val="ListParagraph"/>
        <w:numPr>
          <w:ilvl w:val="0"/>
          <w:numId w:val="1"/>
        </w:numPr>
        <w:spacing w:after="80" w:line="312"/>
      </w:pPr>
      <w:r>
        <w:rPr>
          <w:rFonts w:ascii="Calibri" w:eastAsia="Microsoft YaHei"/>
          <w:color w:val="1A1A1A"/>
          <w:sz w:val="22"/>
          <w:szCs w:val="22"/>
        </w:rPr>
        <w:t xml:space="preserve">Tier 1 — High-CPC creator-business content (24 posts): Win uncontested SERPs. Compete against no major incumbent on "LLC for YouTube channel," "creator tax deductions," or "business insurance for YouTubers." These are the posts that lift average CPC from $0.30 to $5.50.</w:t>
      </w:r>
    </w:p>
    <w:p>
      <w:pPr>
        <w:pStyle w:val="ListParagraph"/>
        <w:numPr>
          <w:ilvl w:val="0"/>
          <w:numId w:val="1"/>
        </w:numPr>
        <w:spacing w:after="80" w:line="312"/>
      </w:pPr>
      <w:r>
        <w:rPr>
          <w:rFonts w:ascii="Calibri" w:eastAsia="Microsoft YaHei"/>
          <w:color w:val="1A1A1A"/>
          <w:sz w:val="22"/>
          <w:szCs w:val="22"/>
        </w:rPr>
        <w:t xml:space="preserve">Tier 2 — SaaS and tool comparison content (24 posts): Win long-tail SERPs that incumbents under-serve. "TubeBuddy vs vidIQ 2026" is dominated by affiliate reviews, but "Best CRM for content creators" and "Best accounting software for YouTubers" have weak incumbents and high commercial intent.</w:t>
      </w:r>
    </w:p>
    <w:p>
      <w:pPr>
        <w:pStyle w:val="ListParagraph"/>
        <w:numPr>
          <w:ilvl w:val="0"/>
          <w:numId w:val="1"/>
        </w:numPr>
        <w:spacing w:after="80" w:line="312"/>
      </w:pPr>
      <w:r>
        <w:rPr>
          <w:rFonts w:ascii="Calibri" w:eastAsia="Microsoft YaHei"/>
          <w:color w:val="1A1A1A"/>
          <w:sz w:val="22"/>
          <w:szCs w:val="22"/>
        </w:rPr>
        <w:t xml:space="preserve">Tier 3 — Traffic-volume content (48 posts): Compete on quality, not authority. Existing tools and growth content should be 2,500+ words with proprietary data, comparison tables, and embedded tools — features that out-rank thinner incumbent posts even at lower DA.</w:t>
      </w:r>
    </w:p>
    <w:p>
      <w:pPr>
        <w:pStyle w:val="Heading1"/>
        <w:spacing w:after="160" w:before="360"/>
      </w:pPr>
      <w:r>
        <w:rPr>
          <w:rFonts w:ascii="Calibri" w:eastAsia="SimHei"/>
          <w:b/>
          <w:bCs/>
          <w:color w:val="0B1C2C"/>
          <w:sz w:val="32"/>
          <w:szCs w:val="32"/>
        </w:rPr>
        <w:t xml:space="preserve">3. Keyword Strategy — The 99-Keyword Database</w:t>
      </w:r>
    </w:p>
    <w:p>
      <w:pPr>
        <w:spacing w:after="120" w:line="312"/>
        <w:ind w:firstLine="0"/>
        <w:jc w:val="both"/>
      </w:pPr>
      <w:r>
        <w:t>The companion workbook contains 99 research records but 98 distinct keyword terms: 96 are scheduled in the calendar, two remain as a revalidation backlog, and one duplicate is explicitly flagged. Search volume, KD, CPC, and SERP intent must be rechecked in the team's live keyword tool before each brief is approved.</w:t>
      </w:r>
    </w:p>
    <w:p>
      <w:pPr>
        <w:pStyle w:val="Heading2"/>
        <w:spacing w:after="160" w:before="280"/>
      </w:pPr>
      <w:r>
        <w:rPr>
          <w:rFonts w:ascii="Calibri" w:eastAsia="SimHei"/>
          <w:b/>
          <w:bCs/>
          <w:color w:val="0B1C2C"/>
          <w:sz w:val="28"/>
          <w:szCs w:val="28"/>
        </w:rPr>
        <w:t xml:space="preserve">3.1 Keyword Selection Criteria</w:t>
      </w:r>
    </w:p>
    <w:p>
      <w:pPr>
        <w:spacing w:after="120" w:line="312"/>
        <w:ind w:firstLine="0"/>
        <w:jc w:val="both"/>
      </w:pPr>
      <w:r>
        <w:rPr>
          <w:rFonts w:ascii="Calibri" w:eastAsia="Microsoft YaHei"/>
          <w:color w:val="1A1A1A"/>
          <w:sz w:val="22"/>
          <w:szCs w:val="22"/>
        </w:rPr>
        <w:t xml:space="preserve">Every keyword in the database was selected against four criteria, in order of weight:</w:t>
      </w:r>
    </w:p>
    <w:p>
      <w:pPr>
        <w:pStyle w:val="ListParagraph"/>
        <w:numPr>
          <w:ilvl w:val="0"/>
          <w:numId w:val="1"/>
        </w:numPr>
        <w:spacing w:after="80" w:line="312"/>
      </w:pPr>
      <w:r>
        <w:rPr>
          <w:rFonts w:ascii="Calibri" w:eastAsia="Microsoft YaHei"/>
          <w:b/>
          <w:bCs/>
          <w:color w:val="0B1C2C"/>
          <w:sz w:val="22"/>
          <w:szCs w:val="22"/>
        </w:rPr>
        <w:t xml:space="preserve">Commercial or transactional intent: </w:t>
      </w:r>
      <w:r>
        <w:rPr>
          <w:rFonts w:ascii="Calibri" w:eastAsia="Microsoft YaHei"/>
          <w:color w:val="1A1A1A"/>
          <w:sz w:val="22"/>
          <w:szCs w:val="22"/>
        </w:rPr>
        <w:t xml:space="preserve">Keywords where the searcher is in research or purchase mode (e.g., "best LLC service for creators," "TubeBuddy pricing 2026") attract SaaS and B2B advertisers willing to pay $5–$22 per click. Informational keywords (e.g., "what is YouTube CPM") are included only when they have high volume and clear adjacent monetization.</w:t>
      </w:r>
    </w:p>
    <w:p>
      <w:pPr>
        <w:pStyle w:val="ListParagraph"/>
        <w:numPr>
          <w:ilvl w:val="0"/>
          <w:numId w:val="1"/>
        </w:numPr>
        <w:spacing w:after="80" w:line="312"/>
      </w:pPr>
      <w:r>
        <w:rPr>
          <w:rFonts w:ascii="Calibri" w:eastAsia="Microsoft YaHei"/>
          <w:b/>
          <w:bCs/>
          <w:color w:val="0B1C2C"/>
          <w:sz w:val="22"/>
          <w:szCs w:val="22"/>
        </w:rPr>
        <w:t xml:space="preserve">Tier-1 CPC fit: </w:t>
      </w:r>
      <w:r>
        <w:rPr>
          <w:rFonts w:ascii="Calibri" w:eastAsia="Microsoft YaHei"/>
          <w:color w:val="1A1A1A"/>
          <w:sz w:val="22"/>
          <w:szCs w:val="22"/>
        </w:rPr>
        <w:t xml:space="preserve">Keywords with verifiable Tier-1 CPC of $3+ were prioritized. Keywords with high volume but sub-$1 CPC (e.g., "funny YouTube video ideas") were excluded.</w:t>
      </w:r>
    </w:p>
    <w:p>
      <w:pPr>
        <w:pStyle w:val="ListParagraph"/>
        <w:numPr>
          <w:ilvl w:val="0"/>
          <w:numId w:val="1"/>
        </w:numPr>
        <w:spacing w:after="80" w:line="312"/>
      </w:pPr>
      <w:r>
        <w:t>KD 25-45 is a screening range, not a ranking guarantee. Revalidate live SERP intent, country, and competitor strength before drafting; defer any term whose SERP is materially stronger or less relevant than the original data suggests.</w:t>
      </w:r>
    </w:p>
    <w:p>
      <w:pPr>
        <w:pStyle w:val="ListParagraph"/>
        <w:numPr>
          <w:ilvl w:val="0"/>
          <w:numId w:val="1"/>
        </w:numPr>
        <w:spacing w:after="80" w:line="312"/>
      </w:pPr>
      <w:r>
        <w:rPr>
          <w:rFonts w:ascii="Calibri" w:eastAsia="Microsoft YaHei"/>
          <w:b/>
          <w:bCs/>
          <w:color w:val="0B1C2C"/>
          <w:sz w:val="22"/>
          <w:szCs w:val="22"/>
        </w:rPr>
        <w:t xml:space="preserve">Topical fit with existing 97 posts: </w:t>
      </w:r>
      <w:r>
        <w:rPr>
          <w:rFonts w:ascii="Calibri" w:eastAsia="Microsoft YaHei"/>
          <w:color w:val="1A1A1A"/>
          <w:sz w:val="22"/>
          <w:szCs w:val="22"/>
        </w:rPr>
        <w:t xml:space="preserve">Keywords were screened to ensure they either extended an existing topic cluster (e.g., adding "LLC for YouTube channel" to the monetization cluster) or opened a defensible new cluster (e.g., creator-business) that complements the existing content.</w:t>
      </w:r>
    </w:p>
    <w:p>
      <w:pPr>
        <w:pStyle w:val="Heading2"/>
        <w:spacing w:after="160" w:before="280"/>
      </w:pPr>
      <w:r>
        <w:rPr>
          <w:rFonts w:ascii="Calibri" w:eastAsia="SimHei"/>
          <w:b/>
          <w:bCs/>
          <w:color w:val="0B1C2C"/>
          <w:sz w:val="28"/>
          <w:szCs w:val="28"/>
        </w:rPr>
        <w:t xml:space="preserve">3.2 The Top 20 Highest-CPC Keywords in the Plan</w:t>
      </w:r>
    </w:p>
    <w:p>
      <w:pPr>
        <w:spacing w:after="120" w:line="312"/>
        <w:ind w:firstLine="0"/>
        <w:jc w:val="both"/>
      </w:pPr>
      <w:r>
        <w:t>The high-CPC list remains a prioritization reference. It should not be used to calculate AdSense revenue, and every associated legal, tax, insurance, or financial claim must pass the publishing gate in the calendar.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6%"/>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w:t>
            </w:r>
          </w:p>
        </w:tc>
        <w:tc>
          <w:tcPr>
            <w:tcW w:type="pct" w:w="36%"/>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Keyword</w:t>
            </w:r>
          </w:p>
        </w:tc>
        <w:tc>
          <w:tcPr>
            <w:tcW w:type="pct" w:w="12%"/>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Volume</w:t>
            </w:r>
          </w:p>
        </w:tc>
        <w:tc>
          <w:tcPr>
            <w:tcW w:type="pct" w:w="8%"/>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KD</w:t>
            </w:r>
          </w:p>
        </w:tc>
        <w:tc>
          <w:tcPr>
            <w:tcW w:type="pct" w:w="14%"/>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CPC High</w:t>
            </w:r>
          </w:p>
        </w:tc>
        <w:tc>
          <w:tcPr>
            <w:tcW w:type="pct" w:w="10%"/>
            <w:shd w:fill="529286" w:val="clear"/>
            <w:tcMar>
              <w:top w:type="dxa" w:w="80"/>
              <w:left w:type="dxa" w:w="120"/>
              <w:bottom w:type="dxa" w:w="80"/>
              <w:right w:type="dxa" w:w="120"/>
            </w:tcMar>
          </w:tcPr>
          <w:p>
            <w:pPr>
              <w:spacing w:line="280"/>
              <w:jc w:val="center"/>
            </w:pPr>
            <w:r>
              <w:rPr>
                <w:rFonts w:ascii="Calibri" w:eastAsia="SimHei"/>
                <w:b/>
                <w:bCs/>
                <w:color w:val="FFFFFF"/>
                <w:sz w:val="20"/>
                <w:szCs w:val="20"/>
              </w:rPr>
              <w:t xml:space="preserve">Post #</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creator business insurance</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2,900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41</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$28.60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10</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creator quarterly estimated taxes</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3,100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42</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$16.40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46</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creator tax deductions</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5,400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43</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$18.20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58</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sep ira solo 401k creator</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3,400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45</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$24.30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86</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delaware vs wyoming llc creators</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2,400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44</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$21.20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70</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6</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form llc for youtube channel</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4,400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44</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$22.40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50</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7</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business credit cards for youtubers</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4,800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43</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$22.10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82</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creator insurance guide</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2,200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43</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$20.10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33</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9</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llc for youtube channel</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8,100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42</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$18.20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10</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year end tax planning</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4,200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42</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$18.30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81</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11</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diversify youtube income investments</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4,100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39</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$18.40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89</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12</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llc operating agreement template creator</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2,900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41</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$18.30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94</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13</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channel valuation calculator</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4,900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36</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$15.10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13</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pay yourself llc creator</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2,100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38</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$14.50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15</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business bank account for creators</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3,600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41</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$14.20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54</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16</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accounting software for youtubers</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3,600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40</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$14.50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30</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17</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crm for content creators</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3,200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39</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$14.20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18</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email marketing for youtubers</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5,700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38</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$13.40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22</w:t>
            </w:r>
          </w:p>
        </w:tc>
      </w:tr>
      <w:tr>
        <w:trPr>
          <w:cantSplit/>
        </w:trPr>
        <w:tc>
          <w:tcPr>
            <w:tcW w:type="pct" w:w="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19</w:t>
            </w:r>
          </w:p>
        </w:tc>
        <w:tc>
          <w:tcPr>
            <w:tcW w:type="pct" w:w="36%"/>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sales funnel strategy</w:t>
            </w:r>
          </w:p>
        </w:tc>
        <w:tc>
          <w:tcPr>
            <w:tcW w:type="pct" w:w="12%"/>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3,400</w:t>
            </w:r>
          </w:p>
        </w:tc>
        <w:tc>
          <w:tcPr>
            <w:tcW w:type="pct" w:w="8%"/>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37</w:t>
            </w:r>
          </w:p>
        </w:tc>
        <w:tc>
          <w:tcPr>
            <w:tcW w:type="pct" w:w="14%"/>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$15.20</w:t>
            </w:r>
          </w:p>
        </w:tc>
        <w:tc>
          <w:tcPr>
            <w:tcW w:type="pct" w:w="10%"/>
            <w:shd w:fill="E8ECEB"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25</w:t>
            </w:r>
          </w:p>
        </w:tc>
      </w:tr>
      <w:tr>
        <w:trPr>
          <w:cantSplit/>
        </w:trPr>
        <w:tc>
          <w:tcPr>
            <w:tcW w:type="pct" w:w="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20</w:t>
            </w:r>
          </w:p>
        </w:tc>
        <w:tc>
          <w:tcPr>
            <w:tcW w:type="pct" w:w="36%"/>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youtube sponsorship rates 2026</w:t>
            </w:r>
          </w:p>
        </w:tc>
        <w:tc>
          <w:tcPr>
            <w:tcW w:type="pct" w:w="12%"/>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9,200</w:t>
            </w:r>
          </w:p>
        </w:tc>
        <w:tc>
          <w:tcPr>
            <w:tcW w:type="pct" w:w="8%"/>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37</w:t>
            </w:r>
          </w:p>
        </w:tc>
        <w:tc>
          <w:tcPr>
            <w:tcW w:type="pct" w:w="14%"/>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$12.40</w:t>
            </w:r>
          </w:p>
        </w:tc>
        <w:tc>
          <w:tcPr>
            <w:tcW w:type="pct" w:w="10%"/>
            <w:shd w:fill="FFFFFF" w:val="clear"/>
            <w:tcMar>
              <w:top w:type="dxa" w:w="80"/>
              <w:left w:type="dxa" w:w="120"/>
              <w:bottom w:type="dxa" w:w="80"/>
              <w:right w:type="dxa" w:w="120"/>
            </w:tcMar>
          </w:tcPr>
          <w:p>
            <w:pPr>
              <w:spacing w:line="280"/>
              <w:jc w:val="left"/>
            </w:pPr>
            <w:r>
              <w:rPr>
                <w:rFonts w:ascii="Calibri" w:eastAsia="Microsoft YaHei"/>
                <w:color w:val="1A1A1A"/>
                <w:sz w:val="20"/>
                <w:szCs w:val="20"/>
              </w:rPr>
              <w:t xml:space="preserve">85</w:t>
            </w:r>
          </w:p>
        </w:tc>
      </w:tr>
    </w:tbl>
    <w:p>
      <w:pPr>
        <w:pStyle w:val="Heading1"/>
        <w:spacing w:after="160" w:before="360"/>
      </w:pPr>
      <w:r>
        <w:rPr>
          <w:rFonts w:ascii="Calibri" w:eastAsia="SimHei"/>
          <w:b/>
          <w:bCs/>
          <w:color w:val="0B1C2C"/>
          <w:sz w:val="32"/>
          <w:szCs w:val="32"/>
        </w:rPr>
        <w:t xml:space="preserve">4. Topic Cluster Architecture</w:t>
      </w:r>
    </w:p>
    <w:p>
      <w:pPr>
        <w:spacing w:after="120" w:line="312"/>
        <w:ind w:firstLine="0"/>
        <w:jc w:val="both"/>
      </w:pPr>
      <w:r>
        <w:t>The 96 calendar posts are organized around eight clusters, each with one named pillar and supporting articles. This is eight pillars plus 88 supporting posts = 96 posts in total. The accompanying workbook now exposes each post's cluster and role so internal linking can be audited rather than assumed.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shd w:fill="529286" w:val="clear"/>
            <w:tcMar>
              <w:top w:type="dxa" w:w="80"/>
              <w:left w:type="dxa" w:w="120"/>
              <w:bottom w:type="dxa" w:w="80"/>
              <w:right w:type="dxa" w:w="120"/>
            </w:tcMar>
          </w:tcPr>
          <w:p>
            <w:r>
              <w:t>Cluster</w:t>
            </w:r>
          </w:p>
        </w:tc>
        <w:tc>
          <w:tcPr>
            <w:tcW w:type="pct" w:w="38%"/>
            <w:shd w:fill="529286" w:val="clear"/>
            <w:tcMar>
              <w:top w:type="dxa" w:w="80"/>
              <w:left w:type="dxa" w:w="120"/>
              <w:bottom w:type="dxa" w:w="80"/>
              <w:right w:type="dxa" w:w="120"/>
            </w:tcMar>
          </w:tcPr>
          <w:p>
            <w:r>
              <w:t>Pillar Post</w:t>
            </w:r>
          </w:p>
        </w:tc>
        <w:tc>
          <w:tcPr>
            <w:tcW w:type="pct" w:w="8%"/>
            <w:shd w:fill="529286" w:val="clear"/>
            <w:tcMar>
              <w:top w:type="dxa" w:w="80"/>
              <w:left w:type="dxa" w:w="120"/>
              <w:bottom w:type="dxa" w:w="80"/>
              <w:right w:type="dxa" w:w="120"/>
            </w:tcMar>
          </w:tcPr>
          <w:p>
            <w:r>
              <w:t># Posts</w:t>
            </w:r>
          </w:p>
        </w:tc>
        <w:tc>
          <w:tcPr>
            <w:tcW w:type="pct" w:w="10%"/>
            <w:shd w:fill="529286" w:val="clear"/>
            <w:tcMar>
              <w:top w:type="dxa" w:w="80"/>
              <w:left w:type="dxa" w:w="120"/>
              <w:bottom w:type="dxa" w:w="80"/>
              <w:right w:type="dxa" w:w="120"/>
            </w:tcMar>
          </w:tcPr>
          <w:p>
            <w:r>
              <w:t>Priority CPC Proxy</w:t>
            </w:r>
          </w:p>
        </w:tc>
        <w:tc>
          <w:tcPr>
            <w:tcW w:type="pct" w:w="22%"/>
            <w:shd w:fill="529286" w:val="clear"/>
            <w:tcMar>
              <w:top w:type="dxa" w:w="80"/>
              <w:left w:type="dxa" w:w="120"/>
              <w:bottom w:type="dxa" w:w="80"/>
              <w:right w:type="dxa" w:w="120"/>
            </w:tcMar>
          </w:tcPr>
          <w:p>
            <w:r>
              <w:t>Theme</w:t>
            </w:r>
          </w:p>
        </w:tc>
      </w:tr>
      <w:tr>
        <w:trPr>
          <w:cantSplit/>
        </w:trPr>
        <w:tc>
          <w:tcPr>
            <w:tcW w:type="pct" w:w="22%"/>
            <w:shd w:fill="E8ECEB" w:val="clear"/>
            <w:tcMar>
              <w:top w:type="dxa" w:w="80"/>
              <w:left w:type="dxa" w:w="120"/>
              <w:bottom w:type="dxa" w:w="80"/>
              <w:right w:type="dxa" w:w="120"/>
            </w:tcMar>
          </w:tcPr>
          <w:p>
            <w:r>
              <w:t>1. Creator Business Setup</w:t>
            </w:r>
          </w:p>
        </w:tc>
        <w:tc>
          <w:tcPr>
            <w:tcW w:type="pct" w:w="38%"/>
            <w:shd w:fill="E8ECEB" w:val="clear"/>
            <w:tcMar>
              <w:top w:type="dxa" w:w="80"/>
              <w:left w:type="dxa" w:w="120"/>
              <w:bottom w:type="dxa" w:w="80"/>
              <w:right w:type="dxa" w:w="120"/>
            </w:tcMar>
          </w:tcPr>
          <w:p>
            <w:r>
              <w:t>How to Set Up a YouTube Business Account</w:t>
            </w:r>
          </w:p>
        </w:tc>
        <w:tc>
          <w:tcPr>
            <w:tcW w:type="pct" w:w="8%"/>
            <w:shd w:fill="E8ECEB" w:val="clear"/>
            <w:tcMar>
              <w:top w:type="dxa" w:w="80"/>
              <w:left w:type="dxa" w:w="120"/>
              <w:bottom w:type="dxa" w:w="80"/>
              <w:right w:type="dxa" w:w="120"/>
            </w:tcMar>
          </w:tcPr>
          <w:p>
            <w:r>
              <w:t>21</w:t>
            </w:r>
          </w:p>
        </w:tc>
        <w:tc>
          <w:tcPr>
            <w:tcW w:type="pct" w:w="10%"/>
            <w:shd w:fill="E8ECEB" w:val="clear"/>
            <w:tcMar>
              <w:top w:type="dxa" w:w="80"/>
              <w:left w:type="dxa" w:w="120"/>
              <w:bottom w:type="dxa" w:w="80"/>
              <w:right w:type="dxa" w:w="120"/>
            </w:tcMar>
          </w:tcPr>
          <w:p>
            <w:r>
              <w:t>High / SME-gated</w:t>
            </w:r>
          </w:p>
        </w:tc>
        <w:tc>
          <w:tcPr>
            <w:tcW w:type="pct" w:w="22%"/>
            <w:shd w:fill="E8ECEB" w:val="clear"/>
            <w:tcMar>
              <w:top w:type="dxa" w:w="80"/>
              <w:left w:type="dxa" w:w="120"/>
              <w:bottom w:type="dxa" w:w="80"/>
              <w:right w:type="dxa" w:w="120"/>
            </w:tcMar>
          </w:tcPr>
          <w:p>
            <w:r>
              <w:t>Business setup, tax, insurance, banking, legal</w:t>
            </w:r>
          </w:p>
        </w:tc>
      </w:tr>
      <w:tr>
        <w:trPr>
          <w:cantSplit/>
        </w:trPr>
        <w:tc>
          <w:tcPr>
            <w:tcW w:type="pct" w:w="22%"/>
            <w:shd w:fill="FFFFFF" w:val="clear"/>
            <w:tcMar>
              <w:top w:type="dxa" w:w="80"/>
              <w:left w:type="dxa" w:w="120"/>
              <w:bottom w:type="dxa" w:w="80"/>
              <w:right w:type="dxa" w:w="120"/>
            </w:tcMar>
          </w:tcPr>
          <w:p>
            <w:r>
              <w:t>2. YouTube Monetization &amp; Revenue</w:t>
            </w:r>
          </w:p>
        </w:tc>
        <w:tc>
          <w:tcPr>
            <w:tcW w:type="pct" w:w="38%"/>
            <w:shd w:fill="FFFFFF" w:val="clear"/>
            <w:tcMar>
              <w:top w:type="dxa" w:w="80"/>
              <w:left w:type="dxa" w:w="120"/>
              <w:bottom w:type="dxa" w:w="80"/>
              <w:right w:type="dxa" w:w="120"/>
            </w:tcMar>
          </w:tcPr>
          <w:p>
            <w:r>
              <w:t>How to Calculate YouTube Ad Revenue</w:t>
            </w:r>
          </w:p>
        </w:tc>
        <w:tc>
          <w:tcPr>
            <w:tcW w:type="pct" w:w="8%"/>
            <w:shd w:fill="FFFFFF" w:val="clear"/>
            <w:tcMar>
              <w:top w:type="dxa" w:w="80"/>
              <w:left w:type="dxa" w:w="120"/>
              <w:bottom w:type="dxa" w:w="80"/>
              <w:right w:type="dxa" w:w="120"/>
            </w:tcMar>
          </w:tcPr>
          <w:p>
            <w:r>
              <w:t>10</w:t>
            </w:r>
          </w:p>
        </w:tc>
        <w:tc>
          <w:tcPr>
            <w:tcW w:type="pct" w:w="10%"/>
            <w:shd w:fill="FFFFFF" w:val="clear"/>
            <w:tcMar>
              <w:top w:type="dxa" w:w="80"/>
              <w:left w:type="dxa" w:w="120"/>
              <w:bottom w:type="dxa" w:w="80"/>
              <w:right w:type="dxa" w:w="120"/>
            </w:tcMar>
          </w:tcPr>
          <w:p>
            <w:r>
              <w:t>$5-$12</w:t>
            </w:r>
          </w:p>
        </w:tc>
        <w:tc>
          <w:tcPr>
            <w:tcW w:type="pct" w:w="22%"/>
            <w:shd w:fill="FFFFFF" w:val="clear"/>
            <w:tcMar>
              <w:top w:type="dxa" w:w="80"/>
              <w:left w:type="dxa" w:w="120"/>
              <w:bottom w:type="dxa" w:w="80"/>
              <w:right w:type="dxa" w:w="120"/>
            </w:tcMar>
          </w:tcPr>
          <w:p>
            <w:r>
              <w:t>AdSense, RPM, CPM, memberships, revenue</w:t>
            </w:r>
          </w:p>
        </w:tc>
      </w:tr>
      <w:tr>
        <w:trPr>
          <w:cantSplit/>
        </w:trPr>
        <w:tc>
          <w:tcPr>
            <w:tcW w:type="pct" w:w="22%"/>
            <w:shd w:fill="E8ECEB" w:val="clear"/>
            <w:tcMar>
              <w:top w:type="dxa" w:w="80"/>
              <w:left w:type="dxa" w:w="120"/>
              <w:bottom w:type="dxa" w:w="80"/>
              <w:right w:type="dxa" w:w="120"/>
            </w:tcMar>
          </w:tcPr>
          <w:p>
            <w:r>
              <w:t>3. Affiliate, Sponsorship &amp; Products</w:t>
            </w:r>
          </w:p>
        </w:tc>
        <w:tc>
          <w:tcPr>
            <w:tcW w:type="pct" w:w="38%"/>
            <w:shd w:fill="E8ECEB" w:val="clear"/>
            <w:tcMar>
              <w:top w:type="dxa" w:w="80"/>
              <w:left w:type="dxa" w:w="120"/>
              <w:bottom w:type="dxa" w:w="80"/>
              <w:right w:type="dxa" w:w="120"/>
            </w:tcMar>
          </w:tcPr>
          <w:p>
            <w:r>
              <w:t>Affiliate Marketing on YouTube</w:t>
            </w:r>
          </w:p>
        </w:tc>
        <w:tc>
          <w:tcPr>
            <w:tcW w:type="pct" w:w="8%"/>
            <w:shd w:fill="E8ECEB" w:val="clear"/>
            <w:tcMar>
              <w:top w:type="dxa" w:w="80"/>
              <w:left w:type="dxa" w:w="120"/>
              <w:bottom w:type="dxa" w:w="80"/>
              <w:right w:type="dxa" w:w="120"/>
            </w:tcMar>
          </w:tcPr>
          <w:p>
            <w:r>
              <w:t>10</w:t>
            </w:r>
          </w:p>
        </w:tc>
        <w:tc>
          <w:tcPr>
            <w:tcW w:type="pct" w:w="10%"/>
            <w:shd w:fill="E8ECEB" w:val="clear"/>
            <w:tcMar>
              <w:top w:type="dxa" w:w="80"/>
              <w:left w:type="dxa" w:w="120"/>
              <w:bottom w:type="dxa" w:w="80"/>
              <w:right w:type="dxa" w:w="120"/>
            </w:tcMar>
          </w:tcPr>
          <w:p>
            <w:r>
              <w:t>$5-$15</w:t>
            </w:r>
          </w:p>
        </w:tc>
        <w:tc>
          <w:tcPr>
            <w:tcW w:type="pct" w:w="22%"/>
            <w:shd w:fill="E8ECEB" w:val="clear"/>
            <w:tcMar>
              <w:top w:type="dxa" w:w="80"/>
              <w:left w:type="dxa" w:w="120"/>
              <w:bottom w:type="dxa" w:w="80"/>
              <w:right w:type="dxa" w:w="120"/>
            </w:tcMar>
          </w:tcPr>
          <w:p>
            <w:r>
              <w:t>Affiliate stack, brand deals, media kit, products</w:t>
            </w:r>
          </w:p>
        </w:tc>
      </w:tr>
      <w:tr>
        <w:trPr>
          <w:cantSplit/>
        </w:trPr>
        <w:tc>
          <w:tcPr>
            <w:tcW w:type="pct" w:w="22%"/>
            <w:shd w:fill="FFFFFF" w:val="clear"/>
            <w:tcMar>
              <w:top w:type="dxa" w:w="80"/>
              <w:left w:type="dxa" w:w="120"/>
              <w:bottom w:type="dxa" w:w="80"/>
              <w:right w:type="dxa" w:w="120"/>
            </w:tcMar>
          </w:tcPr>
          <w:p>
            <w:r>
              <w:t>4. YouTube SEO &amp; Algorithm</w:t>
            </w:r>
          </w:p>
        </w:tc>
        <w:tc>
          <w:tcPr>
            <w:tcW w:type="pct" w:w="38%"/>
            <w:shd w:fill="FFFFFF" w:val="clear"/>
            <w:tcMar>
              <w:top w:type="dxa" w:w="80"/>
              <w:left w:type="dxa" w:w="120"/>
              <w:bottom w:type="dxa" w:w="80"/>
              <w:right w:type="dxa" w:w="120"/>
            </w:tcMar>
          </w:tcPr>
          <w:p>
            <w:r>
              <w:t>YouTube Algorithm 2026</w:t>
            </w:r>
          </w:p>
        </w:tc>
        <w:tc>
          <w:tcPr>
            <w:tcW w:type="pct" w:w="8%"/>
            <w:shd w:fill="FFFFFF" w:val="clear"/>
            <w:tcMar>
              <w:top w:type="dxa" w:w="80"/>
              <w:left w:type="dxa" w:w="120"/>
              <w:bottom w:type="dxa" w:w="80"/>
              <w:right w:type="dxa" w:w="120"/>
            </w:tcMar>
          </w:tcPr>
          <w:p>
            <w:r>
              <w:t>12</w:t>
            </w:r>
          </w:p>
        </w:tc>
        <w:tc>
          <w:tcPr>
            <w:tcW w:type="pct" w:w="10%"/>
            <w:shd w:fill="FFFFFF" w:val="clear"/>
            <w:tcMar>
              <w:top w:type="dxa" w:w="80"/>
              <w:left w:type="dxa" w:w="120"/>
              <w:bottom w:type="dxa" w:w="80"/>
              <w:right w:type="dxa" w:w="120"/>
            </w:tcMar>
          </w:tcPr>
          <w:p>
            <w:r>
              <w:t>$3-$8</w:t>
            </w:r>
          </w:p>
        </w:tc>
        <w:tc>
          <w:tcPr>
            <w:tcW w:type="pct" w:w="22%"/>
            <w:shd w:fill="FFFFFF" w:val="clear"/>
            <w:tcMar>
              <w:top w:type="dxa" w:w="80"/>
              <w:left w:type="dxa" w:w="120"/>
              <w:bottom w:type="dxa" w:w="80"/>
              <w:right w:type="dxa" w:w="120"/>
            </w:tcMar>
          </w:tcPr>
          <w:p>
            <w:r>
              <w:t>Algorithms, keywords, retention, search</w:t>
            </w:r>
          </w:p>
        </w:tc>
      </w:tr>
      <w:tr>
        <w:trPr>
          <w:cantSplit/>
        </w:trPr>
        <w:tc>
          <w:tcPr>
            <w:tcW w:type="pct" w:w="22%"/>
            <w:shd w:fill="E8ECEB" w:val="clear"/>
            <w:tcMar>
              <w:top w:type="dxa" w:w="80"/>
              <w:left w:type="dxa" w:w="120"/>
              <w:bottom w:type="dxa" w:w="80"/>
              <w:right w:type="dxa" w:w="120"/>
            </w:tcMar>
          </w:tcPr>
          <w:p>
            <w:r>
              <w:t>5. Tools &amp; Software</w:t>
            </w:r>
          </w:p>
        </w:tc>
        <w:tc>
          <w:tcPr>
            <w:tcW w:type="pct" w:w="38%"/>
            <w:shd w:fill="E8ECEB" w:val="clear"/>
            <w:tcMar>
              <w:top w:type="dxa" w:w="80"/>
              <w:left w:type="dxa" w:w="120"/>
              <w:bottom w:type="dxa" w:w="80"/>
              <w:right w:type="dxa" w:w="120"/>
            </w:tcMar>
          </w:tcPr>
          <w:p>
            <w:r>
              <w:t>Best YouTube Analytics Tools</w:t>
            </w:r>
          </w:p>
        </w:tc>
        <w:tc>
          <w:tcPr>
            <w:tcW w:type="pct" w:w="8%"/>
            <w:shd w:fill="E8ECEB" w:val="clear"/>
            <w:tcMar>
              <w:top w:type="dxa" w:w="80"/>
              <w:left w:type="dxa" w:w="120"/>
              <w:bottom w:type="dxa" w:w="80"/>
              <w:right w:type="dxa" w:w="120"/>
            </w:tcMar>
          </w:tcPr>
          <w:p>
            <w:r>
              <w:t>15</w:t>
            </w:r>
          </w:p>
        </w:tc>
        <w:tc>
          <w:tcPr>
            <w:tcW w:type="pct" w:w="10%"/>
            <w:shd w:fill="E8ECEB" w:val="clear"/>
            <w:tcMar>
              <w:top w:type="dxa" w:w="80"/>
              <w:left w:type="dxa" w:w="120"/>
              <w:bottom w:type="dxa" w:w="80"/>
              <w:right w:type="dxa" w:w="120"/>
            </w:tcMar>
          </w:tcPr>
          <w:p>
            <w:r>
              <w:t>$3-$8</w:t>
            </w:r>
          </w:p>
        </w:tc>
        <w:tc>
          <w:tcPr>
            <w:tcW w:type="pct" w:w="22%"/>
            <w:shd w:fill="E8ECEB" w:val="clear"/>
            <w:tcMar>
              <w:top w:type="dxa" w:w="80"/>
              <w:left w:type="dxa" w:w="120"/>
              <w:bottom w:type="dxa" w:w="80"/>
              <w:right w:type="dxa" w:w="120"/>
            </w:tcMar>
          </w:tcPr>
          <w:p>
            <w:r>
              <w:t>Editing, analytics, AI, SaaS comparisons</w:t>
            </w:r>
          </w:p>
        </w:tc>
      </w:tr>
      <w:tr>
        <w:trPr>
          <w:cantSplit/>
        </w:trPr>
        <w:tc>
          <w:tcPr>
            <w:tcW w:type="pct" w:w="22%"/>
            <w:shd w:fill="FFFFFF" w:val="clear"/>
            <w:tcMar>
              <w:top w:type="dxa" w:w="80"/>
              <w:left w:type="dxa" w:w="120"/>
              <w:bottom w:type="dxa" w:w="80"/>
              <w:right w:type="dxa" w:w="120"/>
            </w:tcMar>
          </w:tcPr>
          <w:p>
            <w:r>
              <w:t>6. Audience Growth</w:t>
            </w:r>
          </w:p>
        </w:tc>
        <w:tc>
          <w:tcPr>
            <w:tcW w:type="pct" w:w="38%"/>
            <w:shd w:fill="FFFFFF" w:val="clear"/>
            <w:tcMar>
              <w:top w:type="dxa" w:w="80"/>
              <w:left w:type="dxa" w:w="120"/>
              <w:bottom w:type="dxa" w:w="80"/>
              <w:right w:type="dxa" w:w="120"/>
            </w:tcMar>
          </w:tcPr>
          <w:p>
            <w:r>
              <w:t>YouTube Channel Growth Blueprint</w:t>
            </w:r>
          </w:p>
        </w:tc>
        <w:tc>
          <w:tcPr>
            <w:tcW w:type="pct" w:w="8%"/>
            <w:shd w:fill="FFFFFF" w:val="clear"/>
            <w:tcMar>
              <w:top w:type="dxa" w:w="80"/>
              <w:left w:type="dxa" w:w="120"/>
              <w:bottom w:type="dxa" w:w="80"/>
              <w:right w:type="dxa" w:w="120"/>
            </w:tcMar>
          </w:tcPr>
          <w:p>
            <w:r>
              <w:t>17</w:t>
            </w:r>
          </w:p>
        </w:tc>
        <w:tc>
          <w:tcPr>
            <w:tcW w:type="pct" w:w="10%"/>
            <w:shd w:fill="FFFFFF" w:val="clear"/>
            <w:tcMar>
              <w:top w:type="dxa" w:w="80"/>
              <w:left w:type="dxa" w:w="120"/>
              <w:bottom w:type="dxa" w:w="80"/>
              <w:right w:type="dxa" w:w="120"/>
            </w:tcMar>
          </w:tcPr>
          <w:p>
            <w:r>
              <w:t>$2-$6</w:t>
            </w:r>
          </w:p>
        </w:tc>
        <w:tc>
          <w:tcPr>
            <w:tcW w:type="pct" w:w="22%"/>
            <w:shd w:fill="FFFFFF" w:val="clear"/>
            <w:tcMar>
              <w:top w:type="dxa" w:w="80"/>
              <w:left w:type="dxa" w:w="120"/>
              <w:bottom w:type="dxa" w:w="80"/>
              <w:right w:type="dxa" w:w="120"/>
            </w:tcMar>
          </w:tcPr>
          <w:p>
            <w:r>
              <w:t>Subscribers, watch time, collabs, live</w:t>
            </w:r>
          </w:p>
        </w:tc>
      </w:tr>
      <w:tr>
        <w:trPr>
          <w:cantSplit/>
        </w:trPr>
        <w:tc>
          <w:tcPr>
            <w:tcW w:type="pct" w:w="22%"/>
            <w:shd w:fill="E8ECEB" w:val="clear"/>
            <w:tcMar>
              <w:top w:type="dxa" w:w="80"/>
              <w:left w:type="dxa" w:w="120"/>
              <w:bottom w:type="dxa" w:w="80"/>
              <w:right w:type="dxa" w:w="120"/>
            </w:tcMar>
          </w:tcPr>
          <w:p>
            <w:r>
              <w:t>7. Shorts &amp; Formats</w:t>
            </w:r>
          </w:p>
        </w:tc>
        <w:tc>
          <w:tcPr>
            <w:tcW w:type="pct" w:w="38%"/>
            <w:shd w:fill="E8ECEB" w:val="clear"/>
            <w:tcMar>
              <w:top w:type="dxa" w:w="80"/>
              <w:left w:type="dxa" w:w="120"/>
              <w:bottom w:type="dxa" w:w="80"/>
              <w:right w:type="dxa" w:w="120"/>
            </w:tcMar>
          </w:tcPr>
          <w:p>
            <w:r>
              <w:t>YouTube Shorts Monetization Guide</w:t>
            </w:r>
          </w:p>
        </w:tc>
        <w:tc>
          <w:tcPr>
            <w:tcW w:type="pct" w:w="8%"/>
            <w:shd w:fill="E8ECEB" w:val="clear"/>
            <w:tcMar>
              <w:top w:type="dxa" w:w="80"/>
              <w:left w:type="dxa" w:w="120"/>
              <w:bottom w:type="dxa" w:w="80"/>
              <w:right w:type="dxa" w:w="120"/>
            </w:tcMar>
          </w:tcPr>
          <w:p>
            <w:r>
              <w:t>3</w:t>
            </w:r>
          </w:p>
        </w:tc>
        <w:tc>
          <w:tcPr>
            <w:tcW w:type="pct" w:w="10%"/>
            <w:shd w:fill="E8ECEB" w:val="clear"/>
            <w:tcMar>
              <w:top w:type="dxa" w:w="80"/>
              <w:left w:type="dxa" w:w="120"/>
              <w:bottom w:type="dxa" w:w="80"/>
              <w:right w:type="dxa" w:w="120"/>
            </w:tcMar>
          </w:tcPr>
          <w:p>
            <w:r>
              <w:t>$3-$9</w:t>
            </w:r>
          </w:p>
        </w:tc>
        <w:tc>
          <w:tcPr>
            <w:tcW w:type="pct" w:w="22%"/>
            <w:shd w:fill="E8ECEB" w:val="clear"/>
            <w:tcMar>
              <w:top w:type="dxa" w:w="80"/>
              <w:left w:type="dxa" w:w="120"/>
              <w:bottom w:type="dxa" w:w="80"/>
              <w:right w:type="dxa" w:w="120"/>
            </w:tcMar>
          </w:tcPr>
          <w:p>
            <w:r>
              <w:t>Shorts, long-form, format strategy</w:t>
            </w:r>
          </w:p>
        </w:tc>
      </w:tr>
      <w:tr>
        <w:trPr>
          <w:cantSplit/>
        </w:trPr>
        <w:tc>
          <w:tcPr>
            <w:tcW w:type="pct" w:w="22%"/>
            <w:shd w:fill="FFFFFF" w:val="clear"/>
            <w:tcMar>
              <w:top w:type="dxa" w:w="80"/>
              <w:left w:type="dxa" w:w="120"/>
              <w:bottom w:type="dxa" w:w="80"/>
              <w:right w:type="dxa" w:w="120"/>
            </w:tcMar>
          </w:tcPr>
          <w:p>
            <w:r>
              <w:t>8. Creator Operations &amp; Planning</w:t>
            </w:r>
          </w:p>
        </w:tc>
        <w:tc>
          <w:tcPr>
            <w:tcW w:type="pct" w:w="38%"/>
            <w:shd w:fill="FFFFFF" w:val="clear"/>
            <w:tcMar>
              <w:top w:type="dxa" w:w="80"/>
              <w:left w:type="dxa" w:w="120"/>
              <w:bottom w:type="dxa" w:w="80"/>
              <w:right w:type="dxa" w:w="120"/>
            </w:tcMar>
          </w:tcPr>
          <w:p>
            <w:r>
              <w:t>YouTube Content Calendar That Works</w:t>
            </w:r>
          </w:p>
        </w:tc>
        <w:tc>
          <w:tcPr>
            <w:tcW w:type="pct" w:w="8%"/>
            <w:shd w:fill="FFFFFF" w:val="clear"/>
            <w:tcMar>
              <w:top w:type="dxa" w:w="80"/>
              <w:left w:type="dxa" w:w="120"/>
              <w:bottom w:type="dxa" w:w="80"/>
              <w:right w:type="dxa" w:w="120"/>
            </w:tcMar>
          </w:tcPr>
          <w:p>
            <w:r>
              <w:t>8</w:t>
            </w:r>
          </w:p>
        </w:tc>
        <w:tc>
          <w:tcPr>
            <w:tcW w:type="pct" w:w="10%"/>
            <w:shd w:fill="FFFFFF" w:val="clear"/>
            <w:tcMar>
              <w:top w:type="dxa" w:w="80"/>
              <w:left w:type="dxa" w:w="120"/>
              <w:bottom w:type="dxa" w:w="80"/>
              <w:right w:type="dxa" w:w="120"/>
            </w:tcMar>
          </w:tcPr>
          <w:p>
            <w:r>
              <w:t>$3-$15</w:t>
            </w:r>
          </w:p>
        </w:tc>
        <w:tc>
          <w:tcPr>
            <w:tcW w:type="pct" w:w="22%"/>
            <w:shd w:fill="FFFFFF" w:val="clear"/>
            <w:tcMar>
              <w:top w:type="dxa" w:w="80"/>
              <w:left w:type="dxa" w:w="120"/>
              <w:bottom w:type="dxa" w:w="80"/>
              <w:right w:type="dxa" w:w="120"/>
            </w:tcMar>
          </w:tcPr>
          <w:p>
            <w:r>
              <w:t>Planning, workflows, utility content</w:t>
            </w:r>
          </w:p>
        </w:tc>
      </w:tr>
    </w:tbl>
    <w:p>
      <w:pPr>
        <w:pStyle w:val="Heading2"/>
        <w:spacing w:after="160" w:before="280"/>
      </w:pPr>
      <w:r>
        <w:rPr>
          <w:rFonts w:ascii="Calibri" w:eastAsia="SimHei"/>
          <w:b/>
          <w:bCs/>
          <w:color w:val="0B1C2C"/>
          <w:sz w:val="28"/>
          <w:szCs w:val="28"/>
        </w:rPr>
        <w:t xml:space="preserve">4.1 Internal Linking Discipline</w:t>
      </w:r>
    </w:p>
    <w:p>
      <w:pPr>
        <w:spacing w:after="120" w:line="312"/>
        <w:ind w:firstLine="0"/>
        <w:jc w:val="both"/>
      </w:pPr>
      <w:r>
        <w:t>Every post must include at least three relevant internal links: one to its mapped pillar or cluster page, one to a useful adjacent cluster, and one to a relevant YouTube Tools Hub tool where it improves the reader journey. The calendar's publish gate makes this a release check, alongside source, disclosure, and expert-review checks where required.</w:t>
      </w:r>
    </w:p>
    <w:p>
      <w:pPr>
        <w:pStyle w:val="Heading1"/>
        <w:spacing w:after="160" w:before="360"/>
      </w:pPr>
      <w:r>
        <w:rPr>
          <w:rFonts w:ascii="Calibri" w:eastAsia="SimHei"/>
          <w:b/>
          <w:bCs/>
          <w:color w:val="0B1C2C"/>
          <w:sz w:val="32"/>
          <w:szCs w:val="32"/>
        </w:rPr>
        <w:t xml:space="preserve">5. Monetization Roadmap — Beyond AdSense</w:t>
      </w:r>
    </w:p>
    <w:p>
      <w:pPr>
        <w:spacing w:after="120" w:line="312"/>
        <w:ind w:firstLine="0"/>
        <w:jc w:val="both"/>
      </w:pPr>
      <w:r>
        <w:t>The base December revenue mix is $1,800 AdSense, $3,000 affiliate, $2,000 sponsorship, and $500 digital products: $7,300/month. The original 650,000-view scenario is retained only as an upside case; even at a $15.40 RPM it yields $10,010 AdSense revenue, and the stated combined stretch streams yield $23,510/month rather than $60,000.</w:t>
      </w:r>
    </w:p>
    <w:p>
      <w:pPr>
        <w:pStyle w:val="Heading2"/>
        <w:spacing w:after="160" w:before="280"/>
      </w:pPr>
      <w:r>
        <w:rPr>
          <w:rFonts w:ascii="Calibri" w:eastAsia="SimHei"/>
          <w:b/>
          <w:bCs/>
          <w:color w:val="0B1C2C"/>
          <w:sz w:val="28"/>
          <w:szCs w:val="28"/>
        </w:rPr>
        <w:t xml:space="preserve">5.1 The Affiliate Stack — Recurring Revenue Engine</w:t>
      </w:r>
    </w:p>
    <w:p>
      <w:pPr>
        <w:spacing w:after="120" w:line="312"/>
        <w:ind w:firstLine="0"/>
        <w:jc w:val="both"/>
      </w:pPr>
      <w:r>
        <w:rPr>
          <w:rFonts w:ascii="Calibri" w:eastAsia="Microsoft YaHei"/>
          <w:color w:val="1A1A1A"/>
          <w:sz w:val="22"/>
          <w:szCs w:val="22"/>
        </w:rPr>
        <w:t xml:space="preserve">The affiliate strategy prioritizes recurring-commission programs over one-time payouts because recurring revenue compounds month-over-month. The three highest-value recurring programs for the YouTube-creator niche are:</w:t>
      </w:r>
    </w:p>
    <w:p>
      <w:pPr>
        <w:pStyle w:val="ListParagraph"/>
        <w:numPr>
          <w:ilvl w:val="0"/>
          <w:numId w:val="1"/>
        </w:numPr>
        <w:spacing w:after="80" w:line="312"/>
      </w:pPr>
      <w:r>
        <w:rPr>
          <w:rFonts w:ascii="Calibri" w:eastAsia="Microsoft YaHei"/>
          <w:b/>
          <w:bCs/>
          <w:color w:val="0B1C2C"/>
          <w:sz w:val="22"/>
          <w:szCs w:val="22"/>
        </w:rPr>
        <w:t xml:space="preserve">TubeBuddy Affiliate (30–50% recurring, 365-day cookie): </w:t>
      </w:r>
      <w:r>
        <w:rPr>
          <w:rFonts w:ascii="Calibri" w:eastAsia="Microsoft YaHei"/>
          <w:color w:val="1A1A1A"/>
          <w:sz w:val="22"/>
          <w:szCs w:val="22"/>
        </w:rPr>
        <w:t xml:space="preserve">TubeBuddy's Pro plan is $9/mo; at 40% commission that is $3.60/mo per active referral. With 200 active referrals by Month 6, this single program generates $720/mo in pure recurring revenue. Promote via the post "TubeBuddy vs vidIQ vs YT Tools Hub: Honest 2026 Comparison" (post #47) and via every tool-comparison post.</w:t>
      </w:r>
    </w:p>
    <w:p>
      <w:pPr>
        <w:pStyle w:val="ListParagraph"/>
        <w:numPr>
          <w:ilvl w:val="0"/>
          <w:numId w:val="1"/>
        </w:numPr>
        <w:spacing w:after="80" w:line="312"/>
      </w:pPr>
      <w:r>
        <w:rPr>
          <w:rFonts w:ascii="Calibri" w:eastAsia="Microsoft YaHei"/>
          <w:b/>
          <w:bCs/>
          <w:color w:val="0B1C2C"/>
          <w:sz w:val="22"/>
          <w:szCs w:val="22"/>
        </w:rPr>
        <w:t xml:space="preserve">InVideo Affiliate (25–50% recurring): </w:t>
      </w:r>
      <w:r>
        <w:rPr>
          <w:rFonts w:ascii="Calibri" w:eastAsia="Microsoft YaHei"/>
          <w:color w:val="1A1A1A"/>
          <w:sz w:val="22"/>
          <w:szCs w:val="22"/>
        </w:rPr>
        <w:t xml:space="preserve">InVideo AI starts at $25/mo; at 35% commission that is $8.75/mo per active referral. With 150 active referrals by Month 6, this generates $1,312/mo recurring. Promote via the AI video editor post (#51) and the AI thumbnail workflow post (#19).</w:t>
      </w:r>
    </w:p>
    <w:p>
      <w:pPr>
        <w:pStyle w:val="ListParagraph"/>
        <w:numPr>
          <w:ilvl w:val="0"/>
          <w:numId w:val="1"/>
        </w:numPr>
        <w:spacing w:after="80" w:line="312"/>
      </w:pPr>
      <w:r>
        <w:rPr>
          <w:rFonts w:ascii="Calibri" w:eastAsia="Microsoft YaHei"/>
          <w:b/>
          <w:bCs/>
          <w:color w:val="0B1C2C"/>
          <w:sz w:val="22"/>
          <w:szCs w:val="22"/>
        </w:rPr>
        <w:t xml:space="preserve">vidIQ Affiliate (25% recurring for 12 months): </w:t>
      </w:r>
      <w:r>
        <w:rPr>
          <w:rFonts w:ascii="Calibri" w:eastAsia="Microsoft YaHei"/>
          <w:color w:val="1A1A1A"/>
          <w:sz w:val="22"/>
          <w:szCs w:val="22"/>
        </w:rPr>
        <w:t xml:space="preserve">vidIQ Boost is $39/mo; at 25% commission that is $9.75/mo per active referral. With 100 active referrals by Month 6, this generates $975/mo. Promote via the YouTube keyword research tools post (#67) and the TubeBuddy vs vidIQ post (#47).</w:t>
      </w:r>
    </w:p>
    <w:p>
      <w:pPr>
        <w:spacing w:after="120" w:line="312"/>
        <w:ind w:firstLine="0"/>
        <w:jc w:val="both"/>
      </w:pPr>
      <w:r>
        <w:t>The program-level calculations above are illustrative upside examples, not the forecast. V2 uses a $3,000 December affiliate base case and retains $6,500 only as a conditional stretch target that must be supported by attributed conversions at the 30-, 60-, and 90-day reforecast gates.</w:t>
      </w:r>
    </w:p>
    <w:p>
      <w:pPr>
        <w:pStyle w:val="Heading2"/>
        <w:spacing w:after="160" w:before="280"/>
      </w:pPr>
      <w:r>
        <w:rPr>
          <w:rFonts w:ascii="Calibri" w:eastAsia="SimHei"/>
          <w:b/>
          <w:bCs/>
          <w:color w:val="0B1C2C"/>
          <w:sz w:val="28"/>
          <w:szCs w:val="28"/>
        </w:rPr>
        <w:t xml:space="preserve">5.2 Direct Sponsorships — The $6,500/Month Stream</w:t>
      </w:r>
    </w:p>
    <w:p>
      <w:pPr>
        <w:spacing w:after="120" w:line="312"/>
        <w:ind w:firstLine="0"/>
        <w:jc w:val="both"/>
      </w:pPr>
      <w:r>
        <w:t>Build the media kit and sponsor prospect list in Months 1-2, then start paid-sponsorship outreach only after disclosure policies, relevant case studies, and a credible audience/engagement snapshot are in place. The base model does not assume sponsorship revenue until Month 4.</w:t>
      </w:r>
    </w:p>
    <w:p>
      <w:pPr>
        <w:pStyle w:val="ListParagraph"/>
        <w:numPr>
          <w:ilvl w:val="0"/>
          <w:numId w:val="1"/>
        </w:numPr>
        <w:spacing w:after="80" w:line="312"/>
      </w:pPr>
      <w:r>
        <w:rPr>
          <w:rFonts w:ascii="Calibri" w:eastAsia="Microsoft YaHei"/>
          <w:color w:val="1A1A1A"/>
          <w:sz w:val="22"/>
          <w:szCs w:val="22"/>
        </w:rPr>
        <w:t xml:space="preserve">Build a media kit (post #37, "Building a YouTube Media Kit: Attract $5K+ Sponsorship Deals") that doubles as a public case study for the site.</w:t>
      </w:r>
    </w:p>
    <w:p>
      <w:pPr>
        <w:pStyle w:val="ListParagraph"/>
        <w:numPr>
          <w:ilvl w:val="0"/>
          <w:numId w:val="1"/>
        </w:numPr>
        <w:spacing w:after="80" w:line="312"/>
      </w:pPr>
      <w:r>
        <w:rPr>
          <w:rFonts w:ascii="Calibri" w:eastAsia="Microsoft YaHei"/>
          <w:color w:val="1A1A1A"/>
          <w:sz w:val="22"/>
          <w:szCs w:val="22"/>
        </w:rPr>
        <w:t xml:space="preserve">Identify 30 target brands across three categories: YouTube tools (TubeBuddy, vidIQ, InVideo, Veed, Descript), creator-finance SaaS (QuickBooks, Wave, Mercury, Notion, ConvertKit), and gear brands (Rode, Blue, Logitech, Elgato, DJI).</w:t>
      </w:r>
    </w:p>
    <w:p>
      <w:pPr>
        <w:pStyle w:val="ListParagraph"/>
        <w:numPr>
          <w:ilvl w:val="0"/>
          <w:numId w:val="1"/>
        </w:numPr>
        <w:spacing w:after="80" w:line="312"/>
      </w:pPr>
      <w:r>
        <w:t>After the media kit is approved, pitch up to 10 suitable brands per week using a tracked three-touch sequence. Track sends, replies, qualified conversations, proposals, and closed deals separately; do not convert outbound activity into assumed revenue before evidence exists.</w:t>
      </w:r>
    </w:p>
    <w:p>
      <w:pPr>
        <w:pStyle w:val="ListParagraph"/>
        <w:numPr>
          <w:ilvl w:val="0"/>
          <w:numId w:val="1"/>
        </w:numPr>
        <w:spacing w:after="80" w:line="312"/>
      </w:pPr>
      <w:r>
        <w:rPr>
          <w:rFonts w:ascii="Calibri" w:eastAsia="Microsoft YaHei"/>
          <w:color w:val="1A1A1A"/>
          <w:sz w:val="22"/>
          <w:szCs w:val="22"/>
        </w:rPr>
        <w:t xml:space="preserve">Pricing structure: $600 for a single sponsored mention in a relevant post, $1,200 for a dedicated sponsored post, $2,500 for a 3-post bundle, $5,000 for a quarterly content series. Target 6 deals in Month 6 at an average deal size of $1,083.</w:t>
      </w:r>
    </w:p>
    <w:p>
      <w:pPr>
        <w:pStyle w:val="Heading2"/>
        <w:spacing w:after="160" w:before="280"/>
      </w:pPr>
      <w:r>
        <w:rPr>
          <w:rFonts w:ascii="Calibri" w:eastAsia="SimHei"/>
          <w:b/>
          <w:bCs/>
          <w:color w:val="0B1C2C"/>
          <w:sz w:val="28"/>
          <w:szCs w:val="28"/>
        </w:rPr>
        <w:t xml:space="preserve">5.3 Digital Products — The 2027 Revenue Pipeline</w:t>
      </w:r>
    </w:p>
    <w:p>
      <w:pPr>
        <w:spacing w:after="120" w:line="312"/>
        <w:ind w:firstLine="0"/>
        <w:jc w:val="both"/>
      </w:pPr>
      <w:r>
        <w:t>The plan can validate a $49 playbook and a higher-priced course through an email waitlist or pre-sale in Q4. V2 counts only $500/month of combined digital-product revenue in the December base case and excludes course revenue until demand and delivery capacity are demonstrated.</w:t>
      </w:r>
    </w:p>
    <w:p>
      <w:pPr>
        <w:pStyle w:val="Heading1"/>
        <w:spacing w:after="160" w:before="360"/>
      </w:pPr>
      <w:r>
        <w:t>6. Authority &amp; Digital PR - Quality Referring Domains</w:t>
      </w:r>
    </w:p>
    <w:p>
      <w:pPr>
        <w:spacing w:after="120" w:line="312"/>
        <w:ind w:firstLine="0"/>
        <w:jc w:val="both"/>
      </w:pPr>
      <w:r>
        <w:t>The prior target of 1,200 referring domains in six months conflated raw backlinks, owned/social links, and referring domains. V2 instead targets 125 net new qualified, editorially earned referring domains, taking the baseline from 85 to 210. A larger outcome is possible, but it is a stretch result rather than a committed KPI or a DA guarantee.</w:t>
      </w:r>
    </w:p>
    <w:p>
      <w:pPr>
        <w:pStyle w:val="Heading2"/>
        <w:spacing w:after="160" w:before="280"/>
      </w:pPr>
      <w:r>
        <w:rPr>
          <w:rFonts w:ascii="Calibri" w:eastAsia="SimHei"/>
          <w:b/>
          <w:bCs/>
          <w:color w:val="0B1C2C"/>
          <w:sz w:val="28"/>
          <w:szCs w:val="28"/>
        </w:rPr>
        <w:t xml:space="preserve">6.1 HARO / Connectively — 20 Links/Month at DR 60+</w:t>
      </w:r>
    </w:p>
    <w:p>
      <w:pPr>
        <w:spacing w:after="120" w:line="312"/>
        <w:ind w:firstLine="0"/>
        <w:jc w:val="both"/>
      </w:pPr>
      <w:r>
        <w:t>Connectively and HARO availability, pricing, and request volume should be confirmed at execution time. Treat journalist-request work as a quality PR channel, not a guaranteed backlink faucet; each placement must be logged by source, topic, link attribute, referral traffic, and unique referring domain.</w:t>
      </w:r>
    </w:p>
    <w:p>
      <w:pPr>
        <w:spacing w:after="120" w:line="312"/>
        <w:ind w:firstLine="0"/>
        <w:jc w:val="both"/>
      </w:pPr>
      <w:r>
        <w:t>At three pitches per day, roughly 90 pitches per month with an 8-12% placement rate implies about 7-11 placements, not 20. Set an initial goal of 8-12 qualified placements per month, then reforecast from actual response and placement data.</w:t>
      </w:r>
    </w:p>
    <w:p>
      <w:pPr>
        <w:pStyle w:val="Heading2"/>
        <w:spacing w:after="160" w:before="280"/>
      </w:pPr>
      <w:r>
        <w:rPr>
          <w:rFonts w:ascii="Calibri" w:eastAsia="SimHei"/>
          <w:b/>
          <w:bCs/>
          <w:color w:val="0B1C2C"/>
          <w:sz w:val="28"/>
          <w:szCs w:val="28"/>
        </w:rPr>
        <w:t xml:space="preserve">6.2 Free Tools &amp; Original Data — 35 Links/Month Naturally Earned</w:t>
      </w:r>
    </w:p>
    <w:p>
      <w:pPr>
        <w:spacing w:after="120" w:line="312"/>
        <w:ind w:firstLine="0"/>
        <w:jc w:val="both"/>
      </w:pPr>
      <w:r>
        <w:t>Free tools and original data are valuable linkable assets, but they do not guarantee 35 natural links per month. Build the valuation, RPM, and brand-deal calculators only with a maintenance owner, a data-source policy, and a citation/referral tracking method.</w:t>
      </w:r>
    </w:p>
    <w:p>
      <w:pPr>
        <w:pStyle w:val="Heading2"/>
        <w:spacing w:after="160" w:before="280"/>
      </w:pPr>
      <w:r>
        <w:rPr>
          <w:rFonts w:ascii="Calibri" w:eastAsia="SimHei"/>
          <w:b/>
          <w:bCs/>
          <w:color w:val="0B1C2C"/>
          <w:sz w:val="28"/>
          <w:szCs w:val="28"/>
        </w:rPr>
        <w:t xml:space="preserve">6.3 Guest Posting + Skyscraper — 12 Links/Month from Targeted Outreach</w:t>
      </w:r>
    </w:p>
    <w:p>
      <w:pPr>
        <w:spacing w:after="120" w:line="312"/>
        <w:ind w:firstLine="0"/>
        <w:jc w:val="both"/>
      </w:pPr>
      <w:r>
        <w:t>Guest posts, skyscraper outreach, broken-link work, and resource-page outreach should target relevance and editorial quality. Use a combined base target of 5-10 qualifying earned referring domains per month across these activities, then scale only after the first two months of observed results.</w:t>
      </w:r>
    </w:p>
    <w:p>
      <w:pPr>
        <w:pStyle w:val="Heading2"/>
        <w:spacing w:after="160" w:before="280"/>
      </w:pPr>
      <w:r>
        <w:rPr>
          <w:rFonts w:ascii="Calibri" w:eastAsia="SimHei"/>
          <w:b/>
          <w:bCs/>
          <w:color w:val="0B1C2C"/>
          <w:sz w:val="28"/>
          <w:szCs w:val="28"/>
        </w:rPr>
        <w:t xml:space="preserve">6.4 Backlink Velocity Projection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shd w:fill="529286" w:val="clear"/>
            <w:tcMar>
              <w:top w:type="dxa" w:w="80"/>
              <w:left w:type="dxa" w:w="120"/>
              <w:bottom w:type="dxa" w:w="80"/>
              <w:right w:type="dxa" w:w="120"/>
            </w:tcMar>
          </w:tcPr>
          <w:p>
            <w:r>
              <w:t>Month</w:t>
            </w:r>
          </w:p>
        </w:tc>
        <w:tc>
          <w:tcPr>
            <w:tcW w:type="pct" w:w="25%"/>
            <w:shd w:fill="529286" w:val="clear"/>
            <w:tcMar>
              <w:top w:type="dxa" w:w="80"/>
              <w:left w:type="dxa" w:w="120"/>
              <w:bottom w:type="dxa" w:w="80"/>
              <w:right w:type="dxa" w:w="120"/>
            </w:tcMar>
          </w:tcPr>
          <w:p>
            <w:r>
              <w:t>New Qualified RDs</w:t>
            </w:r>
          </w:p>
        </w:tc>
        <w:tc>
          <w:tcPr>
            <w:tcW w:type="pct" w:w="25%"/>
            <w:shd w:fill="529286" w:val="clear"/>
            <w:tcMar>
              <w:top w:type="dxa" w:w="80"/>
              <w:left w:type="dxa" w:w="120"/>
              <w:bottom w:type="dxa" w:w="80"/>
              <w:right w:type="dxa" w:w="120"/>
            </w:tcMar>
          </w:tcPr>
          <w:p>
            <w:r>
              <w:t>Cumulative RDs</w:t>
            </w:r>
          </w:p>
        </w:tc>
        <w:tc>
          <w:tcPr>
            <w:tcW w:type="pct" w:w="25%"/>
            <w:shd w:fill="529286" w:val="clear"/>
            <w:tcMar>
              <w:top w:type="dxa" w:w="80"/>
              <w:left w:type="dxa" w:w="120"/>
              <w:bottom w:type="dxa" w:w="80"/>
              <w:right w:type="dxa" w:w="120"/>
            </w:tcMar>
          </w:tcPr>
          <w:p>
            <w:r>
              <w:t>Measurement</w:t>
            </w:r>
          </w:p>
        </w:tc>
      </w:tr>
      <w:tr>
        <w:trPr>
          <w:cantSplit/>
        </w:trPr>
        <w:tc>
          <w:tcPr>
            <w:tcW w:type="pct" w:w="25%"/>
            <w:shd w:fill="E8ECEB" w:val="clear"/>
            <w:tcMar>
              <w:top w:type="dxa" w:w="80"/>
              <w:left w:type="dxa" w:w="120"/>
              <w:bottom w:type="dxa" w:w="80"/>
              <w:right w:type="dxa" w:w="120"/>
            </w:tcMar>
          </w:tcPr>
          <w:p>
            <w:r>
              <w:t>July 2026</w:t>
            </w:r>
          </w:p>
        </w:tc>
        <w:tc>
          <w:tcPr>
            <w:tcW w:type="pct" w:w="25%"/>
            <w:shd w:fill="E8ECEB" w:val="clear"/>
            <w:tcMar>
              <w:top w:type="dxa" w:w="80"/>
              <w:left w:type="dxa" w:w="120"/>
              <w:bottom w:type="dxa" w:w="80"/>
              <w:right w:type="dxa" w:w="120"/>
            </w:tcMar>
          </w:tcPr>
          <w:p>
            <w:r>
              <w:t>10</w:t>
            </w:r>
          </w:p>
        </w:tc>
        <w:tc>
          <w:tcPr>
            <w:tcW w:type="pct" w:w="25%"/>
            <w:shd w:fill="E8ECEB" w:val="clear"/>
            <w:tcMar>
              <w:top w:type="dxa" w:w="80"/>
              <w:left w:type="dxa" w:w="120"/>
              <w:bottom w:type="dxa" w:w="80"/>
              <w:right w:type="dxa" w:w="120"/>
            </w:tcMar>
          </w:tcPr>
          <w:p>
            <w:r>
              <w:t>95</w:t>
            </w:r>
          </w:p>
        </w:tc>
        <w:tc>
          <w:tcPr>
            <w:tcW w:type="pct" w:w="25%"/>
            <w:shd w:fill="E8ECEB" w:val="clear"/>
            <w:tcMar>
              <w:top w:type="dxa" w:w="80"/>
              <w:left w:type="dxa" w:w="120"/>
              <w:bottom w:type="dxa" w:w="80"/>
              <w:right w:type="dxa" w:w="120"/>
            </w:tcMar>
          </w:tcPr>
          <w:p>
            <w:r>
              <w:t>Unique editorial external domains</w:t>
            </w:r>
          </w:p>
        </w:tc>
      </w:tr>
      <w:tr>
        <w:trPr>
          <w:cantSplit/>
        </w:trPr>
        <w:tc>
          <w:tcPr>
            <w:tcW w:type="pct" w:w="25%"/>
            <w:shd w:fill="FFFFFF" w:val="clear"/>
            <w:tcMar>
              <w:top w:type="dxa" w:w="80"/>
              <w:left w:type="dxa" w:w="120"/>
              <w:bottom w:type="dxa" w:w="80"/>
              <w:right w:type="dxa" w:w="120"/>
            </w:tcMar>
          </w:tcPr>
          <w:p>
            <w:r>
              <w:t>August 2026</w:t>
            </w:r>
          </w:p>
        </w:tc>
        <w:tc>
          <w:tcPr>
            <w:tcW w:type="pct" w:w="25%"/>
            <w:shd w:fill="FFFFFF" w:val="clear"/>
            <w:tcMar>
              <w:top w:type="dxa" w:w="80"/>
              <w:left w:type="dxa" w:w="120"/>
              <w:bottom w:type="dxa" w:w="80"/>
              <w:right w:type="dxa" w:w="120"/>
            </w:tcMar>
          </w:tcPr>
          <w:p>
            <w:r>
              <w:t>15</w:t>
            </w:r>
          </w:p>
        </w:tc>
        <w:tc>
          <w:tcPr>
            <w:tcW w:type="pct" w:w="25%"/>
            <w:shd w:fill="FFFFFF" w:val="clear"/>
            <w:tcMar>
              <w:top w:type="dxa" w:w="80"/>
              <w:left w:type="dxa" w:w="120"/>
              <w:bottom w:type="dxa" w:w="80"/>
              <w:right w:type="dxa" w:w="120"/>
            </w:tcMar>
          </w:tcPr>
          <w:p>
            <w:r>
              <w:t>110</w:t>
            </w:r>
          </w:p>
        </w:tc>
        <w:tc>
          <w:tcPr>
            <w:tcW w:type="pct" w:w="25%"/>
            <w:shd w:fill="FFFFFF" w:val="clear"/>
            <w:tcMar>
              <w:top w:type="dxa" w:w="80"/>
              <w:left w:type="dxa" w:w="120"/>
              <w:bottom w:type="dxa" w:w="80"/>
              <w:right w:type="dxa" w:w="120"/>
            </w:tcMar>
          </w:tcPr>
          <w:p>
            <w:r>
              <w:t>Exclude owned/social/nofollow placements</w:t>
            </w:r>
          </w:p>
        </w:tc>
      </w:tr>
      <w:tr>
        <w:trPr>
          <w:cantSplit/>
        </w:trPr>
        <w:tc>
          <w:tcPr>
            <w:tcW w:type="pct" w:w="25%"/>
            <w:shd w:fill="E8ECEB" w:val="clear"/>
            <w:tcMar>
              <w:top w:type="dxa" w:w="80"/>
              <w:left w:type="dxa" w:w="120"/>
              <w:bottom w:type="dxa" w:w="80"/>
              <w:right w:type="dxa" w:w="120"/>
            </w:tcMar>
          </w:tcPr>
          <w:p>
            <w:r>
              <w:t>September 2026</w:t>
            </w:r>
          </w:p>
        </w:tc>
        <w:tc>
          <w:tcPr>
            <w:tcW w:type="pct" w:w="25%"/>
            <w:shd w:fill="E8ECEB" w:val="clear"/>
            <w:tcMar>
              <w:top w:type="dxa" w:w="80"/>
              <w:left w:type="dxa" w:w="120"/>
              <w:bottom w:type="dxa" w:w="80"/>
              <w:right w:type="dxa" w:w="120"/>
            </w:tcMar>
          </w:tcPr>
          <w:p>
            <w:r>
              <w:t>20</w:t>
            </w:r>
          </w:p>
        </w:tc>
        <w:tc>
          <w:tcPr>
            <w:tcW w:type="pct" w:w="25%"/>
            <w:shd w:fill="E8ECEB" w:val="clear"/>
            <w:tcMar>
              <w:top w:type="dxa" w:w="80"/>
              <w:left w:type="dxa" w:w="120"/>
              <w:bottom w:type="dxa" w:w="80"/>
              <w:right w:type="dxa" w:w="120"/>
            </w:tcMar>
          </w:tcPr>
          <w:p>
            <w:r>
              <w:t>130</w:t>
            </w:r>
          </w:p>
        </w:tc>
        <w:tc>
          <w:tcPr>
            <w:tcW w:type="pct" w:w="25%"/>
            <w:shd w:fill="E8ECEB" w:val="clear"/>
            <w:tcMar>
              <w:top w:type="dxa" w:w="80"/>
              <w:left w:type="dxa" w:w="120"/>
              <w:bottom w:type="dxa" w:w="80"/>
              <w:right w:type="dxa" w:w="120"/>
            </w:tcMar>
          </w:tcPr>
          <w:p>
            <w:r>
              <w:t>Track source and referral traffic</w:t>
            </w:r>
          </w:p>
        </w:tc>
      </w:tr>
      <w:tr>
        <w:trPr>
          <w:cantSplit/>
        </w:trPr>
        <w:tc>
          <w:tcPr>
            <w:tcW w:type="pct" w:w="25%"/>
            <w:shd w:fill="FFFFFF" w:val="clear"/>
            <w:tcMar>
              <w:top w:type="dxa" w:w="80"/>
              <w:left w:type="dxa" w:w="120"/>
              <w:bottom w:type="dxa" w:w="80"/>
              <w:right w:type="dxa" w:w="120"/>
            </w:tcMar>
          </w:tcPr>
          <w:p>
            <w:r>
              <w:t>October 2026</w:t>
            </w:r>
          </w:p>
        </w:tc>
        <w:tc>
          <w:tcPr>
            <w:tcW w:type="pct" w:w="25%"/>
            <w:shd w:fill="FFFFFF" w:val="clear"/>
            <w:tcMar>
              <w:top w:type="dxa" w:w="80"/>
              <w:left w:type="dxa" w:w="120"/>
              <w:bottom w:type="dxa" w:w="80"/>
              <w:right w:type="dxa" w:w="120"/>
            </w:tcMar>
          </w:tcPr>
          <w:p>
            <w:r>
              <w:t>25</w:t>
            </w:r>
          </w:p>
        </w:tc>
        <w:tc>
          <w:tcPr>
            <w:tcW w:type="pct" w:w="25%"/>
            <w:shd w:fill="FFFFFF" w:val="clear"/>
            <w:tcMar>
              <w:top w:type="dxa" w:w="80"/>
              <w:left w:type="dxa" w:w="120"/>
              <w:bottom w:type="dxa" w:w="80"/>
              <w:right w:type="dxa" w:w="120"/>
            </w:tcMar>
          </w:tcPr>
          <w:p>
            <w:r>
              <w:t>155</w:t>
            </w:r>
          </w:p>
        </w:tc>
        <w:tc>
          <w:tcPr>
            <w:tcW w:type="pct" w:w="25%"/>
            <w:shd w:fill="FFFFFF" w:val="clear"/>
            <w:tcMar>
              <w:top w:type="dxa" w:w="80"/>
              <w:left w:type="dxa" w:w="120"/>
              <w:bottom w:type="dxa" w:w="80"/>
              <w:right w:type="dxa" w:w="120"/>
            </w:tcMar>
          </w:tcPr>
          <w:p>
            <w:r>
              <w:t>Audit unique domains monthly</w:t>
            </w:r>
          </w:p>
        </w:tc>
      </w:tr>
      <w:tr>
        <w:trPr>
          <w:cantSplit/>
        </w:trPr>
        <w:tc>
          <w:tcPr>
            <w:tcW w:type="pct" w:w="25%"/>
            <w:shd w:fill="E8ECEB" w:val="clear"/>
            <w:tcMar>
              <w:top w:type="dxa" w:w="80"/>
              <w:left w:type="dxa" w:w="120"/>
              <w:bottom w:type="dxa" w:w="80"/>
              <w:right w:type="dxa" w:w="120"/>
            </w:tcMar>
          </w:tcPr>
          <w:p>
            <w:r>
              <w:t>November 2026</w:t>
            </w:r>
          </w:p>
        </w:tc>
        <w:tc>
          <w:tcPr>
            <w:tcW w:type="pct" w:w="25%"/>
            <w:shd w:fill="E8ECEB" w:val="clear"/>
            <w:tcMar>
              <w:top w:type="dxa" w:w="80"/>
              <w:left w:type="dxa" w:w="120"/>
              <w:bottom w:type="dxa" w:w="80"/>
              <w:right w:type="dxa" w:w="120"/>
            </w:tcMar>
          </w:tcPr>
          <w:p>
            <w:r>
              <w:t>25</w:t>
            </w:r>
          </w:p>
        </w:tc>
        <w:tc>
          <w:tcPr>
            <w:tcW w:type="pct" w:w="25%"/>
            <w:shd w:fill="E8ECEB" w:val="clear"/>
            <w:tcMar>
              <w:top w:type="dxa" w:w="80"/>
              <w:left w:type="dxa" w:w="120"/>
              <w:bottom w:type="dxa" w:w="80"/>
              <w:right w:type="dxa" w:w="120"/>
            </w:tcMar>
          </w:tcPr>
          <w:p>
            <w:r>
              <w:t>180</w:t>
            </w:r>
          </w:p>
        </w:tc>
        <w:tc>
          <w:tcPr>
            <w:tcW w:type="pct" w:w="25%"/>
            <w:shd w:fill="E8ECEB" w:val="clear"/>
            <w:tcMar>
              <w:top w:type="dxa" w:w="80"/>
              <w:left w:type="dxa" w:w="120"/>
              <w:bottom w:type="dxa" w:w="80"/>
              <w:right w:type="dxa" w:w="120"/>
            </w:tcMar>
          </w:tcPr>
          <w:p>
            <w:r>
              <w:t>Quality and relevance over volume</w:t>
            </w:r>
          </w:p>
        </w:tc>
      </w:tr>
      <w:tr>
        <w:trPr>
          <w:cantSplit/>
        </w:trPr>
        <w:tc>
          <w:tcPr>
            <w:tcW w:type="pct" w:w="25%"/>
            <w:shd w:fill="FFFFFF" w:val="clear"/>
            <w:tcMar>
              <w:top w:type="dxa" w:w="80"/>
              <w:left w:type="dxa" w:w="120"/>
              <w:bottom w:type="dxa" w:w="80"/>
              <w:right w:type="dxa" w:w="120"/>
            </w:tcMar>
          </w:tcPr>
          <w:p>
            <w:r>
              <w:t>December 2026</w:t>
            </w:r>
          </w:p>
        </w:tc>
        <w:tc>
          <w:tcPr>
            <w:tcW w:type="pct" w:w="25%"/>
            <w:shd w:fill="FFFFFF" w:val="clear"/>
            <w:tcMar>
              <w:top w:type="dxa" w:w="80"/>
              <w:left w:type="dxa" w:w="120"/>
              <w:bottom w:type="dxa" w:w="80"/>
              <w:right w:type="dxa" w:w="120"/>
            </w:tcMar>
          </w:tcPr>
          <w:p>
            <w:r>
              <w:t>30</w:t>
            </w:r>
          </w:p>
        </w:tc>
        <w:tc>
          <w:tcPr>
            <w:tcW w:type="pct" w:w="25%"/>
            <w:shd w:fill="FFFFFF" w:val="clear"/>
            <w:tcMar>
              <w:top w:type="dxa" w:w="80"/>
              <w:left w:type="dxa" w:w="120"/>
              <w:bottom w:type="dxa" w:w="80"/>
              <w:right w:type="dxa" w:w="120"/>
            </w:tcMar>
          </w:tcPr>
          <w:p>
            <w:r>
              <w:t>210</w:t>
            </w:r>
          </w:p>
        </w:tc>
        <w:tc>
          <w:tcPr>
            <w:tcW w:type="pct" w:w="25%"/>
            <w:shd w:fill="FFFFFF" w:val="clear"/>
            <w:tcMar>
              <w:top w:type="dxa" w:w="80"/>
              <w:left w:type="dxa" w:w="120"/>
              <w:bottom w:type="dxa" w:w="80"/>
              <w:right w:type="dxa" w:w="120"/>
            </w:tcMar>
          </w:tcPr>
          <w:p>
            <w:r>
              <w:t>Base target; reforecast from actual pipeline</w:t>
            </w:r>
          </w:p>
        </w:tc>
      </w:tr>
    </w:tbl>
    <w:p>
      <w:pPr>
        <w:pStyle w:val="Heading1"/>
        <w:spacing w:after="160" w:before="360"/>
      </w:pPr>
      <w:r>
        <w:rPr>
          <w:rFonts w:ascii="Calibri" w:eastAsia="SimHei"/>
          <w:b/>
          <w:bCs/>
          <w:color w:val="0B1C2C"/>
          <w:sz w:val="32"/>
          <w:szCs w:val="32"/>
        </w:rPr>
        <w:t xml:space="preserve">7. Technical SEO &amp; E-E-A-T Checklist</w:t>
      </w:r>
    </w:p>
    <w:p>
      <w:pPr>
        <w:spacing w:after="120" w:line="312"/>
        <w:ind w:firstLine="0"/>
        <w:jc w:val="both"/>
      </w:pPr>
      <w:r>
        <w:t>The workbook contains a prioritized technical SEO and content-quality checklist. Its first action is to capture an actual performance baseline; current Core Web Vitals estimates must not be treated as measured site data until PageSpeed Insights, CrUX, and production Web Vitals are reviewed.</w:t>
      </w:r>
    </w:p>
    <w:p>
      <w:pPr>
        <w:pStyle w:val="Heading2"/>
        <w:spacing w:after="160" w:before="280"/>
      </w:pPr>
      <w:r>
        <w:rPr>
          <w:rFonts w:ascii="Calibri" w:eastAsia="SimHei"/>
          <w:b/>
          <w:bCs/>
          <w:color w:val="0B1C2C"/>
          <w:sz w:val="28"/>
          <w:szCs w:val="28"/>
        </w:rPr>
        <w:t xml:space="preserve">7.1 Core Web Vitals — The Blocking Issue</w:t>
      </w:r>
    </w:p>
    <w:p>
      <w:pPr>
        <w:spacing w:after="120" w:line="312"/>
        <w:ind w:firstLine="0"/>
        <w:jc w:val="both"/>
      </w:pPr>
      <w:r>
        <w:t>Measure production Core Web Vitals first, then work toward LCP below 2.5 seconds, CLS below 0.1, and INP below 200ms on the pages that matter most. Do not claim an estimated 4.2-second baseline or a traffic lift without the actual field-data record.</w:t>
      </w:r>
    </w:p>
    <w:p>
      <w:pPr>
        <w:pStyle w:val="Heading2"/>
        <w:spacing w:after="160" w:before="280"/>
      </w:pPr>
      <w:r>
        <w:rPr>
          <w:rFonts w:ascii="Calibri" w:eastAsia="SimHei"/>
          <w:b/>
          <w:bCs/>
          <w:color w:val="0B1C2C"/>
          <w:sz w:val="28"/>
          <w:szCs w:val="28"/>
        </w:rPr>
        <w:t xml:space="preserve">7.2 Schema Markup — Rich Result Eligibility</w:t>
      </w:r>
    </w:p>
    <w:p>
      <w:pPr>
        <w:spacing w:after="120" w:line="312"/>
        <w:ind w:firstLine="0"/>
        <w:jc w:val="both"/>
      </w:pPr>
      <w:r>
        <w:t>Prioritize Article and Breadcrumb structured data, and use VideoObject only where a relevant visible video exists. Keep FAQs helpful and user-visible, but do not use FAQPage rich-result visibility as a KPI for this commercial site. Do not allocate work to HowTo markup as a Google rich-result tactic. Validate markup and monitor coverage and CTR rather than promising a particular SERP appearance.</w:t>
      </w:r>
    </w:p>
    <w:p>
      <w:pPr>
        <w:pStyle w:val="Heading2"/>
        <w:spacing w:after="160" w:before="280"/>
      </w:pPr>
      <w:r>
        <w:rPr>
          <w:rFonts w:ascii="Calibri" w:eastAsia="SimHei"/>
          <w:b/>
          <w:bCs/>
          <w:color w:val="0B1C2C"/>
          <w:sz w:val="28"/>
          <w:szCs w:val="28"/>
        </w:rPr>
        <w:t xml:space="preserve">7.3 E-E-A-T — Establishing Creator-Business Authority</w:t>
      </w:r>
    </w:p>
    <w:p>
      <w:pPr>
        <w:spacing w:after="120" w:line="312"/>
        <w:ind w:firstLine="0"/>
        <w:jc w:val="both"/>
      </w:pPr>
      <w:r>
        <w:t>For creator-business pages, publish a clear author byline, source list, update date, review status, and an appropriate non-advice disclaimer. Expert review should cover the high-stakes claims themselves, not merely supply a generic quote; legal, tax, insurance, credit, and investment guidance must be refreshed when rules or products change.</w:t>
      </w:r>
    </w:p>
    <w:p>
      <w:pPr>
        <w:pStyle w:val="Heading2"/>
        <w:spacing w:after="160" w:before="280"/>
      </w:pPr>
      <w:r>
        <w:rPr>
          <w:rFonts w:ascii="Calibri" w:eastAsia="SimHei"/>
          <w:b/>
          <w:bCs/>
          <w:color w:val="0B1C2C"/>
          <w:sz w:val="28"/>
          <w:szCs w:val="28"/>
        </w:rPr>
        <w:t xml:space="preserve">7.4 Indexing Velocity — IndexNow for 24-Hour Bing/Yandex Indexing</w:t>
      </w:r>
    </w:p>
    <w:p>
      <w:pPr>
        <w:spacing w:after="120" w:line="312"/>
        <w:ind w:firstLine="0"/>
        <w:jc w:val="both"/>
      </w:pPr>
      <w:r>
        <w:t>IndexNow can speed submission to participating engines such as Bing, but it does not submit URLs to Google. For Google, rely on a crawlable site architecture, XML sitemap, internal linking, and Search Console monitoring. Treat 7-day indexing as a monitored target, not a promise, and investigate pages that are not indexed.</w:t>
      </w:r>
    </w:p>
    <w:p>
      <w:pPr>
        <w:pStyle w:val="Heading1"/>
        <w:spacing w:after="160" w:before="360"/>
      </w:pPr>
      <w:r>
        <w:rPr>
          <w:rFonts w:ascii="Calibri" w:eastAsia="SimHei"/>
          <w:b/>
          <w:bCs/>
          <w:color w:val="0B1C2C"/>
          <w:sz w:val="32"/>
          <w:szCs w:val="32"/>
        </w:rPr>
        <w:t xml:space="preserve">8. 6-Month Traffic &amp; Revenue Projection</w:t>
      </w:r>
    </w:p>
    <w:p>
      <w:pPr>
        <w:spacing w:after="120" w:line="312"/>
        <w:ind w:firstLine="0"/>
        <w:jc w:val="both"/>
      </w:pPr>
      <w:r>
        <w:t>The companion workbook now shows a formula-driven operational base scenario and a separate conditional stretch scenario. Revenue totals are calculated from traffic and RPM plus distinct affiliate, sponsorship, and digital-product assumptions.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gridCol w:w="100"/>
        <w:gridCol w:w="100"/>
      </w:tblGrid>
      <w:tr>
        <w:trPr>
          <w:cantSplit/>
          <w:tblHeader/>
        </w:trPr>
        <w:tc>
          <w:tcPr>
            <w:tcW w:type="pct" w:w="10%"/>
            <w:shd w:fill="529286" w:val="clear"/>
            <w:tcMar>
              <w:top w:type="dxa" w:w="80"/>
              <w:left w:type="dxa" w:w="120"/>
              <w:bottom w:type="dxa" w:w="80"/>
              <w:right w:type="dxa" w:w="120"/>
            </w:tcMar>
          </w:tcPr>
          <w:p>
            <w:r>
              <w:t>Month</w:t>
            </w:r>
          </w:p>
        </w:tc>
        <w:tc>
          <w:tcPr>
            <w:tcW w:type="pct" w:w="9%"/>
            <w:shd w:fill="529286" w:val="clear"/>
            <w:tcMar>
              <w:top w:type="dxa" w:w="80"/>
              <w:left w:type="dxa" w:w="120"/>
              <w:bottom w:type="dxa" w:w="80"/>
              <w:right w:type="dxa" w:w="120"/>
            </w:tcMar>
          </w:tcPr>
          <w:p>
            <w:r>
              <w:t>Posts (Cum)</w:t>
            </w:r>
          </w:p>
        </w:tc>
        <w:tc>
          <w:tcPr>
            <w:tcW w:type="pct" w:w="13%"/>
            <w:shd w:fill="529286" w:val="clear"/>
            <w:tcMar>
              <w:top w:type="dxa" w:w="80"/>
              <w:left w:type="dxa" w:w="120"/>
              <w:bottom w:type="dxa" w:w="80"/>
              <w:right w:type="dxa" w:w="120"/>
            </w:tcMar>
          </w:tcPr>
          <w:p>
            <w:r>
              <w:t>Monthly Traffic</w:t>
            </w:r>
          </w:p>
        </w:tc>
        <w:tc>
          <w:tcPr>
            <w:tcW w:type="pct" w:w="13%"/>
            <w:shd w:fill="529286" w:val="clear"/>
            <w:tcMar>
              <w:top w:type="dxa" w:w="80"/>
              <w:left w:type="dxa" w:w="120"/>
              <w:bottom w:type="dxa" w:w="80"/>
              <w:right w:type="dxa" w:w="120"/>
            </w:tcMar>
          </w:tcPr>
          <w:p>
            <w:r>
              <w:t>AdSense Rev</w:t>
            </w:r>
          </w:p>
        </w:tc>
        <w:tc>
          <w:tcPr>
            <w:tcW w:type="pct" w:w="13%"/>
            <w:shd w:fill="529286" w:val="clear"/>
            <w:tcMar>
              <w:top w:type="dxa" w:w="80"/>
              <w:left w:type="dxa" w:w="120"/>
              <w:bottom w:type="dxa" w:w="80"/>
              <w:right w:type="dxa" w:w="120"/>
            </w:tcMar>
          </w:tcPr>
          <w:p>
            <w:r>
              <w:t>Affiliate Rev</w:t>
            </w:r>
          </w:p>
        </w:tc>
        <w:tc>
          <w:tcPr>
            <w:tcW w:type="pct" w:w="14%"/>
            <w:shd w:fill="529286" w:val="clear"/>
            <w:tcMar>
              <w:top w:type="dxa" w:w="80"/>
              <w:left w:type="dxa" w:w="120"/>
              <w:bottom w:type="dxa" w:w="80"/>
              <w:right w:type="dxa" w:w="120"/>
            </w:tcMar>
          </w:tcPr>
          <w:p>
            <w:r>
              <w:t>Sponsorship Rev</w:t>
            </w:r>
          </w:p>
        </w:tc>
        <w:tc>
          <w:tcPr>
            <w:tcW w:type="pct" w:w="13%"/>
            <w:shd w:fill="529286" w:val="clear"/>
            <w:tcMar>
              <w:top w:type="dxa" w:w="80"/>
              <w:left w:type="dxa" w:w="120"/>
              <w:bottom w:type="dxa" w:w="80"/>
              <w:right w:type="dxa" w:w="120"/>
            </w:tcMar>
          </w:tcPr>
          <w:p>
            <w:r>
              <w:t>Total Rev (incl. digital)</w:t>
            </w:r>
          </w:p>
        </w:tc>
        <w:tc>
          <w:tcPr>
            <w:tcW w:type="pct" w:w="15%"/>
            <w:shd w:fill="529286" w:val="clear"/>
            <w:tcMar>
              <w:top w:type="dxa" w:w="80"/>
              <w:left w:type="dxa" w:w="120"/>
              <w:bottom w:type="dxa" w:w="80"/>
              <w:right w:type="dxa" w:w="120"/>
            </w:tcMar>
          </w:tcPr>
          <w:p>
            <w:r>
              <w:t>Cumulative Rev</w:t>
            </w:r>
          </w:p>
        </w:tc>
      </w:tr>
      <w:tr>
        <w:trPr>
          <w:cantSplit/>
        </w:trPr>
        <w:tc>
          <w:tcPr>
            <w:tcW w:type="pct" w:w="10%"/>
            <w:shd w:fill="E8ECEB" w:val="clear"/>
            <w:tcMar>
              <w:top w:type="dxa" w:w="80"/>
              <w:left w:type="dxa" w:w="120"/>
              <w:bottom w:type="dxa" w:w="80"/>
              <w:right w:type="dxa" w:w="120"/>
            </w:tcMar>
          </w:tcPr>
          <w:p>
            <w:r>
              <w:t>Jul 2026</w:t>
            </w:r>
          </w:p>
        </w:tc>
        <w:tc>
          <w:tcPr>
            <w:tcW w:type="pct" w:w="9%"/>
            <w:shd w:fill="E8ECEB" w:val="clear"/>
            <w:tcMar>
              <w:top w:type="dxa" w:w="80"/>
              <w:left w:type="dxa" w:w="120"/>
              <w:bottom w:type="dxa" w:w="80"/>
              <w:right w:type="dxa" w:w="120"/>
            </w:tcMar>
          </w:tcPr>
          <w:p>
            <w:r>
              <w:t>12</w:t>
            </w:r>
          </w:p>
        </w:tc>
        <w:tc>
          <w:tcPr>
            <w:tcW w:type="pct" w:w="13%"/>
            <w:shd w:fill="E8ECEB" w:val="clear"/>
            <w:tcMar>
              <w:top w:type="dxa" w:w="80"/>
              <w:left w:type="dxa" w:w="120"/>
              <w:bottom w:type="dxa" w:w="80"/>
              <w:right w:type="dxa" w:w="120"/>
            </w:tcMar>
          </w:tcPr>
          <w:p>
            <w:r>
              <w:t>18,000</w:t>
            </w:r>
          </w:p>
        </w:tc>
        <w:tc>
          <w:tcPr>
            <w:tcW w:type="pct" w:w="13%"/>
            <w:shd w:fill="E8ECEB" w:val="clear"/>
            <w:tcMar>
              <w:top w:type="dxa" w:w="80"/>
              <w:left w:type="dxa" w:w="120"/>
              <w:bottom w:type="dxa" w:w="80"/>
              <w:right w:type="dxa" w:w="120"/>
            </w:tcMar>
          </w:tcPr>
          <w:p>
            <w:r>
              <w:t>$54</w:t>
            </w:r>
          </w:p>
        </w:tc>
        <w:tc>
          <w:tcPr>
            <w:tcW w:type="pct" w:w="13%"/>
            <w:shd w:fill="E8ECEB" w:val="clear"/>
            <w:tcMar>
              <w:top w:type="dxa" w:w="80"/>
              <w:left w:type="dxa" w:w="120"/>
              <w:bottom w:type="dxa" w:w="80"/>
              <w:right w:type="dxa" w:w="120"/>
            </w:tcMar>
          </w:tcPr>
          <w:p>
            <w:r>
              <w:t>$120</w:t>
            </w:r>
          </w:p>
        </w:tc>
        <w:tc>
          <w:tcPr>
            <w:tcW w:type="pct" w:w="14%"/>
            <w:shd w:fill="E8ECEB" w:val="clear"/>
            <w:tcMar>
              <w:top w:type="dxa" w:w="80"/>
              <w:left w:type="dxa" w:w="120"/>
              <w:bottom w:type="dxa" w:w="80"/>
              <w:right w:type="dxa" w:w="120"/>
            </w:tcMar>
          </w:tcPr>
          <w:p>
            <w:r>
              <w:t>$0</w:t>
            </w:r>
          </w:p>
        </w:tc>
        <w:tc>
          <w:tcPr>
            <w:tcW w:type="pct" w:w="13%"/>
            <w:shd w:fill="E8ECEB" w:val="clear"/>
            <w:tcMar>
              <w:top w:type="dxa" w:w="80"/>
              <w:left w:type="dxa" w:w="120"/>
              <w:bottom w:type="dxa" w:w="80"/>
              <w:right w:type="dxa" w:w="120"/>
            </w:tcMar>
          </w:tcPr>
          <w:p>
            <w:r>
              <w:t>$174</w:t>
            </w:r>
          </w:p>
        </w:tc>
        <w:tc>
          <w:tcPr>
            <w:tcW w:type="pct" w:w="15%"/>
            <w:shd w:fill="E8ECEB" w:val="clear"/>
            <w:tcMar>
              <w:top w:type="dxa" w:w="80"/>
              <w:left w:type="dxa" w:w="120"/>
              <w:bottom w:type="dxa" w:w="80"/>
              <w:right w:type="dxa" w:w="120"/>
            </w:tcMar>
          </w:tcPr>
          <w:p>
            <w:r>
              <w:t>$174</w:t>
            </w:r>
          </w:p>
        </w:tc>
      </w:tr>
      <w:tr>
        <w:trPr>
          <w:cantSplit/>
        </w:trPr>
        <w:tc>
          <w:tcPr>
            <w:tcW w:type="pct" w:w="10%"/>
            <w:shd w:fill="FFFFFF" w:val="clear"/>
            <w:tcMar>
              <w:top w:type="dxa" w:w="80"/>
              <w:left w:type="dxa" w:w="120"/>
              <w:bottom w:type="dxa" w:w="80"/>
              <w:right w:type="dxa" w:w="120"/>
            </w:tcMar>
          </w:tcPr>
          <w:p>
            <w:r>
              <w:t>Aug 2026</w:t>
            </w:r>
          </w:p>
        </w:tc>
        <w:tc>
          <w:tcPr>
            <w:tcW w:type="pct" w:w="9%"/>
            <w:shd w:fill="FFFFFF" w:val="clear"/>
            <w:tcMar>
              <w:top w:type="dxa" w:w="80"/>
              <w:left w:type="dxa" w:w="120"/>
              <w:bottom w:type="dxa" w:w="80"/>
              <w:right w:type="dxa" w:w="120"/>
            </w:tcMar>
          </w:tcPr>
          <w:p>
            <w:r>
              <w:t>29</w:t>
            </w:r>
          </w:p>
        </w:tc>
        <w:tc>
          <w:tcPr>
            <w:tcW w:type="pct" w:w="13%"/>
            <w:shd w:fill="FFFFFF" w:val="clear"/>
            <w:tcMar>
              <w:top w:type="dxa" w:w="80"/>
              <w:left w:type="dxa" w:w="120"/>
              <w:bottom w:type="dxa" w:w="80"/>
              <w:right w:type="dxa" w:w="120"/>
            </w:tcMar>
          </w:tcPr>
          <w:p>
            <w:r>
              <w:t>30,000</w:t>
            </w:r>
          </w:p>
        </w:tc>
        <w:tc>
          <w:tcPr>
            <w:tcW w:type="pct" w:w="13%"/>
            <w:shd w:fill="FFFFFF" w:val="clear"/>
            <w:tcMar>
              <w:top w:type="dxa" w:w="80"/>
              <w:left w:type="dxa" w:w="120"/>
              <w:bottom w:type="dxa" w:w="80"/>
              <w:right w:type="dxa" w:w="120"/>
            </w:tcMar>
          </w:tcPr>
          <w:p>
            <w:r>
              <w:t>$120</w:t>
            </w:r>
          </w:p>
        </w:tc>
        <w:tc>
          <w:tcPr>
            <w:tcW w:type="pct" w:w="13%"/>
            <w:shd w:fill="FFFFFF" w:val="clear"/>
            <w:tcMar>
              <w:top w:type="dxa" w:w="80"/>
              <w:left w:type="dxa" w:w="120"/>
              <w:bottom w:type="dxa" w:w="80"/>
              <w:right w:type="dxa" w:w="120"/>
            </w:tcMar>
          </w:tcPr>
          <w:p>
            <w:r>
              <w:t>$250</w:t>
            </w:r>
          </w:p>
        </w:tc>
        <w:tc>
          <w:tcPr>
            <w:tcW w:type="pct" w:w="14%"/>
            <w:shd w:fill="FFFFFF" w:val="clear"/>
            <w:tcMar>
              <w:top w:type="dxa" w:w="80"/>
              <w:left w:type="dxa" w:w="120"/>
              <w:bottom w:type="dxa" w:w="80"/>
              <w:right w:type="dxa" w:w="120"/>
            </w:tcMar>
          </w:tcPr>
          <w:p>
            <w:r>
              <w:t>$0</w:t>
            </w:r>
          </w:p>
        </w:tc>
        <w:tc>
          <w:tcPr>
            <w:tcW w:type="pct" w:w="13%"/>
            <w:shd w:fill="FFFFFF" w:val="clear"/>
            <w:tcMar>
              <w:top w:type="dxa" w:w="80"/>
              <w:left w:type="dxa" w:w="120"/>
              <w:bottom w:type="dxa" w:w="80"/>
              <w:right w:type="dxa" w:w="120"/>
            </w:tcMar>
          </w:tcPr>
          <w:p>
            <w:r>
              <w:t>$370</w:t>
            </w:r>
          </w:p>
        </w:tc>
        <w:tc>
          <w:tcPr>
            <w:tcW w:type="pct" w:w="15%"/>
            <w:shd w:fill="FFFFFF" w:val="clear"/>
            <w:tcMar>
              <w:top w:type="dxa" w:w="80"/>
              <w:left w:type="dxa" w:w="120"/>
              <w:bottom w:type="dxa" w:w="80"/>
              <w:right w:type="dxa" w:w="120"/>
            </w:tcMar>
          </w:tcPr>
          <w:p>
            <w:r>
              <w:t>$544</w:t>
            </w:r>
          </w:p>
        </w:tc>
      </w:tr>
      <w:tr>
        <w:trPr>
          <w:cantSplit/>
        </w:trPr>
        <w:tc>
          <w:tcPr>
            <w:tcW w:type="pct" w:w="10%"/>
            <w:shd w:fill="E8ECEB" w:val="clear"/>
            <w:tcMar>
              <w:top w:type="dxa" w:w="80"/>
              <w:left w:type="dxa" w:w="120"/>
              <w:bottom w:type="dxa" w:w="80"/>
              <w:right w:type="dxa" w:w="120"/>
            </w:tcMar>
          </w:tcPr>
          <w:p>
            <w:r>
              <w:t>Sep 2026</w:t>
            </w:r>
          </w:p>
        </w:tc>
        <w:tc>
          <w:tcPr>
            <w:tcW w:type="pct" w:w="9%"/>
            <w:shd w:fill="E8ECEB" w:val="clear"/>
            <w:tcMar>
              <w:top w:type="dxa" w:w="80"/>
              <w:left w:type="dxa" w:w="120"/>
              <w:bottom w:type="dxa" w:w="80"/>
              <w:right w:type="dxa" w:w="120"/>
            </w:tcMar>
          </w:tcPr>
          <w:p>
            <w:r>
              <w:t>47</w:t>
            </w:r>
          </w:p>
        </w:tc>
        <w:tc>
          <w:tcPr>
            <w:tcW w:type="pct" w:w="13%"/>
            <w:shd w:fill="E8ECEB" w:val="clear"/>
            <w:tcMar>
              <w:top w:type="dxa" w:w="80"/>
              <w:left w:type="dxa" w:w="120"/>
              <w:bottom w:type="dxa" w:w="80"/>
              <w:right w:type="dxa" w:w="120"/>
            </w:tcMar>
          </w:tcPr>
          <w:p>
            <w:r>
              <w:t>50,000</w:t>
            </w:r>
          </w:p>
        </w:tc>
        <w:tc>
          <w:tcPr>
            <w:tcW w:type="pct" w:w="13%"/>
            <w:shd w:fill="E8ECEB" w:val="clear"/>
            <w:tcMar>
              <w:top w:type="dxa" w:w="80"/>
              <w:left w:type="dxa" w:w="120"/>
              <w:bottom w:type="dxa" w:w="80"/>
              <w:right w:type="dxa" w:w="120"/>
            </w:tcMar>
          </w:tcPr>
          <w:p>
            <w:r>
              <w:t>$250</w:t>
            </w:r>
          </w:p>
        </w:tc>
        <w:tc>
          <w:tcPr>
            <w:tcW w:type="pct" w:w="13%"/>
            <w:shd w:fill="E8ECEB" w:val="clear"/>
            <w:tcMar>
              <w:top w:type="dxa" w:w="80"/>
              <w:left w:type="dxa" w:w="120"/>
              <w:bottom w:type="dxa" w:w="80"/>
              <w:right w:type="dxa" w:w="120"/>
            </w:tcMar>
          </w:tcPr>
          <w:p>
            <w:r>
              <w:t>$500</w:t>
            </w:r>
          </w:p>
        </w:tc>
        <w:tc>
          <w:tcPr>
            <w:tcW w:type="pct" w:w="14%"/>
            <w:shd w:fill="E8ECEB" w:val="clear"/>
            <w:tcMar>
              <w:top w:type="dxa" w:w="80"/>
              <w:left w:type="dxa" w:w="120"/>
              <w:bottom w:type="dxa" w:w="80"/>
              <w:right w:type="dxa" w:w="120"/>
            </w:tcMar>
          </w:tcPr>
          <w:p>
            <w:r>
              <w:t>$0</w:t>
            </w:r>
          </w:p>
        </w:tc>
        <w:tc>
          <w:tcPr>
            <w:tcW w:type="pct" w:w="13%"/>
            <w:shd w:fill="E8ECEB" w:val="clear"/>
            <w:tcMar>
              <w:top w:type="dxa" w:w="80"/>
              <w:left w:type="dxa" w:w="120"/>
              <w:bottom w:type="dxa" w:w="80"/>
              <w:right w:type="dxa" w:w="120"/>
            </w:tcMar>
          </w:tcPr>
          <w:p>
            <w:r>
              <w:t>$750</w:t>
            </w:r>
          </w:p>
        </w:tc>
        <w:tc>
          <w:tcPr>
            <w:tcW w:type="pct" w:w="15%"/>
            <w:shd w:fill="E8ECEB" w:val="clear"/>
            <w:tcMar>
              <w:top w:type="dxa" w:w="80"/>
              <w:left w:type="dxa" w:w="120"/>
              <w:bottom w:type="dxa" w:w="80"/>
              <w:right w:type="dxa" w:w="120"/>
            </w:tcMar>
          </w:tcPr>
          <w:p>
            <w:r>
              <w:t>$1,294</w:t>
            </w:r>
          </w:p>
        </w:tc>
      </w:tr>
      <w:tr>
        <w:trPr>
          <w:cantSplit/>
        </w:trPr>
        <w:tc>
          <w:tcPr>
            <w:tcW w:type="pct" w:w="10%"/>
            <w:shd w:fill="FFFFFF" w:val="clear"/>
            <w:tcMar>
              <w:top w:type="dxa" w:w="80"/>
              <w:left w:type="dxa" w:w="120"/>
              <w:bottom w:type="dxa" w:w="80"/>
              <w:right w:type="dxa" w:w="120"/>
            </w:tcMar>
          </w:tcPr>
          <w:p>
            <w:r>
              <w:t>Oct 2026</w:t>
            </w:r>
          </w:p>
        </w:tc>
        <w:tc>
          <w:tcPr>
            <w:tcW w:type="pct" w:w="9%"/>
            <w:shd w:fill="FFFFFF" w:val="clear"/>
            <w:tcMar>
              <w:top w:type="dxa" w:w="80"/>
              <w:left w:type="dxa" w:w="120"/>
              <w:bottom w:type="dxa" w:w="80"/>
              <w:right w:type="dxa" w:w="120"/>
            </w:tcMar>
          </w:tcPr>
          <w:p>
            <w:r>
              <w:t>64</w:t>
            </w:r>
          </w:p>
        </w:tc>
        <w:tc>
          <w:tcPr>
            <w:tcW w:type="pct" w:w="13%"/>
            <w:shd w:fill="FFFFFF" w:val="clear"/>
            <w:tcMar>
              <w:top w:type="dxa" w:w="80"/>
              <w:left w:type="dxa" w:w="120"/>
              <w:bottom w:type="dxa" w:w="80"/>
              <w:right w:type="dxa" w:w="120"/>
            </w:tcMar>
          </w:tcPr>
          <w:p>
            <w:r>
              <w:t>80,000</w:t>
            </w:r>
          </w:p>
        </w:tc>
        <w:tc>
          <w:tcPr>
            <w:tcW w:type="pct" w:w="13%"/>
            <w:shd w:fill="FFFFFF" w:val="clear"/>
            <w:tcMar>
              <w:top w:type="dxa" w:w="80"/>
              <w:left w:type="dxa" w:w="120"/>
              <w:bottom w:type="dxa" w:w="80"/>
              <w:right w:type="dxa" w:w="120"/>
            </w:tcMar>
          </w:tcPr>
          <w:p>
            <w:r>
              <w:t>$560</w:t>
            </w:r>
          </w:p>
        </w:tc>
        <w:tc>
          <w:tcPr>
            <w:tcW w:type="pct" w:w="13%"/>
            <w:shd w:fill="FFFFFF" w:val="clear"/>
            <w:tcMar>
              <w:top w:type="dxa" w:w="80"/>
              <w:left w:type="dxa" w:w="120"/>
              <w:bottom w:type="dxa" w:w="80"/>
              <w:right w:type="dxa" w:w="120"/>
            </w:tcMar>
          </w:tcPr>
          <w:p>
            <w:r>
              <w:t>$1,000</w:t>
            </w:r>
          </w:p>
        </w:tc>
        <w:tc>
          <w:tcPr>
            <w:tcW w:type="pct" w:w="14%"/>
            <w:shd w:fill="FFFFFF" w:val="clear"/>
            <w:tcMar>
              <w:top w:type="dxa" w:w="80"/>
              <w:left w:type="dxa" w:w="120"/>
              <w:bottom w:type="dxa" w:w="80"/>
              <w:right w:type="dxa" w:w="120"/>
            </w:tcMar>
          </w:tcPr>
          <w:p>
            <w:r>
              <w:t>$600</w:t>
            </w:r>
          </w:p>
        </w:tc>
        <w:tc>
          <w:tcPr>
            <w:tcW w:type="pct" w:w="13%"/>
            <w:shd w:fill="FFFFFF" w:val="clear"/>
            <w:tcMar>
              <w:top w:type="dxa" w:w="80"/>
              <w:left w:type="dxa" w:w="120"/>
              <w:bottom w:type="dxa" w:w="80"/>
              <w:right w:type="dxa" w:w="120"/>
            </w:tcMar>
          </w:tcPr>
          <w:p>
            <w:r>
              <w:t>$2,160</w:t>
            </w:r>
          </w:p>
        </w:tc>
        <w:tc>
          <w:tcPr>
            <w:tcW w:type="pct" w:w="15%"/>
            <w:shd w:fill="FFFFFF" w:val="clear"/>
            <w:tcMar>
              <w:top w:type="dxa" w:w="80"/>
              <w:left w:type="dxa" w:w="120"/>
              <w:bottom w:type="dxa" w:w="80"/>
              <w:right w:type="dxa" w:w="120"/>
            </w:tcMar>
          </w:tcPr>
          <w:p>
            <w:r>
              <w:t>$3,454</w:t>
            </w:r>
          </w:p>
        </w:tc>
      </w:tr>
      <w:tr>
        <w:trPr>
          <w:cantSplit/>
        </w:trPr>
        <w:tc>
          <w:tcPr>
            <w:tcW w:type="pct" w:w="10%"/>
            <w:shd w:fill="E8ECEB" w:val="clear"/>
            <w:tcMar>
              <w:top w:type="dxa" w:w="80"/>
              <w:left w:type="dxa" w:w="120"/>
              <w:bottom w:type="dxa" w:w="80"/>
              <w:right w:type="dxa" w:w="120"/>
            </w:tcMar>
          </w:tcPr>
          <w:p>
            <w:r>
              <w:t>Nov 2026</w:t>
            </w:r>
          </w:p>
        </w:tc>
        <w:tc>
          <w:tcPr>
            <w:tcW w:type="pct" w:w="9%"/>
            <w:shd w:fill="E8ECEB" w:val="clear"/>
            <w:tcMar>
              <w:top w:type="dxa" w:w="80"/>
              <w:left w:type="dxa" w:w="120"/>
              <w:bottom w:type="dxa" w:w="80"/>
              <w:right w:type="dxa" w:w="120"/>
            </w:tcMar>
          </w:tcPr>
          <w:p>
            <w:r>
              <w:t>81</w:t>
            </w:r>
          </w:p>
        </w:tc>
        <w:tc>
          <w:tcPr>
            <w:tcW w:type="pct" w:w="13%"/>
            <w:shd w:fill="E8ECEB" w:val="clear"/>
            <w:tcMar>
              <w:top w:type="dxa" w:w="80"/>
              <w:left w:type="dxa" w:w="120"/>
              <w:bottom w:type="dxa" w:w="80"/>
              <w:right w:type="dxa" w:w="120"/>
            </w:tcMar>
          </w:tcPr>
          <w:p>
            <w:r>
              <w:t>120,000</w:t>
            </w:r>
          </w:p>
        </w:tc>
        <w:tc>
          <w:tcPr>
            <w:tcW w:type="pct" w:w="13%"/>
            <w:shd w:fill="E8ECEB" w:val="clear"/>
            <w:tcMar>
              <w:top w:type="dxa" w:w="80"/>
              <w:left w:type="dxa" w:w="120"/>
              <w:bottom w:type="dxa" w:w="80"/>
              <w:right w:type="dxa" w:w="120"/>
            </w:tcMar>
          </w:tcPr>
          <w:p>
            <w:r>
              <w:t>$1,080</w:t>
            </w:r>
          </w:p>
        </w:tc>
        <w:tc>
          <w:tcPr>
            <w:tcW w:type="pct" w:w="13%"/>
            <w:shd w:fill="E8ECEB" w:val="clear"/>
            <w:tcMar>
              <w:top w:type="dxa" w:w="80"/>
              <w:left w:type="dxa" w:w="120"/>
              <w:bottom w:type="dxa" w:w="80"/>
              <w:right w:type="dxa" w:w="120"/>
            </w:tcMar>
          </w:tcPr>
          <w:p>
            <w:r>
              <w:t>$2,000</w:t>
            </w:r>
          </w:p>
        </w:tc>
        <w:tc>
          <w:tcPr>
            <w:tcW w:type="pct" w:w="14%"/>
            <w:shd w:fill="E8ECEB" w:val="clear"/>
            <w:tcMar>
              <w:top w:type="dxa" w:w="80"/>
              <w:left w:type="dxa" w:w="120"/>
              <w:bottom w:type="dxa" w:w="80"/>
              <w:right w:type="dxa" w:w="120"/>
            </w:tcMar>
          </w:tcPr>
          <w:p>
            <w:r>
              <w:t>$1,000</w:t>
            </w:r>
          </w:p>
        </w:tc>
        <w:tc>
          <w:tcPr>
            <w:tcW w:type="pct" w:w="13%"/>
            <w:shd w:fill="E8ECEB" w:val="clear"/>
            <w:tcMar>
              <w:top w:type="dxa" w:w="80"/>
              <w:left w:type="dxa" w:w="120"/>
              <w:bottom w:type="dxa" w:w="80"/>
              <w:right w:type="dxa" w:w="120"/>
            </w:tcMar>
          </w:tcPr>
          <w:p>
            <w:r>
              <w:t>$4,330</w:t>
            </w:r>
          </w:p>
        </w:tc>
        <w:tc>
          <w:tcPr>
            <w:tcW w:type="pct" w:w="15%"/>
            <w:shd w:fill="E8ECEB" w:val="clear"/>
            <w:tcMar>
              <w:top w:type="dxa" w:w="80"/>
              <w:left w:type="dxa" w:w="120"/>
              <w:bottom w:type="dxa" w:w="80"/>
              <w:right w:type="dxa" w:w="120"/>
            </w:tcMar>
          </w:tcPr>
          <w:p>
            <w:r>
              <w:t>$7,784</w:t>
            </w:r>
          </w:p>
        </w:tc>
      </w:tr>
      <w:tr>
        <w:trPr>
          <w:cantSplit/>
        </w:trPr>
        <w:tc>
          <w:tcPr>
            <w:tcW w:type="pct" w:w="10%"/>
            <w:shd w:fill="FFFFFF" w:val="clear"/>
            <w:tcMar>
              <w:top w:type="dxa" w:w="80"/>
              <w:left w:type="dxa" w:w="120"/>
              <w:bottom w:type="dxa" w:w="80"/>
              <w:right w:type="dxa" w:w="120"/>
            </w:tcMar>
          </w:tcPr>
          <w:p>
            <w:r>
              <w:t>Dec 2026</w:t>
            </w:r>
          </w:p>
        </w:tc>
        <w:tc>
          <w:tcPr>
            <w:tcW w:type="pct" w:w="9%"/>
            <w:shd w:fill="FFFFFF" w:val="clear"/>
            <w:tcMar>
              <w:top w:type="dxa" w:w="80"/>
              <w:left w:type="dxa" w:w="120"/>
              <w:bottom w:type="dxa" w:w="80"/>
              <w:right w:type="dxa" w:w="120"/>
            </w:tcMar>
          </w:tcPr>
          <w:p>
            <w:r>
              <w:t>96</w:t>
            </w:r>
          </w:p>
        </w:tc>
        <w:tc>
          <w:tcPr>
            <w:tcW w:type="pct" w:w="13%"/>
            <w:shd w:fill="FFFFFF" w:val="clear"/>
            <w:tcMar>
              <w:top w:type="dxa" w:w="80"/>
              <w:left w:type="dxa" w:w="120"/>
              <w:bottom w:type="dxa" w:w="80"/>
              <w:right w:type="dxa" w:w="120"/>
            </w:tcMar>
          </w:tcPr>
          <w:p>
            <w:r>
              <w:t>180,000</w:t>
            </w:r>
          </w:p>
        </w:tc>
        <w:tc>
          <w:tcPr>
            <w:tcW w:type="pct" w:w="13%"/>
            <w:shd w:fill="FFFFFF" w:val="clear"/>
            <w:tcMar>
              <w:top w:type="dxa" w:w="80"/>
              <w:left w:type="dxa" w:w="120"/>
              <w:bottom w:type="dxa" w:w="80"/>
              <w:right w:type="dxa" w:w="120"/>
            </w:tcMar>
          </w:tcPr>
          <w:p>
            <w:r>
              <w:t>$1,800</w:t>
            </w:r>
          </w:p>
        </w:tc>
        <w:tc>
          <w:tcPr>
            <w:tcW w:type="pct" w:w="13%"/>
            <w:shd w:fill="FFFFFF" w:val="clear"/>
            <w:tcMar>
              <w:top w:type="dxa" w:w="80"/>
              <w:left w:type="dxa" w:w="120"/>
              <w:bottom w:type="dxa" w:w="80"/>
              <w:right w:type="dxa" w:w="120"/>
            </w:tcMar>
          </w:tcPr>
          <w:p>
            <w:r>
              <w:t>$3,000</w:t>
            </w:r>
          </w:p>
        </w:tc>
        <w:tc>
          <w:tcPr>
            <w:tcW w:type="pct" w:w="14%"/>
            <w:shd w:fill="FFFFFF" w:val="clear"/>
            <w:tcMar>
              <w:top w:type="dxa" w:w="80"/>
              <w:left w:type="dxa" w:w="120"/>
              <w:bottom w:type="dxa" w:w="80"/>
              <w:right w:type="dxa" w:w="120"/>
            </w:tcMar>
          </w:tcPr>
          <w:p>
            <w:r>
              <w:t>$2,000</w:t>
            </w:r>
          </w:p>
        </w:tc>
        <w:tc>
          <w:tcPr>
            <w:tcW w:type="pct" w:w="13%"/>
            <w:shd w:fill="FFFFFF" w:val="clear"/>
            <w:tcMar>
              <w:top w:type="dxa" w:w="80"/>
              <w:left w:type="dxa" w:w="120"/>
              <w:bottom w:type="dxa" w:w="80"/>
              <w:right w:type="dxa" w:w="120"/>
            </w:tcMar>
          </w:tcPr>
          <w:p>
            <w:r>
              <w:t>$7,300</w:t>
            </w:r>
          </w:p>
        </w:tc>
        <w:tc>
          <w:tcPr>
            <w:tcW w:type="pct" w:w="15%"/>
            <w:shd w:fill="FFFFFF" w:val="clear"/>
            <w:tcMar>
              <w:top w:type="dxa" w:w="80"/>
              <w:left w:type="dxa" w:w="120"/>
              <w:bottom w:type="dxa" w:w="80"/>
              <w:right w:type="dxa" w:w="120"/>
            </w:tcMar>
          </w:tcPr>
          <w:p>
            <w:r>
              <w:t>$15,084</w:t>
            </w:r>
          </w:p>
        </w:tc>
      </w:tr>
    </w:tbl>
    <w:p>
      <w:pPr>
        <w:pStyle w:val="Heading2"/>
        <w:spacing w:after="160" w:before="280"/>
      </w:pPr>
      <w:r>
        <w:rPr>
          <w:rFonts w:ascii="Calibri" w:eastAsia="SimHei"/>
          <w:b/>
          <w:bCs/>
          <w:color w:val="0B1C2C"/>
          <w:sz w:val="28"/>
          <w:szCs w:val="28"/>
        </w:rPr>
        <w:t xml:space="preserve">8.1 Why the 54x Traffic Growth Is Achievable</w:t>
      </w:r>
    </w:p>
    <w:p>
      <w:pPr>
        <w:spacing w:after="120" w:line="312"/>
        <w:ind w:firstLine="0"/>
        <w:jc w:val="both"/>
      </w:pPr>
      <w:r>
        <w:t>The base model assumes growth from 12,000 to 180,000 monthly views by December (15x), supported by 96 posts, disciplined linking, technical work, and a quality authority program. The 650,000-view figure remains an upside scenario that requires much faster rankings and authority gains than the base plan and must not drive hiring or spending decisions without evidence.</w:t>
      </w:r>
    </w:p>
    <w:p>
      <w:pPr>
        <w:pStyle w:val="Heading2"/>
        <w:spacing w:after="160" w:before="280"/>
      </w:pPr>
      <w:r>
        <w:rPr>
          <w:rFonts w:ascii="Calibri" w:eastAsia="SimHei"/>
          <w:b/>
          <w:bCs/>
          <w:color w:val="0B1C2C"/>
          <w:sz w:val="28"/>
          <w:szCs w:val="28"/>
        </w:rPr>
        <w:t xml:space="preserve">8.2 Why the 18x CPC Lift Is Achievable</w:t>
      </w:r>
    </w:p>
    <w:p>
      <w:pPr>
        <w:spacing w:after="120" w:line="312"/>
        <w:ind w:firstLine="0"/>
        <w:jc w:val="both"/>
      </w:pPr>
      <w:r>
        <w:t>CPC and RPM are related only indirectly. The calendar uses keyword CPC as a commercial-intent proxy, while the forecast calculates AdSense revenue from page views and RPM. V2 therefore removes claims that a topical CPC mix mechanically produces a particular RPM or revenue outcome.</w:t>
      </w:r>
    </w:p>
    <w:p>
      <w:pPr>
        <w:pStyle w:val="Heading1"/>
        <w:spacing w:after="160" w:before="360"/>
      </w:pPr>
      <w:r>
        <w:rPr>
          <w:rFonts w:ascii="Calibri" w:eastAsia="SimHei"/>
          <w:b/>
          <w:bCs/>
          <w:color w:val="0B1C2C"/>
          <w:sz w:val="32"/>
          <w:szCs w:val="32"/>
        </w:rPr>
        <w:t xml:space="preserve">9. Execution Roadmap — What to Do in Week 1</w:t>
      </w:r>
    </w:p>
    <w:p>
      <w:pPr>
        <w:spacing w:after="120" w:line="312"/>
        <w:ind w:firstLine="0"/>
        <w:jc w:val="both"/>
      </w:pPr>
      <w:r>
        <w:t>The full 96-post calendar remains in Sheet 2. Week 1 should establish the operating controls as well as publish content: create a source/reviewer workflow, map pillar links, confirm current performance baselines, and ensure every planned post has a clear release gate.</w:t>
      </w:r>
    </w:p>
    <w:p>
      <w:pPr>
        <w:pStyle w:val="ListParagraph"/>
        <w:numPr>
          <w:ilvl w:val="0"/>
          <w:numId w:val="1"/>
        </w:numPr>
        <w:spacing w:after="80" w:line="312"/>
      </w:pPr>
      <w:r>
        <w:rPr>
          <w:rFonts w:ascii="Calibri" w:eastAsia="Microsoft YaHei"/>
          <w:color w:val="1A1A1A"/>
          <w:sz w:val="22"/>
          <w:szCs w:val="22"/>
        </w:rPr>
        <w:t xml:space="preserve">Publish Post #1 ("How to Calculate YouTube Ad Revenue: Complete Formula Breakdown") on Monday July 13. Target 2,200 words. Embed the Earnings Calculator. Add Article + FAQ schema. Submit to GSC + IndexNow.</w:t>
      </w:r>
    </w:p>
    <w:p>
      <w:pPr>
        <w:pStyle w:val="ListParagraph"/>
        <w:numPr>
          <w:ilvl w:val="0"/>
          <w:numId w:val="1"/>
        </w:numPr>
        <w:spacing w:after="80" w:line="312"/>
      </w:pPr>
      <w:r>
        <w:t>Do not publish the LLC-vs-sole-proprietor post until its state-specific claims have primary citations and an appropriately qualified reviewer. If that gate cannot be met in Week 1, publish a lower-risk scheduled post instead and keep the LLC article in 'Needs SME review' status.</w:t>
      </w:r>
    </w:p>
    <w:p>
      <w:pPr>
        <w:pStyle w:val="ListParagraph"/>
        <w:numPr>
          <w:ilvl w:val="0"/>
          <w:numId w:val="1"/>
        </w:numPr>
        <w:spacing w:after="80" w:line="312"/>
      </w:pPr>
      <w:r>
        <w:rPr>
          <w:rFonts w:ascii="Calibri" w:eastAsia="Microsoft YaHei"/>
          <w:color w:val="1A1A1A"/>
          <w:sz w:val="22"/>
          <w:szCs w:val="22"/>
        </w:rPr>
        <w:t xml:space="preserve">Publish Post #3 ("Best YouTube Analytics Tools for Serious Creators") on Wednesday July 15. Target 2,000 words. Include comparison table. Add affiliate links to TubeBuddy, vidIQ, Semrush.</w:t>
      </w:r>
    </w:p>
    <w:p>
      <w:pPr>
        <w:pStyle w:val="ListParagraph"/>
        <w:numPr>
          <w:ilvl w:val="0"/>
          <w:numId w:val="1"/>
        </w:numPr>
        <w:spacing w:after="80" w:line="312"/>
      </w:pPr>
      <w:r>
        <w:rPr>
          <w:rFonts w:ascii="Calibri" w:eastAsia="Microsoft YaHei"/>
          <w:color w:val="1A1A1A"/>
          <w:sz w:val="22"/>
          <w:szCs w:val="22"/>
        </w:rPr>
        <w:t xml:space="preserve">Publish Post #4 ("YouTube Channel Growth Blueprint: 0 to 10K Subscribers in 90 Days") on Thursday July 16. Target 2,400 words. Link to Video Ideas Generator and existing algorithm posts.</w:t>
      </w:r>
    </w:p>
    <w:p>
      <w:pPr>
        <w:pStyle w:val="ListParagraph"/>
        <w:numPr>
          <w:ilvl w:val="0"/>
          <w:numId w:val="1"/>
        </w:numPr>
        <w:spacing w:after="80" w:line="312"/>
      </w:pPr>
      <w:r>
        <w:t>In parallel, capture actual PageSpeed, CrUX, Search Console, AdSense, and referral-domain baselines. Then complete the highest-confidence technical actions: Article/Breadcrumb implementation, CDN/image improvements where the audit supports them, and XML sitemap plus Search Console checks.</w:t>
      </w:r>
    </w:p>
    <w:p>
      <w:pPr>
        <w:pStyle w:val="ListParagraph"/>
        <w:numPr>
          <w:ilvl w:val="0"/>
          <w:numId w:val="1"/>
        </w:numPr>
        <w:spacing w:after="80" w:line="312"/>
      </w:pPr>
      <w:r>
        <w:t>Begin journalist-request monitoring only with a tracked response workflow and a clear expert bio. Send high-quality, relevant responses; measure pitches sent, replies, placements, and unique earned referring domains before setting a scaled link target.</w:t>
      </w:r>
    </w:p>
    <w:p>
      <w:pPr>
        <w:pStyle w:val="Heading1"/>
        <w:spacing w:after="160" w:before="360"/>
      </w:pPr>
      <w:r>
        <w:rPr>
          <w:rFonts w:ascii="Calibri" w:eastAsia="SimHei"/>
          <w:b/>
          <w:bCs/>
          <w:color w:val="0B1C2C"/>
          <w:sz w:val="32"/>
          <w:szCs w:val="32"/>
        </w:rPr>
        <w:t xml:space="preserve">10. Conclusion &amp; Next Steps</w:t>
      </w:r>
    </w:p>
    <w:p>
      <w:pPr>
        <w:spacing w:after="120" w:line="312"/>
        <w:ind w:firstLine="0"/>
        <w:jc w:val="both"/>
      </w:pPr>
      <w:r>
        <w:t>YouTube Tools Hub has a credible opportunity in the creator-economy space, but the original $60,000 monthly-revenue promise is not supported by its stated traffic, RPM, and revenue assumptions. This v2 provides a $7,300 December operating base case and a mathematically reconciled $23,510 conditional stretch scenario, while retaining the 96-post plan and its commercial-intent focus.</w:t>
      </w:r>
    </w:p>
    <w:p>
      <w:pPr>
        <w:spacing w:after="120" w:line="312"/>
        <w:ind w:firstLine="0"/>
        <w:jc w:val="both"/>
      </w:pPr>
      <w:r>
        <w:t>The revised plan is not a guarantee. It converts the largest assumptions into measurable gates: actual RPM, publication pace, GSC impressions and rankings, attributed affiliate revenue, sponsorship pipeline, qualified referring domains, and SME-review capacity. Reforecast at the end of August, October, and November before escalating spend or commitments.</w:t>
      </w:r>
    </w:p>
    <w:p>
      <w:pPr>
        <w:spacing w:after="120" w:line="312"/>
        <w:ind w:firstLine="0"/>
        <w:jc w:val="both"/>
      </w:pPr>
      <w:r>
        <w:t>Begin Week 1 execution with the revised calendar controls in place. Treat the Excel workbook as the operational source of truth, update actuals weekly, and use the new v2 decision-log sheet to record the 30/60/90-day reforecast decisions.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6060"/>
        <w:sz w:val="18"/>
        <w:szCs w:val="18"/>
      </w:rPr>
      <w:t xml:space="preserve">Page </w:t>
    </w:r>
    <w:r>
      <w:rPr>
        <w:rFonts w:ascii="Calibri"/>
        <w:color w:val="606060"/>
        <w:sz w:val="18"/>
        <w:szCs w:val="18"/>
      </w:rPr>
      <w:fldChar w:fldCharType="begin"/>
      <w:instrText xml:space="preserve">PAGE</w:instrText>
      <w:fldChar w:fldCharType="separate"/>
      <w:fldChar w:fldCharType="end"/>
    </w:r>
    <w:r>
      <w:rPr>
        <w:rFonts w:ascii="Calibri"/>
        <w:color w:val="606060"/>
        <w:sz w:val="18"/>
        <w:szCs w:val="18"/>
      </w:rPr>
      <w:t xml:space="preserve"> of </w:t>
    </w:r>
    <w:r>
      <w:rPr>
        <w:rFonts w:ascii="Calibri"/>
        <w:color w:val="606060"/>
        <w:sz w:val="18"/>
        <w:szCs w:val="18"/>
      </w:rPr>
      <w:fldChar w:fldCharType="begin"/>
      <w:instrText xml:space="preserve">NUMPAGES</w:instrText>
      <w:fldChar w:fldCharType="separate"/>
      <w:fldChar w:fldCharType="end"/>
    </w:r>
    <w:r>
      <w:rPr>
        <w:rFonts w:ascii="Calibri"/>
        <w:color w:val="606060"/>
        <w:sz w:val="18"/>
        <w:szCs w:val="18"/>
      </w:rPr>
      <w:t xml:space="preserve">    •    Z.ai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jc w:val="right"/>
    </w:pPr>
    <w:r>
      <w:rPr>
        <w:rFonts w:ascii="Calibri" w:eastAsia="Microsoft YaHei"/>
        <w:color w:val="606060"/>
        <w:sz w:val="18"/>
        <w:szCs w:val="18"/>
      </w:rPr>
      <w:t xml:space="preserve">YouTube Tools Hub — 6-Month High-CPC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eastAsia="SimHei"/>
      <w:b/>
      <w:bCs/>
      <w:color w:val="0B1C2C"/>
      <w:sz w:val="32"/>
      <w:szCs w:val="32"/>
    </w:rPr>
  </w:style>
  <w:style w:type="paragraph" w:styleId="Heading2">
    <w:name w:val="Heading 2"/>
    <w:basedOn w:val="Normal"/>
    <w:next w:val="Normal"/>
    <w:qFormat/>
    <w:pPr>
      <w:spacing w:after="140" w:before="280"/>
    </w:pPr>
    <w:rPr>
      <w:rFonts w:ascii="Calibri" w:eastAsia="SimHei"/>
      <w:b/>
      <w:bCs/>
      <w:color w:val="0B1C2C"/>
      <w:sz w:val="28"/>
      <w:szCs w:val="28"/>
    </w:rPr>
  </w:style>
  <w:style w:type="paragraph" w:styleId="Heading3">
    <w:name w:val="Heading 3"/>
    <w:basedOn w:val="Normal"/>
    <w:next w:val="Normal"/>
    <w:qFormat/>
    <w:pPr>
      <w:spacing w:after="120" w:before="220"/>
    </w:pPr>
    <w:rPr>
      <w:rFonts w:ascii="Calibri" w:eastAsia="SimHei"/>
      <w:b/>
      <w:bCs/>
      <w:color w:val="0B1C2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Tools Hub — 6-Month High-CPC Content Strategy</dc:title>
  <dc:creator>Z.ai</dc:creator>
  <dc:description>Strategic content plan for www.youtubetoolshub.com — Jul to Dec 2026</dc:description>
  <cp:lastModifiedBy>Un-named</cp:lastModifiedBy>
  <cp:revision>1</cp:revision>
  <dcterms:created xsi:type="dcterms:W3CDTF">2026-07-11T15:44:52.970Z</dcterms:created>
  <dcterms:modified xsi:type="dcterms:W3CDTF">2026-07-11T15:44:52.970Z</dcterms:modified>
</cp:coreProperties>
</file>

<file path=docProps/custom.xml><?xml version="1.0" encoding="utf-8"?>
<Properties xmlns="http://schemas.openxmlformats.org/officeDocument/2006/custom-properties" xmlns:vt="http://schemas.openxmlformats.org/officeDocument/2006/docPropsVTypes"/>
</file>