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835C" w14:textId="7AFED695" w:rsidR="0028408C" w:rsidRPr="00482219" w:rsidRDefault="0028408C">
      <w:pPr>
        <w:rPr>
          <w:b/>
          <w:bCs/>
        </w:rPr>
      </w:pPr>
      <w:r w:rsidRPr="00482219">
        <w:rPr>
          <w:b/>
          <w:bCs/>
        </w:rPr>
        <w:t>Conflict in Libya Across Time</w:t>
      </w:r>
    </w:p>
    <w:p w14:paraId="71C6010A" w14:textId="724FDCD3" w:rsidR="0023219A" w:rsidRDefault="00685EEB">
      <w:r w:rsidRPr="00685EEB">
        <w:drawing>
          <wp:inline distT="0" distB="0" distL="0" distR="0" wp14:anchorId="6C88C23C" wp14:editId="1044596D">
            <wp:extent cx="2892722" cy="18002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8661" cy="1803921"/>
                    </a:xfrm>
                    <a:prstGeom prst="rect">
                      <a:avLst/>
                    </a:prstGeom>
                  </pic:spPr>
                </pic:pic>
              </a:graphicData>
            </a:graphic>
          </wp:inline>
        </w:drawing>
      </w:r>
      <w:r w:rsidR="006C5EED" w:rsidRPr="0023219A">
        <w:rPr>
          <w:noProof/>
        </w:rPr>
        <w:drawing>
          <wp:inline distT="0" distB="0" distL="0" distR="0" wp14:anchorId="30E4B090" wp14:editId="78128ACD">
            <wp:extent cx="2860675" cy="176866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017" cy="1788664"/>
                    </a:xfrm>
                    <a:prstGeom prst="rect">
                      <a:avLst/>
                    </a:prstGeom>
                  </pic:spPr>
                </pic:pic>
              </a:graphicData>
            </a:graphic>
          </wp:inline>
        </w:drawing>
      </w:r>
    </w:p>
    <w:p w14:paraId="059CF253" w14:textId="08E74712" w:rsidR="00F4595C" w:rsidRDefault="00F4595C">
      <w:r>
        <w:t>Total Events and Fatalities by Year: 2011-2022</w:t>
      </w:r>
    </w:p>
    <w:p w14:paraId="32CE19DF" w14:textId="535C3337" w:rsidR="006133E3" w:rsidRDefault="00F4595C">
      <w:r>
        <w:rPr>
          <w:noProof/>
        </w:rPr>
        <w:drawing>
          <wp:inline distT="0" distB="0" distL="0" distR="0" wp14:anchorId="1325A27E" wp14:editId="5132CACF">
            <wp:extent cx="2971800" cy="147986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5414" cy="1486647"/>
                    </a:xfrm>
                    <a:prstGeom prst="rect">
                      <a:avLst/>
                    </a:prstGeom>
                  </pic:spPr>
                </pic:pic>
              </a:graphicData>
            </a:graphic>
          </wp:inline>
        </w:drawing>
      </w:r>
    </w:p>
    <w:p w14:paraId="087D9A40" w14:textId="067EC3C1" w:rsidR="005B36E0" w:rsidRDefault="008E65B4">
      <w:r>
        <w:t xml:space="preserve">Since the ceasefire </w:t>
      </w:r>
      <w:r w:rsidR="00C01AA3">
        <w:t>agreement of October 2020</w:t>
      </w:r>
      <w:r w:rsidR="00B81554">
        <w:t>, the number of conflict related events</w:t>
      </w:r>
      <w:r w:rsidR="009815B0">
        <w:t xml:space="preserve"> and fatalities</w:t>
      </w:r>
      <w:r w:rsidR="00B81554">
        <w:t xml:space="preserve"> has significantly decreased.</w:t>
      </w:r>
      <w:r w:rsidR="00C01AA3">
        <w:t xml:space="preserve"> </w:t>
      </w:r>
      <w:r w:rsidR="008655C3">
        <w:t xml:space="preserve">Specifically, </w:t>
      </w:r>
      <w:r w:rsidR="000C3AF9">
        <w:t>the yearly percent change in conflict events from 2020 to 2021</w:t>
      </w:r>
      <w:r w:rsidR="00B81554">
        <w:t xml:space="preserve"> </w:t>
      </w:r>
      <w:r w:rsidR="00E2716F">
        <w:t xml:space="preserve">decreased by </w:t>
      </w:r>
      <w:r w:rsidR="00006C40">
        <w:t>81.4%</w:t>
      </w:r>
      <w:r w:rsidR="00E2716F">
        <w:t xml:space="preserve"> </w:t>
      </w:r>
      <w:r w:rsidR="00F237B7">
        <w:t xml:space="preserve">and the total number of fatalities </w:t>
      </w:r>
      <w:r w:rsidR="001922BD">
        <w:t>is down</w:t>
      </w:r>
      <w:r w:rsidR="00006C40">
        <w:t xml:space="preserve"> by </w:t>
      </w:r>
      <w:r w:rsidR="00F237B7">
        <w:t>92.63%</w:t>
      </w:r>
      <w:r w:rsidR="001922BD">
        <w:t xml:space="preserve">. Also encouragingly, levels of violence and conflict </w:t>
      </w:r>
      <w:r w:rsidR="00B87519">
        <w:t xml:space="preserve">in 2022 </w:t>
      </w:r>
      <w:r w:rsidR="001922BD">
        <w:t>appear to be</w:t>
      </w:r>
      <w:r w:rsidR="00B87519">
        <w:t xml:space="preserve"> following those of 2021 rather than the yearly levels of violence seen during the worst of the Second Civil War. </w:t>
      </w:r>
      <w:r w:rsidR="008867B6">
        <w:t xml:space="preserve">Despite this, the reduced levels of conflict are tenuous and there is potential the scenario could change depending on the realization of national elections, which have been delayed since 2021, and </w:t>
      </w:r>
      <w:r w:rsidR="008A0DE7">
        <w:t>the impending results.</w:t>
      </w:r>
    </w:p>
    <w:p w14:paraId="4C507510" w14:textId="3B51B720" w:rsidR="005420FC" w:rsidRDefault="005420FC">
      <w:r w:rsidRPr="005420FC">
        <w:drawing>
          <wp:inline distT="0" distB="0" distL="0" distR="0" wp14:anchorId="2F8B9C25" wp14:editId="775F3978">
            <wp:extent cx="3797300" cy="24203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280" cy="2438845"/>
                    </a:xfrm>
                    <a:prstGeom prst="rect">
                      <a:avLst/>
                    </a:prstGeom>
                  </pic:spPr>
                </pic:pic>
              </a:graphicData>
            </a:graphic>
          </wp:inline>
        </w:drawing>
      </w:r>
    </w:p>
    <w:p w14:paraId="48EB123A" w14:textId="57934F79" w:rsidR="00E050BE" w:rsidRDefault="00E050BE"/>
    <w:p w14:paraId="495CB89D" w14:textId="150D6D00" w:rsidR="00E050BE" w:rsidRPr="00482219" w:rsidRDefault="00482219">
      <w:pPr>
        <w:rPr>
          <w:b/>
          <w:bCs/>
        </w:rPr>
      </w:pPr>
      <w:r w:rsidRPr="00482219">
        <w:rPr>
          <w:b/>
          <w:bCs/>
        </w:rPr>
        <w:lastRenderedPageBreak/>
        <w:t>Analysis of Conflict by Region</w:t>
      </w:r>
    </w:p>
    <w:p w14:paraId="0E649CA5" w14:textId="15F5BB47" w:rsidR="00B408BB" w:rsidRDefault="00D01406">
      <w:pPr>
        <w:rPr>
          <w:noProof/>
        </w:rPr>
      </w:pPr>
      <w:r w:rsidRPr="00D01406">
        <w:drawing>
          <wp:inline distT="0" distB="0" distL="0" distR="0" wp14:anchorId="7D2B5FDB" wp14:editId="27CFC4D4">
            <wp:extent cx="2409822" cy="1330036"/>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7207" cy="1367227"/>
                    </a:xfrm>
                    <a:prstGeom prst="rect">
                      <a:avLst/>
                    </a:prstGeom>
                  </pic:spPr>
                </pic:pic>
              </a:graphicData>
            </a:graphic>
          </wp:inline>
        </w:drawing>
      </w:r>
      <w:r w:rsidR="00D81435" w:rsidRPr="00D81435">
        <w:rPr>
          <w:noProof/>
        </w:rPr>
        <w:t xml:space="preserve"> </w:t>
      </w:r>
      <w:r w:rsidRPr="00577856">
        <w:drawing>
          <wp:inline distT="0" distB="0" distL="0" distR="0" wp14:anchorId="0F1E5A5A" wp14:editId="28835D44">
            <wp:extent cx="2391495" cy="13199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704" cy="1348184"/>
                    </a:xfrm>
                    <a:prstGeom prst="rect">
                      <a:avLst/>
                    </a:prstGeom>
                  </pic:spPr>
                </pic:pic>
              </a:graphicData>
            </a:graphic>
          </wp:inline>
        </w:drawing>
      </w:r>
    </w:p>
    <w:p w14:paraId="216F50C8" w14:textId="797F27C1" w:rsidR="002B0909" w:rsidRDefault="002B0909">
      <w:r>
        <w:t xml:space="preserve">Although conflict has been present through all regions of Libya, </w:t>
      </w:r>
      <w:r w:rsidR="00DE414C">
        <w:t xml:space="preserve">the 2014-2019 </w:t>
      </w:r>
      <w:r w:rsidR="00D7061F">
        <w:t>timeframe</w:t>
      </w:r>
      <w:r w:rsidR="00DE414C">
        <w:t xml:space="preserve"> saw significant </w:t>
      </w:r>
      <w:r w:rsidR="00D7061F">
        <w:t xml:space="preserve">levels of </w:t>
      </w:r>
      <w:r w:rsidR="00DE414C">
        <w:t>conflict in the East province</w:t>
      </w:r>
      <w:r w:rsidR="00D7061F">
        <w:t xml:space="preserve">, whereas in </w:t>
      </w:r>
      <w:r w:rsidR="00DE414C">
        <w:t>2019-2020 conflict</w:t>
      </w:r>
      <w:r w:rsidR="00D7061F">
        <w:t xml:space="preserve"> was concentrated almost entirely</w:t>
      </w:r>
      <w:r w:rsidR="00DE414C">
        <w:t xml:space="preserve"> </w:t>
      </w:r>
      <w:r w:rsidR="00D7061F">
        <w:t xml:space="preserve">in the West province. </w:t>
      </w:r>
      <w:r w:rsidR="00EE7FBB">
        <w:t xml:space="preserve">At the </w:t>
      </w:r>
      <w:proofErr w:type="spellStart"/>
      <w:r w:rsidR="00EE7FBB">
        <w:t>Muhafazat</w:t>
      </w:r>
      <w:proofErr w:type="spellEnd"/>
      <w:r w:rsidR="00EE7FBB">
        <w:t xml:space="preserve"> (ADMIN-2) level, over half</w:t>
      </w:r>
      <w:r w:rsidR="008D403F">
        <w:t xml:space="preserve"> (56%)</w:t>
      </w:r>
      <w:r w:rsidR="00EE7FBB">
        <w:t xml:space="preserve"> of all fatalities</w:t>
      </w:r>
      <w:r w:rsidR="00AA692D">
        <w:t xml:space="preserve"> recorded in the ACLED database</w:t>
      </w:r>
      <w:r w:rsidR="009F1161">
        <w:t xml:space="preserve"> (1997-present)</w:t>
      </w:r>
      <w:r w:rsidR="00EE7FBB">
        <w:t xml:space="preserve"> have occurred in three </w:t>
      </w:r>
      <w:r w:rsidR="008D403F">
        <w:t>units: Benghazi</w:t>
      </w:r>
      <w:r w:rsidR="00D92DD4">
        <w:t xml:space="preserve"> (22%)</w:t>
      </w:r>
      <w:r w:rsidR="008D403F">
        <w:t xml:space="preserve">, </w:t>
      </w:r>
      <w:proofErr w:type="spellStart"/>
      <w:r w:rsidR="00D92DD4">
        <w:t>Sirt</w:t>
      </w:r>
      <w:proofErr w:type="spellEnd"/>
      <w:r w:rsidR="00D92DD4">
        <w:t xml:space="preserve"> (17%), and Tripoli (17%). </w:t>
      </w:r>
      <w:r w:rsidR="00AA692D">
        <w:t xml:space="preserve">Since 2014, </w:t>
      </w:r>
      <w:r w:rsidR="00B70817">
        <w:t xml:space="preserve">the proportion of all fatalities in these three </w:t>
      </w:r>
      <w:proofErr w:type="spellStart"/>
      <w:r w:rsidR="00B70817">
        <w:t>muhafazats</w:t>
      </w:r>
      <w:proofErr w:type="spellEnd"/>
      <w:r w:rsidR="00B70817">
        <w:t xml:space="preserve"> has largely stayed the same at 54%, with relative increases in Benghazi </w:t>
      </w:r>
      <w:r w:rsidR="00482219">
        <w:t>(27%) and a decrease in Tripoli (11%).</w:t>
      </w:r>
    </w:p>
    <w:p w14:paraId="377E723B" w14:textId="08F1216C" w:rsidR="00482219" w:rsidRDefault="008A0DE7">
      <w:pPr>
        <w:rPr>
          <w:b/>
          <w:bCs/>
        </w:rPr>
      </w:pPr>
      <w:r w:rsidRPr="00482219">
        <w:rPr>
          <w:b/>
          <w:bCs/>
        </w:rPr>
        <w:t>Actor Analysis</w:t>
      </w:r>
    </w:p>
    <w:p w14:paraId="0C347284" w14:textId="3219C3F1" w:rsidR="0004415A" w:rsidRPr="00482219" w:rsidRDefault="0004415A">
      <w:pPr>
        <w:rPr>
          <w:b/>
          <w:bCs/>
        </w:rPr>
      </w:pPr>
      <w:r>
        <w:t>Main Actors Involved in Conflict Events</w:t>
      </w:r>
      <w:r w:rsidR="00482219">
        <w:t>, 1997-2022</w:t>
      </w:r>
    </w:p>
    <w:p w14:paraId="5CBFBD2D" w14:textId="4EE593AB" w:rsidR="0004415A" w:rsidRDefault="00750E83">
      <w:r>
        <w:rPr>
          <w:noProof/>
        </w:rPr>
        <w:drawing>
          <wp:inline distT="0" distB="0" distL="0" distR="0" wp14:anchorId="585EF74A" wp14:editId="5347A57E">
            <wp:extent cx="5943600" cy="193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0400"/>
                    </a:xfrm>
                    <a:prstGeom prst="rect">
                      <a:avLst/>
                    </a:prstGeom>
                  </pic:spPr>
                </pic:pic>
              </a:graphicData>
            </a:graphic>
          </wp:inline>
        </w:drawing>
      </w:r>
    </w:p>
    <w:p w14:paraId="2A03E496" w14:textId="4299BB20" w:rsidR="000B079D" w:rsidRDefault="00AB123B">
      <w:r>
        <w:t xml:space="preserve">The </w:t>
      </w:r>
      <w:r w:rsidR="009143EB">
        <w:t xml:space="preserve">dominant actor </w:t>
      </w:r>
      <w:r>
        <w:t xml:space="preserve">in conflict related events </w:t>
      </w:r>
      <w:r w:rsidR="00AA6E7A">
        <w:t xml:space="preserve">since 2014 </w:t>
      </w:r>
      <w:r>
        <w:t>is the rebel Haftar Faction</w:t>
      </w:r>
      <w:r w:rsidR="00F459EB">
        <w:t xml:space="preserve"> of the Military Forces of Libya</w:t>
      </w:r>
      <w:r w:rsidR="00AA6E7A">
        <w:t xml:space="preserve">. </w:t>
      </w:r>
      <w:r w:rsidR="00FF7AAB">
        <w:t>Events</w:t>
      </w:r>
      <w:r w:rsidR="00F459EB">
        <w:t xml:space="preserve"> </w:t>
      </w:r>
      <w:r w:rsidR="00FF7AAB">
        <w:t xml:space="preserve">attributed to the Haftar Faction have primarily involved conflict with </w:t>
      </w:r>
      <w:r w:rsidR="00AA6E7A">
        <w:t xml:space="preserve">the Government of National Accord, </w:t>
      </w:r>
      <w:r w:rsidR="000A1B09">
        <w:t xml:space="preserve">while </w:t>
      </w:r>
      <w:r w:rsidR="004B0B58">
        <w:t xml:space="preserve">also engaging with Islamist Militias </w:t>
      </w:r>
      <w:r w:rsidR="000A1B09">
        <w:t xml:space="preserve">as Ansar al-Sharia, BRSC: Shura Council of Benghazi Revolutionaries, </w:t>
      </w:r>
      <w:r w:rsidR="00C12BDF">
        <w:t xml:space="preserve">Islamic State (Libya), </w:t>
      </w:r>
      <w:r w:rsidR="005631FD">
        <w:t xml:space="preserve">and the Shura Council of </w:t>
      </w:r>
      <w:proofErr w:type="spellStart"/>
      <w:r w:rsidR="005631FD">
        <w:t>Darnah</w:t>
      </w:r>
      <w:proofErr w:type="spellEnd"/>
      <w:r w:rsidR="005631FD">
        <w:t xml:space="preserve"> Mujahidin.</w:t>
      </w:r>
    </w:p>
    <w:p w14:paraId="2AA0CF22" w14:textId="040F8049" w:rsidR="00ED0854" w:rsidRDefault="005631FD">
      <w:r>
        <w:t xml:space="preserve"> </w:t>
      </w:r>
      <w:r w:rsidR="009143EB" w:rsidRPr="002B617B">
        <w:drawing>
          <wp:inline distT="0" distB="0" distL="0" distR="0" wp14:anchorId="380D19A9" wp14:editId="10893148">
            <wp:extent cx="2572056" cy="16394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6489" cy="1648611"/>
                    </a:xfrm>
                    <a:prstGeom prst="rect">
                      <a:avLst/>
                    </a:prstGeom>
                  </pic:spPr>
                </pic:pic>
              </a:graphicData>
            </a:graphic>
          </wp:inline>
        </w:drawing>
      </w:r>
      <w:r w:rsidR="00CF5B3D" w:rsidRPr="00CF5B3D">
        <w:drawing>
          <wp:inline distT="0" distB="0" distL="0" distR="0" wp14:anchorId="74741880" wp14:editId="342ED789">
            <wp:extent cx="2565472" cy="1635214"/>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559" cy="1652479"/>
                    </a:xfrm>
                    <a:prstGeom prst="rect">
                      <a:avLst/>
                    </a:prstGeom>
                  </pic:spPr>
                </pic:pic>
              </a:graphicData>
            </a:graphic>
          </wp:inline>
        </w:drawing>
      </w:r>
    </w:p>
    <w:p w14:paraId="277B6F4E" w14:textId="516E559F" w:rsidR="004651F2" w:rsidRDefault="004651F2">
      <w:r>
        <w:lastRenderedPageBreak/>
        <w:t>The graph</w:t>
      </w:r>
      <w:r w:rsidR="00B47B6D">
        <w:t xml:space="preserve"> </w:t>
      </w:r>
      <w:r w:rsidR="00B47B6D">
        <w:t>above</w:t>
      </w:r>
      <w:r w:rsidR="000B079D">
        <w:t xml:space="preserve"> on the </w:t>
      </w:r>
      <w:r w:rsidR="00B47B6D">
        <w:t>right</w:t>
      </w:r>
      <w:r>
        <w:t xml:space="preserve"> displays the </w:t>
      </w:r>
      <w:r w:rsidR="007B7CD9">
        <w:t>total number of fatalities in conflict events attributed to</w:t>
      </w:r>
      <w:r>
        <w:t xml:space="preserve"> the </w:t>
      </w:r>
      <w:r w:rsidR="007B7CD9">
        <w:t xml:space="preserve">Haftar Faction at the </w:t>
      </w:r>
      <w:r w:rsidR="00CF6554">
        <w:t xml:space="preserve">provincial level. Notably, the Haftar Faction </w:t>
      </w:r>
      <w:r w:rsidR="00B47B6D">
        <w:t>is</w:t>
      </w:r>
      <w:r w:rsidR="00CF6554">
        <w:t xml:space="preserve"> the only actor with a presence across </w:t>
      </w:r>
      <w:r w:rsidR="00572961">
        <w:t xml:space="preserve">the East, South and West provinces. It also </w:t>
      </w:r>
      <w:r w:rsidR="00392F2F">
        <w:t>suggests</w:t>
      </w:r>
      <w:r w:rsidR="00572961">
        <w:t xml:space="preserve"> how the Haftar Faction has engaged in conflict across time: </w:t>
      </w:r>
      <w:r w:rsidR="00C13804">
        <w:t xml:space="preserve">fatalities were initially </w:t>
      </w:r>
      <w:r w:rsidR="00544B9E">
        <w:t>concentrated</w:t>
      </w:r>
      <w:r w:rsidR="00C13804">
        <w:t xml:space="preserve"> in the East province starting in 2014</w:t>
      </w:r>
      <w:r w:rsidR="00544B9E">
        <w:t xml:space="preserve"> and slowly dissipated through the next five years. While fatalities in conflict events attributed to the group </w:t>
      </w:r>
      <w:r w:rsidR="00763259">
        <w:t xml:space="preserve">occurred with regular frequency in the South and West provinces, it significantly intensified in the West at the end of 2019 and start of 2020 before the ceasefire agreement </w:t>
      </w:r>
      <w:r w:rsidR="00995658">
        <w:t xml:space="preserve">and prior negotiations took place. </w:t>
      </w:r>
    </w:p>
    <w:p w14:paraId="5A03ECF2" w14:textId="6C65E7B3" w:rsidR="00C36C1D" w:rsidRDefault="00ED0854">
      <w:pPr>
        <w:rPr>
          <w:noProof/>
        </w:rPr>
      </w:pPr>
      <w:r w:rsidRPr="00ED0854">
        <w:drawing>
          <wp:inline distT="0" distB="0" distL="0" distR="0" wp14:anchorId="7576404D" wp14:editId="7F349B6D">
            <wp:extent cx="2677187" cy="147759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9739" cy="1512123"/>
                    </a:xfrm>
                    <a:prstGeom prst="rect">
                      <a:avLst/>
                    </a:prstGeom>
                  </pic:spPr>
                </pic:pic>
              </a:graphicData>
            </a:graphic>
          </wp:inline>
        </w:drawing>
      </w:r>
      <w:r w:rsidR="009E632A" w:rsidRPr="009E632A">
        <w:rPr>
          <w:noProof/>
        </w:rPr>
        <w:t xml:space="preserve"> </w:t>
      </w:r>
      <w:r w:rsidR="009E632A" w:rsidRPr="009E632A">
        <w:drawing>
          <wp:inline distT="0" distB="0" distL="0" distR="0" wp14:anchorId="56AC9FE9" wp14:editId="285E11C5">
            <wp:extent cx="2696747" cy="148839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378" cy="1533451"/>
                    </a:xfrm>
                    <a:prstGeom prst="rect">
                      <a:avLst/>
                    </a:prstGeom>
                  </pic:spPr>
                </pic:pic>
              </a:graphicData>
            </a:graphic>
          </wp:inline>
        </w:drawing>
      </w:r>
    </w:p>
    <w:p w14:paraId="1C76A9A0" w14:textId="7080B8E8" w:rsidR="00EA18F0" w:rsidRDefault="00EA18F0">
      <w:r w:rsidRPr="00EA18F0">
        <w:drawing>
          <wp:inline distT="0" distB="0" distL="0" distR="0" wp14:anchorId="4F3D4FB6" wp14:editId="3CBBE24A">
            <wp:extent cx="2677160" cy="147758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5035" cy="1504010"/>
                    </a:xfrm>
                    <a:prstGeom prst="rect">
                      <a:avLst/>
                    </a:prstGeom>
                  </pic:spPr>
                </pic:pic>
              </a:graphicData>
            </a:graphic>
          </wp:inline>
        </w:drawing>
      </w:r>
      <w:r w:rsidR="00E02711" w:rsidRPr="00E02711">
        <w:rPr>
          <w:noProof/>
        </w:rPr>
        <w:t xml:space="preserve"> </w:t>
      </w:r>
      <w:r w:rsidR="00E02711" w:rsidRPr="00E02711">
        <w:drawing>
          <wp:inline distT="0" distB="0" distL="0" distR="0" wp14:anchorId="2E465799" wp14:editId="3F785ECA">
            <wp:extent cx="2663380" cy="146998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629" cy="1513720"/>
                    </a:xfrm>
                    <a:prstGeom prst="rect">
                      <a:avLst/>
                    </a:prstGeom>
                  </pic:spPr>
                </pic:pic>
              </a:graphicData>
            </a:graphic>
          </wp:inline>
        </w:drawing>
      </w:r>
    </w:p>
    <w:p w14:paraId="7F0A02A7" w14:textId="6C8EB407" w:rsidR="0004415A" w:rsidRDefault="00995658">
      <w:r>
        <w:t xml:space="preserve">The graphs above highlight the regional fighting between the Haftar Faction and its main </w:t>
      </w:r>
      <w:r w:rsidR="00392F2F">
        <w:t>adversaries</w:t>
      </w:r>
      <w:r>
        <w:t xml:space="preserve">. </w:t>
      </w:r>
      <w:r w:rsidR="009F0ACB">
        <w:t xml:space="preserve">What’s particularly noteworthy is the concentration of conflict with the Government of National Accord in the West region </w:t>
      </w:r>
      <w:r w:rsidR="008F6E09">
        <w:t>starting in 2019. Prior to this, the Haftar Faction was principally engaged in conflict with Islami</w:t>
      </w:r>
      <w:r w:rsidR="00E14EA1">
        <w:t>st militias in the East province</w:t>
      </w:r>
      <w:r w:rsidR="00440278">
        <w:t>, such as Ansar al-Sharia</w:t>
      </w:r>
      <w:r w:rsidR="004C02F3">
        <w:t xml:space="preserve">, </w:t>
      </w:r>
      <w:r w:rsidR="004C02F3">
        <w:t>BRSC</w:t>
      </w:r>
      <w:r w:rsidR="004C02F3">
        <w:t xml:space="preserve">, and the Shura Council of </w:t>
      </w:r>
      <w:proofErr w:type="spellStart"/>
      <w:r w:rsidR="004C02F3">
        <w:t>Darnah</w:t>
      </w:r>
      <w:proofErr w:type="spellEnd"/>
      <w:r w:rsidR="004C02F3">
        <w:t xml:space="preserve"> </w:t>
      </w:r>
      <w:proofErr w:type="spellStart"/>
      <w:r w:rsidR="004C02F3">
        <w:t>Muujahidin</w:t>
      </w:r>
      <w:proofErr w:type="spellEnd"/>
      <w:r w:rsidR="004C02F3">
        <w:t>.</w:t>
      </w:r>
      <w:r w:rsidR="00B5342A">
        <w:t xml:space="preserve"> In terms of conflict with these latter groups, it is noteworthy that they have been significantly reduced to the point of inexistence since </w:t>
      </w:r>
      <w:r w:rsidR="00E050BE">
        <w:t>2018.</w:t>
      </w:r>
    </w:p>
    <w:p w14:paraId="399D60F0" w14:textId="58AED786" w:rsidR="005E3FFC" w:rsidRDefault="005E3FFC">
      <w:r w:rsidRPr="005E3FFC">
        <w:lastRenderedPageBreak/>
        <w:drawing>
          <wp:inline distT="0" distB="0" distL="0" distR="0" wp14:anchorId="055A6EB1" wp14:editId="57BF15A9">
            <wp:extent cx="4664907" cy="25746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985" cy="2595686"/>
                    </a:xfrm>
                    <a:prstGeom prst="rect">
                      <a:avLst/>
                    </a:prstGeom>
                  </pic:spPr>
                </pic:pic>
              </a:graphicData>
            </a:graphic>
          </wp:inline>
        </w:drawing>
      </w:r>
    </w:p>
    <w:p w14:paraId="468F156F" w14:textId="2DC8CC8C" w:rsidR="005E3FFC" w:rsidRDefault="005E3FFC">
      <w:r>
        <w:t xml:space="preserve">The exception to this is the Haftar Factions </w:t>
      </w:r>
      <w:r w:rsidR="00CF423F">
        <w:t>fighting with the Islamic State, as the graph shows above</w:t>
      </w:r>
      <w:r w:rsidR="00FE0C46">
        <w:t>, Conflict between these two actors has</w:t>
      </w:r>
      <w:r w:rsidR="00637610">
        <w:t xml:space="preserve"> had</w:t>
      </w:r>
      <w:r w:rsidR="00FE0C46">
        <w:t xml:space="preserve"> a national presence</w:t>
      </w:r>
      <w:r w:rsidR="0076454A">
        <w:t xml:space="preserve"> and</w:t>
      </w:r>
      <w:r w:rsidR="00637610">
        <w:t xml:space="preserve"> included violent events in all three provinces.</w:t>
      </w:r>
      <w:r w:rsidR="00101CCC">
        <w:t xml:space="preserve"> While these events between the two actors have </w:t>
      </w:r>
      <w:r w:rsidR="0054450F">
        <w:t>completely stopped</w:t>
      </w:r>
      <w:r w:rsidR="00101CCC">
        <w:t xml:space="preserve"> in the East and West since </w:t>
      </w:r>
      <w:r w:rsidR="00DD70B0">
        <w:t xml:space="preserve">2019, fatalities continue to occur in violent events in the South province. </w:t>
      </w:r>
      <w:r w:rsidR="0076454A">
        <w:t xml:space="preserve"> </w:t>
      </w:r>
      <w:r w:rsidR="00CF423F">
        <w:t xml:space="preserve"> </w:t>
      </w:r>
    </w:p>
    <w:p w14:paraId="2B246B30" w14:textId="2EA0ECC5" w:rsidR="0023219A" w:rsidRPr="005C1647" w:rsidRDefault="005C1647">
      <w:pPr>
        <w:rPr>
          <w:b/>
          <w:bCs/>
        </w:rPr>
      </w:pPr>
      <w:r w:rsidRPr="005C1647">
        <w:rPr>
          <w:b/>
          <w:bCs/>
        </w:rPr>
        <w:t>Predicting the Presence of the Haftar Faction in 2022</w:t>
      </w:r>
    </w:p>
    <w:p w14:paraId="670CA4DF" w14:textId="35E69583" w:rsidR="00EA34F9" w:rsidRDefault="005C1647">
      <w:r>
        <w:rPr>
          <w:noProof/>
        </w:rPr>
        <w:drawing>
          <wp:inline distT="0" distB="0" distL="0" distR="0" wp14:anchorId="6A0291C9" wp14:editId="6480CFFB">
            <wp:extent cx="3970550" cy="197297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8449" cy="1986837"/>
                    </a:xfrm>
                    <a:prstGeom prst="rect">
                      <a:avLst/>
                    </a:prstGeom>
                  </pic:spPr>
                </pic:pic>
              </a:graphicData>
            </a:graphic>
          </wp:inline>
        </w:drawing>
      </w:r>
    </w:p>
    <w:p w14:paraId="6E3CBB59" w14:textId="6EA8121D" w:rsidR="00665CFC" w:rsidRDefault="00023D3F">
      <w:r>
        <w:rPr>
          <w:noProof/>
        </w:rPr>
        <w:drawing>
          <wp:inline distT="0" distB="0" distL="0" distR="0" wp14:anchorId="54FC0B66" wp14:editId="489C09CF">
            <wp:extent cx="5943600" cy="2099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9310"/>
                    </a:xfrm>
                    <a:prstGeom prst="rect">
                      <a:avLst/>
                    </a:prstGeom>
                  </pic:spPr>
                </pic:pic>
              </a:graphicData>
            </a:graphic>
          </wp:inline>
        </w:drawing>
      </w:r>
    </w:p>
    <w:p w14:paraId="40CBC67D" w14:textId="2B1E1A55" w:rsidR="008253BC" w:rsidRDefault="008253BC">
      <w:r>
        <w:lastRenderedPageBreak/>
        <w:t xml:space="preserve">The output above </w:t>
      </w:r>
      <w:r w:rsidR="00044F06">
        <w:t>shows</w:t>
      </w:r>
      <w:r>
        <w:t xml:space="preserve"> </w:t>
      </w:r>
      <w:r w:rsidR="00044F06">
        <w:t xml:space="preserve">on the one hand </w:t>
      </w:r>
      <w:r w:rsidR="003842E7">
        <w:t xml:space="preserve">the likelihood of the Haftar Faction </w:t>
      </w:r>
      <w:r w:rsidR="007D3A08">
        <w:t xml:space="preserve">being involved </w:t>
      </w:r>
      <w:r w:rsidR="003842E7">
        <w:t xml:space="preserve">in </w:t>
      </w:r>
      <w:r w:rsidR="00044F06">
        <w:t xml:space="preserve">a violent event in the next year, and the </w:t>
      </w:r>
      <w:r w:rsidR="007D3A08">
        <w:t xml:space="preserve">same for </w:t>
      </w:r>
      <w:r w:rsidR="00044F06">
        <w:t>the Government of National Accord</w:t>
      </w:r>
      <w:r w:rsidR="007D3A08">
        <w:t xml:space="preserve">. As the data on past events suggests, the Haftar Faction is more notably spread out throughout all geographies, while </w:t>
      </w:r>
      <w:r w:rsidR="00AA1B88">
        <w:t>the Government of National Accord is more regionally concentrated in the West.</w:t>
      </w:r>
      <w:r w:rsidR="009C1D6A">
        <w:t xml:space="preserve"> </w:t>
      </w:r>
      <w:r w:rsidR="00C10E69">
        <w:t xml:space="preserve">It is important to note that these outputs were modelled separately: the likelihood of a violent event involving both actors </w:t>
      </w:r>
      <w:proofErr w:type="gramStart"/>
      <w:r w:rsidR="00C10E69">
        <w:t>is</w:t>
      </w:r>
      <w:proofErr w:type="gramEnd"/>
      <w:r w:rsidR="00C10E69">
        <w:t xml:space="preserve"> low in all regions for 2022.</w:t>
      </w:r>
    </w:p>
    <w:p w14:paraId="0CCF805C" w14:textId="77777777" w:rsidR="003842E7" w:rsidRDefault="003842E7"/>
    <w:p w14:paraId="7D7BF3F7" w14:textId="1726B336" w:rsidR="00665CFC" w:rsidRDefault="00665CFC">
      <w:r w:rsidRPr="00665CFC">
        <w:drawing>
          <wp:inline distT="0" distB="0" distL="0" distR="0" wp14:anchorId="0D083C25" wp14:editId="4818175D">
            <wp:extent cx="5283472" cy="35245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824" cy="3532146"/>
                    </a:xfrm>
                    <a:prstGeom prst="rect">
                      <a:avLst/>
                    </a:prstGeom>
                  </pic:spPr>
                </pic:pic>
              </a:graphicData>
            </a:graphic>
          </wp:inline>
        </w:drawing>
      </w:r>
    </w:p>
    <w:p w14:paraId="42B5CB6D" w14:textId="7E5CEB4F" w:rsidR="00C10E69" w:rsidRDefault="00C10E69">
      <w:r>
        <w:t xml:space="preserve">The predictive model assigns a higher likelihood of conflict between </w:t>
      </w:r>
      <w:r w:rsidR="000A09FA">
        <w:t xml:space="preserve">the Islamic State and Haftar Faction in the </w:t>
      </w:r>
      <w:proofErr w:type="spellStart"/>
      <w:r w:rsidR="000A09FA">
        <w:t>mu</w:t>
      </w:r>
      <w:r w:rsidR="007F717C">
        <w:t>hafazahs</w:t>
      </w:r>
      <w:proofErr w:type="spellEnd"/>
      <w:r w:rsidR="007F717C">
        <w:t xml:space="preserve"> of the</w:t>
      </w:r>
      <w:r w:rsidR="000A09FA">
        <w:t xml:space="preserve"> South provinces</w:t>
      </w:r>
      <w:r w:rsidR="007F717C">
        <w:t xml:space="preserve">, which is where </w:t>
      </w:r>
      <w:proofErr w:type="gramStart"/>
      <w:r w:rsidR="007F717C">
        <w:t>the majority of</w:t>
      </w:r>
      <w:proofErr w:type="gramEnd"/>
      <w:r w:rsidR="007F717C">
        <w:t xml:space="preserve"> conflict has most recently occurred between these two actors. There </w:t>
      </w:r>
    </w:p>
    <w:p w14:paraId="34C6A37B" w14:textId="41226078" w:rsidR="00C10E69" w:rsidRDefault="00C10E69">
      <w:r>
        <w:rPr>
          <w:noProof/>
        </w:rPr>
        <w:drawing>
          <wp:inline distT="0" distB="0" distL="0" distR="0" wp14:anchorId="5EDBC2B2" wp14:editId="5A47FFA1">
            <wp:extent cx="5943600" cy="1952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52625"/>
                    </a:xfrm>
                    <a:prstGeom prst="rect">
                      <a:avLst/>
                    </a:prstGeom>
                  </pic:spPr>
                </pic:pic>
              </a:graphicData>
            </a:graphic>
          </wp:inline>
        </w:drawing>
      </w:r>
    </w:p>
    <w:p w14:paraId="44322B11" w14:textId="77777777" w:rsidR="0029081B" w:rsidRDefault="0029081B"/>
    <w:sectPr w:rsidR="00290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19A"/>
    <w:rsid w:val="00006C40"/>
    <w:rsid w:val="00023D3F"/>
    <w:rsid w:val="0004415A"/>
    <w:rsid w:val="00044F06"/>
    <w:rsid w:val="000A09FA"/>
    <w:rsid w:val="000A1B09"/>
    <w:rsid w:val="000B079D"/>
    <w:rsid w:val="000C3AF9"/>
    <w:rsid w:val="00101CCC"/>
    <w:rsid w:val="00166773"/>
    <w:rsid w:val="001922BD"/>
    <w:rsid w:val="0023219A"/>
    <w:rsid w:val="0028408C"/>
    <w:rsid w:val="0029081B"/>
    <w:rsid w:val="002B0909"/>
    <w:rsid w:val="002B617B"/>
    <w:rsid w:val="00382D89"/>
    <w:rsid w:val="003842E7"/>
    <w:rsid w:val="00392E14"/>
    <w:rsid w:val="00392F2F"/>
    <w:rsid w:val="004156D2"/>
    <w:rsid w:val="00432B2F"/>
    <w:rsid w:val="0043757C"/>
    <w:rsid w:val="00440278"/>
    <w:rsid w:val="004651F2"/>
    <w:rsid w:val="00482219"/>
    <w:rsid w:val="004B0B58"/>
    <w:rsid w:val="004C02F3"/>
    <w:rsid w:val="00513F0B"/>
    <w:rsid w:val="00535BAC"/>
    <w:rsid w:val="005420FC"/>
    <w:rsid w:val="0054450F"/>
    <w:rsid w:val="00544B9E"/>
    <w:rsid w:val="005631FD"/>
    <w:rsid w:val="00572961"/>
    <w:rsid w:val="00577856"/>
    <w:rsid w:val="00581EFC"/>
    <w:rsid w:val="005B36E0"/>
    <w:rsid w:val="005C1647"/>
    <w:rsid w:val="005E3FFC"/>
    <w:rsid w:val="005F4554"/>
    <w:rsid w:val="006133E3"/>
    <w:rsid w:val="00637610"/>
    <w:rsid w:val="00665CFC"/>
    <w:rsid w:val="00685EEB"/>
    <w:rsid w:val="006C5EED"/>
    <w:rsid w:val="00703417"/>
    <w:rsid w:val="00750E83"/>
    <w:rsid w:val="00763259"/>
    <w:rsid w:val="0076454A"/>
    <w:rsid w:val="007B1340"/>
    <w:rsid w:val="007B7CD9"/>
    <w:rsid w:val="007D3A08"/>
    <w:rsid w:val="007F717C"/>
    <w:rsid w:val="008253BC"/>
    <w:rsid w:val="00843302"/>
    <w:rsid w:val="008655C3"/>
    <w:rsid w:val="0088384F"/>
    <w:rsid w:val="008867B6"/>
    <w:rsid w:val="00897A62"/>
    <w:rsid w:val="008A0DE7"/>
    <w:rsid w:val="008D403F"/>
    <w:rsid w:val="008E65B4"/>
    <w:rsid w:val="008F6E09"/>
    <w:rsid w:val="009143EB"/>
    <w:rsid w:val="009815B0"/>
    <w:rsid w:val="00995658"/>
    <w:rsid w:val="009C1D6A"/>
    <w:rsid w:val="009E5F72"/>
    <w:rsid w:val="009E632A"/>
    <w:rsid w:val="009F0ACB"/>
    <w:rsid w:val="009F1161"/>
    <w:rsid w:val="00A16460"/>
    <w:rsid w:val="00A32F44"/>
    <w:rsid w:val="00A75CF0"/>
    <w:rsid w:val="00A8477F"/>
    <w:rsid w:val="00AA1B88"/>
    <w:rsid w:val="00AA692D"/>
    <w:rsid w:val="00AA6E7A"/>
    <w:rsid w:val="00AB123B"/>
    <w:rsid w:val="00B408BB"/>
    <w:rsid w:val="00B47B6D"/>
    <w:rsid w:val="00B5342A"/>
    <w:rsid w:val="00B6797B"/>
    <w:rsid w:val="00B70817"/>
    <w:rsid w:val="00B81554"/>
    <w:rsid w:val="00B87519"/>
    <w:rsid w:val="00C01AA3"/>
    <w:rsid w:val="00C10E69"/>
    <w:rsid w:val="00C12BDF"/>
    <w:rsid w:val="00C13804"/>
    <w:rsid w:val="00C27679"/>
    <w:rsid w:val="00C36C1D"/>
    <w:rsid w:val="00CF423F"/>
    <w:rsid w:val="00CF5B3D"/>
    <w:rsid w:val="00CF6554"/>
    <w:rsid w:val="00D01406"/>
    <w:rsid w:val="00D20F45"/>
    <w:rsid w:val="00D7061F"/>
    <w:rsid w:val="00D81435"/>
    <w:rsid w:val="00D92DD4"/>
    <w:rsid w:val="00DB147B"/>
    <w:rsid w:val="00DD70B0"/>
    <w:rsid w:val="00DE414C"/>
    <w:rsid w:val="00E00404"/>
    <w:rsid w:val="00E02711"/>
    <w:rsid w:val="00E050BE"/>
    <w:rsid w:val="00E05409"/>
    <w:rsid w:val="00E13ACB"/>
    <w:rsid w:val="00E14EA1"/>
    <w:rsid w:val="00E2716F"/>
    <w:rsid w:val="00E95C9F"/>
    <w:rsid w:val="00EA18F0"/>
    <w:rsid w:val="00EA34F9"/>
    <w:rsid w:val="00ED0854"/>
    <w:rsid w:val="00EE7FBB"/>
    <w:rsid w:val="00F237B7"/>
    <w:rsid w:val="00F4595C"/>
    <w:rsid w:val="00F459EB"/>
    <w:rsid w:val="00FB470F"/>
    <w:rsid w:val="00FE0C46"/>
    <w:rsid w:val="00FF7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BC33"/>
  <w15:chartTrackingRefBased/>
  <w15:docId w15:val="{299ABC01-3F8E-4BAC-85AD-0EBA519CF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5B663-E9F4-4424-932D-5E86528DE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Parr</dc:creator>
  <cp:keywords/>
  <dc:description/>
  <cp:lastModifiedBy>Jamie Parr</cp:lastModifiedBy>
  <cp:revision>3</cp:revision>
  <dcterms:created xsi:type="dcterms:W3CDTF">2022-05-20T19:27:00Z</dcterms:created>
  <dcterms:modified xsi:type="dcterms:W3CDTF">2022-05-20T19:30:00Z</dcterms:modified>
</cp:coreProperties>
</file>