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FEC74D">
      <w:pPr>
        <w:jc w:val="center"/>
        <w:rPr>
          <w:lang w:val="es-ES"/>
        </w:rPr>
      </w:pPr>
      <w:r>
        <w:rPr>
          <w:lang w:val="es-ES"/>
        </w:rPr>
        <w:t>Taller #2</w:t>
      </w:r>
    </w:p>
    <w:p w14:paraId="39C42890">
      <w:pPr>
        <w:jc w:val="center"/>
        <w:rPr>
          <w:lang w:val="es-ES"/>
        </w:rPr>
      </w:pPr>
      <w:r>
        <w:rPr>
          <w:lang w:val="es-ES"/>
        </w:rPr>
        <w:t>Arquitectura de Negocio – Sincinaty</w:t>
      </w:r>
    </w:p>
    <w:p w14:paraId="3CF8BF4D">
      <w:pPr>
        <w:jc w:val="center"/>
      </w:pPr>
      <w:r>
        <w:rPr>
          <w:lang w:val="es-ES"/>
        </w:rPr>
        <w:t>Plataforma Digital de Turismo del Departamento de Sucre</w:t>
      </w:r>
    </w:p>
    <w:p w14:paraId="2DCFD13A">
      <w:pPr>
        <w:spacing w:after="0" w:line="360" w:lineRule="auto"/>
        <w:ind w:firstLine="567"/>
        <w:contextualSpacing/>
        <w:jc w:val="center"/>
        <w:rPr>
          <w:rFonts w:cs="Times New Roman"/>
          <w:szCs w:val="24"/>
        </w:rPr>
      </w:pPr>
    </w:p>
    <w:p w14:paraId="06277EB1">
      <w:pPr>
        <w:spacing w:after="0" w:line="360" w:lineRule="auto"/>
        <w:ind w:firstLine="567"/>
        <w:contextualSpacing/>
        <w:jc w:val="center"/>
        <w:rPr>
          <w:rFonts w:cs="Times New Roman"/>
          <w:szCs w:val="24"/>
        </w:rPr>
      </w:pPr>
    </w:p>
    <w:p w14:paraId="189A7943">
      <w:pPr>
        <w:spacing w:after="0" w:line="360" w:lineRule="auto"/>
        <w:contextualSpacing/>
        <w:jc w:val="center"/>
        <w:rPr>
          <w:rFonts w:cs="Times New Roman"/>
          <w:szCs w:val="24"/>
          <w:lang w:val="es-ES"/>
        </w:rPr>
      </w:pPr>
      <w:r>
        <w:rPr>
          <w:rFonts w:cs="Times New Roman"/>
          <w:szCs w:val="24"/>
          <w:lang w:val="es-ES"/>
        </w:rPr>
        <w:t>Nombres y apellidos</w:t>
      </w:r>
    </w:p>
    <w:p w14:paraId="780E3054">
      <w:pPr>
        <w:spacing w:after="0" w:line="360" w:lineRule="auto"/>
        <w:contextualSpacing/>
        <w:jc w:val="center"/>
        <w:rPr>
          <w:rFonts w:cs="Times New Roman"/>
          <w:szCs w:val="24"/>
          <w:lang w:val="es-ES"/>
        </w:rPr>
      </w:pPr>
      <w:r>
        <w:rPr>
          <w:rFonts w:cs="Times New Roman"/>
          <w:szCs w:val="24"/>
          <w:lang w:val="es-ES"/>
        </w:rPr>
        <w:t>Amaurys Castro De Arco</w:t>
      </w:r>
    </w:p>
    <w:p w14:paraId="0AD3CF6D">
      <w:pPr>
        <w:spacing w:after="0" w:line="360" w:lineRule="auto"/>
        <w:contextualSpacing/>
        <w:jc w:val="center"/>
        <w:rPr>
          <w:rFonts w:cs="Times New Roman"/>
          <w:szCs w:val="24"/>
          <w:lang w:val="es-ES"/>
        </w:rPr>
      </w:pPr>
      <w:r>
        <w:rPr>
          <w:rFonts w:cs="Times New Roman"/>
          <w:szCs w:val="24"/>
          <w:lang w:val="es-ES"/>
        </w:rPr>
        <w:t>Daniel Jiménez Salcedo</w:t>
      </w:r>
    </w:p>
    <w:p w14:paraId="1584499D">
      <w:pPr>
        <w:spacing w:after="0" w:line="360" w:lineRule="auto"/>
        <w:contextualSpacing/>
        <w:jc w:val="center"/>
        <w:rPr>
          <w:rFonts w:cs="Times New Roman"/>
          <w:szCs w:val="24"/>
          <w:lang w:val="es-ES"/>
        </w:rPr>
      </w:pPr>
      <w:r>
        <w:rPr>
          <w:rFonts w:cs="Times New Roman"/>
          <w:szCs w:val="24"/>
          <w:lang w:val="es-ES"/>
        </w:rPr>
        <w:t>Sofia Marcela Suancha Contreras</w:t>
      </w:r>
    </w:p>
    <w:p w14:paraId="719DBADB">
      <w:pPr>
        <w:spacing w:after="0" w:line="360" w:lineRule="auto"/>
        <w:contextualSpacing/>
        <w:jc w:val="center"/>
        <w:rPr>
          <w:rFonts w:cs="Times New Roman"/>
          <w:szCs w:val="24"/>
          <w:lang w:val="es-ES"/>
        </w:rPr>
      </w:pPr>
      <w:r>
        <w:rPr>
          <w:rFonts w:cs="Times New Roman"/>
          <w:szCs w:val="24"/>
          <w:lang w:val="es-ES"/>
        </w:rPr>
        <w:t>Jorluis Parra Amell</w:t>
      </w:r>
    </w:p>
    <w:p w14:paraId="18FCE5A7">
      <w:pPr>
        <w:spacing w:after="0" w:line="360" w:lineRule="auto"/>
        <w:contextualSpacing/>
        <w:jc w:val="center"/>
        <w:rPr>
          <w:rFonts w:cs="Times New Roman"/>
          <w:szCs w:val="24"/>
          <w:lang w:val="es-ES"/>
        </w:rPr>
      </w:pPr>
      <w:r>
        <w:rPr>
          <w:rFonts w:cs="Times New Roman"/>
          <w:szCs w:val="24"/>
          <w:lang w:val="es-ES"/>
        </w:rPr>
        <w:t>Eder Luis Zapa Centanaro</w:t>
      </w:r>
    </w:p>
    <w:p w14:paraId="792AB4FC">
      <w:pPr>
        <w:spacing w:after="0" w:line="360" w:lineRule="auto"/>
        <w:ind w:firstLine="567"/>
        <w:contextualSpacing/>
        <w:jc w:val="center"/>
        <w:rPr>
          <w:rFonts w:cs="Times New Roman"/>
          <w:szCs w:val="24"/>
          <w:lang w:val="es-ES"/>
        </w:rPr>
      </w:pPr>
    </w:p>
    <w:p w14:paraId="414F7256">
      <w:pPr>
        <w:spacing w:after="0" w:line="360" w:lineRule="auto"/>
        <w:contextualSpacing/>
        <w:jc w:val="center"/>
        <w:rPr>
          <w:rFonts w:hint="default" w:cs="Times New Roman"/>
          <w:szCs w:val="24"/>
          <w:lang w:val="es-ES"/>
        </w:rPr>
      </w:pPr>
      <w:r>
        <w:rPr>
          <w:rFonts w:cs="Times New Roman"/>
          <w:szCs w:val="24"/>
        </w:rPr>
        <w:t>Trabajo presentado como requisito de</w:t>
      </w:r>
      <w:r>
        <w:rPr>
          <w:rFonts w:hint="default" w:cs="Times New Roman"/>
          <w:szCs w:val="24"/>
          <w:lang w:val="es-ES"/>
        </w:rPr>
        <w:t>l curso de</w:t>
      </w:r>
      <w:r>
        <w:rPr>
          <w:rFonts w:cs="Times New Roman"/>
          <w:szCs w:val="24"/>
          <w:lang w:val="es-ES"/>
        </w:rPr>
        <w:t xml:space="preserve"> </w:t>
      </w:r>
      <w:r>
        <w:rPr>
          <w:rFonts w:hint="default" w:cs="Times New Roman"/>
          <w:szCs w:val="24"/>
          <w:lang w:val="es-ES"/>
        </w:rPr>
        <w:t>Arquitectura Empresarial de TI</w:t>
      </w:r>
    </w:p>
    <w:p w14:paraId="1DA0F783">
      <w:pPr>
        <w:spacing w:after="0" w:line="360" w:lineRule="auto"/>
        <w:contextualSpacing/>
        <w:jc w:val="center"/>
        <w:rPr>
          <w:rFonts w:cs="Times New Roman"/>
          <w:szCs w:val="24"/>
          <w:lang w:val="es-ES"/>
        </w:rPr>
      </w:pPr>
      <w:r>
        <w:rPr>
          <w:rFonts w:hint="default" w:cs="Times New Roman"/>
          <w:szCs w:val="24"/>
          <w:lang w:val="es-ES"/>
        </w:rPr>
        <w:t>VII</w:t>
      </w:r>
    </w:p>
    <w:p w14:paraId="371390B4">
      <w:pPr>
        <w:jc w:val="both"/>
        <w:rPr>
          <w:lang w:val="es-ES"/>
        </w:rPr>
      </w:pPr>
      <w:bookmarkStart w:id="57" w:name="_GoBack"/>
      <w:bookmarkEnd w:id="57"/>
    </w:p>
    <w:p w14:paraId="256E2ABF">
      <w:pPr>
        <w:jc w:val="center"/>
      </w:pPr>
      <w:r>
        <w:t>Docente</w:t>
      </w:r>
    </w:p>
    <w:p w14:paraId="2C3958CD">
      <w:pPr>
        <w:jc w:val="center"/>
      </w:pPr>
      <w:r>
        <w:t>Jhon Jaime Mendez Alandete</w:t>
      </w:r>
    </w:p>
    <w:p w14:paraId="254F9680">
      <w:pPr>
        <w:jc w:val="both"/>
        <w:rPr>
          <w:rFonts w:hint="default"/>
          <w:lang w:val="es-ES"/>
        </w:rPr>
      </w:pPr>
    </w:p>
    <w:p w14:paraId="2B18F86C">
      <w:pPr>
        <w:jc w:val="center"/>
      </w:pPr>
    </w:p>
    <w:p w14:paraId="77FF23C5">
      <w:pPr>
        <w:jc w:val="center"/>
        <w:rPr>
          <w:rFonts w:hint="default"/>
          <w:lang w:val="es-ES"/>
        </w:rPr>
      </w:pPr>
      <w:r>
        <w:t>Corporación Universitaria del Caribe – CECA</w:t>
      </w:r>
      <w:r>
        <w:rPr>
          <w:rFonts w:hint="default"/>
          <w:lang w:val="es-ES"/>
        </w:rPr>
        <w:t>R</w:t>
      </w:r>
    </w:p>
    <w:p w14:paraId="34A4C1DA">
      <w:pPr>
        <w:jc w:val="center"/>
      </w:pPr>
      <w:r>
        <w:t>Facultad de Ciencias Básicas, Ingenierías y Arquitectura</w:t>
      </w:r>
    </w:p>
    <w:p w14:paraId="2FAD9A3E">
      <w:pPr>
        <w:jc w:val="center"/>
      </w:pPr>
      <w:r>
        <w:t>Ingeniería de Sistemas</w:t>
      </w:r>
    </w:p>
    <w:p w14:paraId="32031264">
      <w:pPr>
        <w:jc w:val="center"/>
      </w:pPr>
      <w:r>
        <w:t>Arquitectura empresarial</w:t>
      </w:r>
    </w:p>
    <w:p w14:paraId="7CF8116C">
      <w:pPr>
        <w:jc w:val="center"/>
        <w:rPr>
          <w:lang w:val="es-ES"/>
        </w:rPr>
      </w:pPr>
      <w:r>
        <w:rPr>
          <w:lang w:val="es-ES"/>
        </w:rPr>
        <w:t>Sincelejo - Sucre</w:t>
      </w:r>
    </w:p>
    <w:p w14:paraId="53C1505F">
      <w:pPr>
        <w:spacing w:after="0"/>
        <w:jc w:val="center"/>
        <w:rPr>
          <w:rFonts w:cs="Times New Roman"/>
          <w:szCs w:val="24"/>
          <w:lang w:val="es-ES"/>
        </w:rPr>
      </w:pPr>
      <w:r>
        <w:rPr>
          <w:rFonts w:cs="Times New Roman"/>
          <w:szCs w:val="24"/>
          <w:lang w:val="es-ES"/>
        </w:rPr>
        <w:t>2026</w:t>
      </w:r>
    </w:p>
    <w:sdt>
      <w:sdtPr>
        <w:rPr>
          <w:rFonts w:hint="default" w:ascii="Times New Roman" w:hAnsi="Times New Roman" w:eastAsia="SimSun" w:cs="Times New Roman"/>
          <w:b/>
          <w:bCs/>
          <w:sz w:val="24"/>
          <w:szCs w:val="24"/>
          <w:lang w:val="en-US" w:eastAsia="es-CO" w:bidi="ar-SA"/>
        </w:rPr>
        <w:id w:val="147481321"/>
        <w15:color w:val="DBDBDB"/>
        <w:docPartObj>
          <w:docPartGallery w:val="Table of Contents"/>
          <w:docPartUnique/>
        </w:docPartObj>
      </w:sdtPr>
      <w:sdtEndPr>
        <w:rPr>
          <w:rFonts w:hint="default" w:ascii="Times New Roman" w:hAnsi="Times New Roman" w:cs="Times New Roman" w:eastAsiaTheme="minorEastAsia"/>
          <w:b w:val="0"/>
          <w:bCs w:val="0"/>
          <w:sz w:val="24"/>
          <w:szCs w:val="24"/>
          <w:lang w:val="es-CO" w:eastAsia="es-CO" w:bidi="ar-SA"/>
        </w:rPr>
      </w:sdtEndPr>
      <w:sdtContent>
        <w:p w14:paraId="1B5E1279">
          <w:pPr>
            <w:spacing w:before="0" w:beforeLines="0" w:after="0" w:afterLines="0" w:line="240" w:lineRule="auto"/>
            <w:ind w:left="0" w:leftChars="0" w:right="0" w:rightChars="0" w:firstLine="0" w:firstLineChars="0"/>
            <w:jc w:val="center"/>
            <w:rPr>
              <w:rFonts w:hint="default" w:ascii="Times New Roman" w:hAnsi="Times New Roman" w:cs="Times New Roman"/>
              <w:b/>
              <w:bCs/>
              <w:sz w:val="24"/>
              <w:szCs w:val="24"/>
              <w:lang w:val="es-ES"/>
            </w:rPr>
          </w:pPr>
          <w:bookmarkStart w:id="0" w:name="_Toc10214"/>
          <w:r>
            <w:rPr>
              <w:rFonts w:hint="default" w:ascii="Times New Roman" w:hAnsi="Times New Roman" w:eastAsia="SimSun" w:cs="Times New Roman"/>
              <w:b/>
              <w:bCs/>
              <w:sz w:val="24"/>
              <w:szCs w:val="24"/>
              <w:lang w:val="es-ES" w:eastAsia="es-CO" w:bidi="ar-SA"/>
            </w:rPr>
            <w:t>Tabla de contenido</w:t>
          </w:r>
        </w:p>
        <w:p w14:paraId="2E3524C0">
          <w:pPr>
            <w:pStyle w:val="56"/>
            <w:tabs>
              <w:tab w:val="right" w:leader="dot" w:pos="9360"/>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TOC \o "1-2" \h \u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_Toc28138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 xml:space="preserve">1. </w:t>
          </w:r>
          <w:r>
            <w:rPr>
              <w:rFonts w:hint="default" w:ascii="Times New Roman" w:hAnsi="Times New Roman" w:cs="Times New Roman"/>
              <w:b w:val="0"/>
              <w:bCs w:val="0"/>
              <w:sz w:val="24"/>
              <w:szCs w:val="24"/>
              <w:lang w:val="es-ES"/>
            </w:rPr>
            <w:t>Introducción</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_Toc28138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2</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2FA65FB2">
          <w:pPr>
            <w:pStyle w:val="56"/>
            <w:tabs>
              <w:tab w:val="right" w:leader="dot" w:pos="9360"/>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_Toc22420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2. Modelo operativo: cómo opera sincinaty</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_Toc22420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3</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5D046E54">
          <w:pPr>
            <w:pStyle w:val="57"/>
            <w:tabs>
              <w:tab w:val="right" w:leader="dot" w:pos="9360"/>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_Toc4983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Fase 1 — Captación del usuario</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_Toc4983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4</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65653AB0">
          <w:pPr>
            <w:pStyle w:val="57"/>
            <w:tabs>
              <w:tab w:val="right" w:leader="dot" w:pos="9360"/>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_Toc25310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Fase 2 — Interacción y personalización</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_Toc25310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4</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5CDDA85E">
          <w:pPr>
            <w:pStyle w:val="57"/>
            <w:tabs>
              <w:tab w:val="right" w:leader="dot" w:pos="9360"/>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_Toc25189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Fase 3 — Transacción</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_Toc25189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4</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7BFDA7A4">
          <w:pPr>
            <w:pStyle w:val="57"/>
            <w:tabs>
              <w:tab w:val="right" w:leader="dot" w:pos="9360"/>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_Toc30153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Fase 4 — Entrega de valor y retroalimentación</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_Toc30153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4</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0140107A">
          <w:pPr>
            <w:pStyle w:val="56"/>
            <w:tabs>
              <w:tab w:val="right" w:leader="dot" w:pos="9360"/>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_Toc13347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3. Actores clave del negocio.</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_Toc13347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5</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2FF738F6">
          <w:pPr>
            <w:pStyle w:val="56"/>
            <w:tabs>
              <w:tab w:val="right" w:leader="dot" w:pos="9360"/>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_Toc17460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4. Procesos principales</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_Toc17460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6</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3106A951">
          <w:pPr>
            <w:pStyle w:val="57"/>
            <w:tabs>
              <w:tab w:val="right" w:leader="dot" w:pos="9360"/>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_Toc21651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4.1. Procesos de operación central</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_Toc21651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6</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41894BBC">
          <w:pPr>
            <w:pStyle w:val="57"/>
            <w:tabs>
              <w:tab w:val="right" w:leader="dot" w:pos="9360"/>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_Toc15347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4.2. Procesos de soporte</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_Toc15347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7</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380B315B">
          <w:pPr>
            <w:pStyle w:val="56"/>
            <w:tabs>
              <w:tab w:val="right" w:leader="dot" w:pos="9360"/>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_Toc28108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5. Capacidades de Negocio</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_Toc28108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7</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08471D61">
          <w:pPr>
            <w:pStyle w:val="56"/>
            <w:tabs>
              <w:tab w:val="right" w:leader="dot" w:pos="9360"/>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_Toc19467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6. Alineación con la Estrategia de Negocio</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_Toc19467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9</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5A30D5E1">
          <w:pPr>
            <w:pStyle w:val="57"/>
            <w:tabs>
              <w:tab w:val="right" w:leader="dot" w:pos="9360"/>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_Toc4830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6.1. El modelo operativo como motor de la propuesta de valor</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_Toc4830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9</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01E453B5">
          <w:pPr>
            <w:pStyle w:val="57"/>
            <w:tabs>
              <w:tab w:val="right" w:leader="dot" w:pos="9360"/>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_Toc8931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6.2. Los actores como red de valor</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_Toc8931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9</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31153FE2">
          <w:pPr>
            <w:pStyle w:val="57"/>
            <w:tabs>
              <w:tab w:val="right" w:leader="dot" w:pos="9360"/>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_Toc27080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6.3. Los procesos como garantía de calidad y escala</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_Toc27080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10</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7590AEA0">
          <w:pPr>
            <w:pStyle w:val="57"/>
            <w:tabs>
              <w:tab w:val="right" w:leader="dot" w:pos="9360"/>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_Toc748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6.4. Las capacidades como base de diferenciación sostenible</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_Toc748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10</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29927973">
          <w:pPr>
            <w:pStyle w:val="56"/>
            <w:tabs>
              <w:tab w:val="right" w:leader="dot" w:pos="9360"/>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_Toc13820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lang w:val="es-ES"/>
            </w:rPr>
            <w:t>7. Conclusión</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_Toc13820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12</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6E63A368">
          <w:pPr>
            <w:pStyle w:val="56"/>
            <w:tabs>
              <w:tab w:val="right" w:leader="dot" w:pos="9360"/>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_Toc2438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lang w:val="es-ES"/>
            </w:rPr>
            <w:t>8. Referencias bibliográficas</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_Toc2438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14</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2686F3EB">
          <w:pPr>
            <w:spacing w:before="0" w:beforeLines="0" w:after="0" w:afterLines="0" w:line="240" w:lineRule="auto"/>
            <w:ind w:left="0" w:leftChars="0" w:right="0" w:rightChars="0" w:firstLine="0" w:firstLineChars="0"/>
            <w:jc w:val="both"/>
            <w:rPr>
              <w:rFonts w:hint="default" w:ascii="Times New Roman" w:hAnsi="Times New Roman" w:cs="Times New Roman" w:eastAsiaTheme="minorEastAsia"/>
              <w:b w:val="0"/>
              <w:bCs w:val="0"/>
              <w:sz w:val="24"/>
              <w:szCs w:val="24"/>
              <w:lang w:val="es-CO" w:eastAsia="es-CO" w:bidi="ar-SA"/>
            </w:rPr>
          </w:pPr>
          <w:r>
            <w:rPr>
              <w:rFonts w:hint="default" w:ascii="Times New Roman" w:hAnsi="Times New Roman" w:cs="Times New Roman"/>
              <w:b w:val="0"/>
              <w:bCs w:val="0"/>
              <w:sz w:val="24"/>
              <w:szCs w:val="24"/>
            </w:rPr>
            <w:fldChar w:fldCharType="end"/>
          </w:r>
        </w:p>
      </w:sdtContent>
    </w:sdt>
    <w:p w14:paraId="4722B378">
      <w:pPr>
        <w:spacing w:before="0" w:beforeLines="0" w:after="0" w:afterLines="0" w:line="240" w:lineRule="auto"/>
        <w:ind w:left="0" w:leftChars="0" w:right="0" w:rightChars="0" w:firstLine="0" w:firstLineChars="0"/>
        <w:jc w:val="both"/>
        <w:rPr>
          <w:rFonts w:hint="default" w:ascii="Times New Roman" w:hAnsi="Times New Roman" w:cs="Times New Roman" w:eastAsiaTheme="minorEastAsia"/>
          <w:b w:val="0"/>
          <w:bCs w:val="0"/>
          <w:sz w:val="24"/>
          <w:szCs w:val="24"/>
          <w:lang w:val="es-CO" w:eastAsia="es-CO" w:bidi="ar-SA"/>
        </w:rPr>
      </w:pPr>
    </w:p>
    <w:p w14:paraId="262F9D15">
      <w:pPr>
        <w:spacing w:before="0" w:beforeLines="0" w:after="0" w:afterLines="0" w:line="240" w:lineRule="auto"/>
        <w:ind w:left="0" w:leftChars="0" w:right="0" w:rightChars="0" w:firstLine="0" w:firstLineChars="0"/>
        <w:jc w:val="both"/>
        <w:rPr>
          <w:rFonts w:ascii="Times New Roman" w:hAnsi="Times New Roman" w:eastAsiaTheme="minorEastAsia" w:cstheme="minorBidi"/>
          <w:b/>
          <w:sz w:val="24"/>
          <w:szCs w:val="22"/>
          <w:lang w:val="es-CO" w:eastAsia="es-CO" w:bidi="ar-SA"/>
        </w:rPr>
      </w:pPr>
      <w:r>
        <w:rPr>
          <w:rFonts w:hint="default" w:ascii="Times New Roman" w:hAnsi="Times New Roman" w:cs="Times New Roman" w:eastAsiaTheme="minorEastAsia"/>
          <w:b w:val="0"/>
          <w:bCs w:val="0"/>
          <w:sz w:val="24"/>
          <w:szCs w:val="24"/>
          <w:lang w:val="es-CO" w:eastAsia="es-CO" w:bidi="ar-SA"/>
        </w:rPr>
        <w:br w:type="textWrapping"/>
      </w:r>
      <w:r>
        <w:rPr>
          <w:rFonts w:ascii="Times New Roman" w:hAnsi="Times New Roman" w:eastAsiaTheme="minorEastAsia" w:cstheme="minorBidi"/>
          <w:b/>
          <w:sz w:val="24"/>
          <w:szCs w:val="22"/>
          <w:lang w:val="es-CO" w:eastAsia="es-CO" w:bidi="ar-SA"/>
        </w:rPr>
        <w:br w:type="textWrapping"/>
      </w:r>
    </w:p>
    <w:p w14:paraId="30F80477">
      <w:pPr>
        <w:spacing w:before="0" w:beforeLines="0" w:after="0" w:afterLines="0" w:line="240" w:lineRule="auto"/>
        <w:ind w:left="0" w:leftChars="0" w:right="0" w:rightChars="0" w:firstLine="0" w:firstLineChars="0"/>
        <w:jc w:val="both"/>
        <w:rPr>
          <w:rFonts w:ascii="Times New Roman" w:hAnsi="Times New Roman" w:eastAsiaTheme="minorEastAsia" w:cstheme="minorBidi"/>
          <w:b/>
          <w:sz w:val="24"/>
          <w:szCs w:val="22"/>
          <w:lang w:val="es-CO" w:eastAsia="es-CO" w:bidi="ar-SA"/>
        </w:rPr>
      </w:pPr>
    </w:p>
    <w:p w14:paraId="68ECC4C6">
      <w:pPr>
        <w:spacing w:before="0" w:beforeLines="0" w:after="0" w:afterLines="0" w:line="240" w:lineRule="auto"/>
        <w:ind w:left="0" w:leftChars="0" w:right="0" w:rightChars="0" w:firstLine="0" w:firstLineChars="0"/>
        <w:jc w:val="both"/>
        <w:rPr>
          <w:rFonts w:ascii="Times New Roman" w:hAnsi="Times New Roman" w:eastAsiaTheme="minorEastAsia" w:cstheme="minorBidi"/>
          <w:b/>
          <w:sz w:val="24"/>
          <w:szCs w:val="22"/>
          <w:lang w:val="es-CO" w:eastAsia="es-CO" w:bidi="ar-SA"/>
        </w:rPr>
      </w:pPr>
    </w:p>
    <w:p w14:paraId="4349866F">
      <w:pPr>
        <w:spacing w:before="0" w:beforeLines="0" w:after="0" w:afterLines="0" w:line="240" w:lineRule="auto"/>
        <w:ind w:left="0" w:leftChars="0" w:right="0" w:rightChars="0" w:firstLine="0" w:firstLineChars="0"/>
        <w:jc w:val="both"/>
        <w:rPr>
          <w:rFonts w:ascii="Times New Roman" w:hAnsi="Times New Roman" w:eastAsiaTheme="minorEastAsia" w:cstheme="minorBidi"/>
          <w:b/>
          <w:sz w:val="24"/>
          <w:szCs w:val="22"/>
          <w:lang w:val="es-CO" w:eastAsia="es-CO" w:bidi="ar-SA"/>
        </w:rPr>
      </w:pPr>
    </w:p>
    <w:p w14:paraId="6B1DC1E9">
      <w:pPr>
        <w:spacing w:before="0" w:beforeLines="0" w:after="0" w:afterLines="0" w:line="240" w:lineRule="auto"/>
        <w:ind w:left="0" w:leftChars="0" w:right="0" w:rightChars="0" w:firstLine="0" w:firstLineChars="0"/>
        <w:jc w:val="both"/>
        <w:rPr>
          <w:rFonts w:ascii="Times New Roman" w:hAnsi="Times New Roman" w:eastAsiaTheme="minorEastAsia" w:cstheme="minorBidi"/>
          <w:b/>
          <w:sz w:val="24"/>
          <w:szCs w:val="22"/>
          <w:lang w:val="es-CO" w:eastAsia="es-CO" w:bidi="ar-SA"/>
        </w:rPr>
      </w:pPr>
    </w:p>
    <w:p w14:paraId="42A4F8BE">
      <w:pPr>
        <w:spacing w:before="0" w:beforeLines="0" w:after="0" w:afterLines="0" w:line="240" w:lineRule="auto"/>
        <w:ind w:left="0" w:leftChars="0" w:right="0" w:rightChars="0" w:firstLine="0" w:firstLineChars="0"/>
        <w:jc w:val="both"/>
        <w:rPr>
          <w:rFonts w:ascii="Times New Roman" w:hAnsi="Times New Roman" w:eastAsiaTheme="minorEastAsia" w:cstheme="minorBidi"/>
          <w:b/>
          <w:sz w:val="24"/>
          <w:szCs w:val="22"/>
          <w:lang w:val="es-CO" w:eastAsia="es-CO" w:bidi="ar-SA"/>
        </w:rPr>
      </w:pPr>
    </w:p>
    <w:p w14:paraId="60E5893D">
      <w:pPr>
        <w:spacing w:before="0" w:beforeLines="0" w:after="0" w:afterLines="0" w:line="240" w:lineRule="auto"/>
        <w:ind w:left="0" w:leftChars="0" w:right="0" w:rightChars="0" w:firstLine="0" w:firstLineChars="0"/>
        <w:jc w:val="both"/>
        <w:rPr>
          <w:rFonts w:ascii="Times New Roman" w:hAnsi="Times New Roman" w:eastAsiaTheme="minorEastAsia" w:cstheme="minorBidi"/>
          <w:b/>
          <w:sz w:val="24"/>
          <w:szCs w:val="22"/>
          <w:lang w:val="es-CO" w:eastAsia="es-CO" w:bidi="ar-SA"/>
        </w:rPr>
      </w:pPr>
    </w:p>
    <w:p w14:paraId="29861A72">
      <w:pPr>
        <w:spacing w:before="0" w:beforeLines="0" w:after="0" w:afterLines="0" w:line="240" w:lineRule="auto"/>
        <w:ind w:left="0" w:leftChars="0" w:right="0" w:rightChars="0" w:firstLine="0" w:firstLineChars="0"/>
        <w:jc w:val="both"/>
        <w:rPr>
          <w:rFonts w:ascii="Times New Roman" w:hAnsi="Times New Roman" w:eastAsiaTheme="minorEastAsia" w:cstheme="minorBidi"/>
          <w:b/>
          <w:sz w:val="24"/>
          <w:szCs w:val="22"/>
          <w:lang w:val="es-CO" w:eastAsia="es-CO" w:bidi="ar-SA"/>
        </w:rPr>
      </w:pPr>
    </w:p>
    <w:p w14:paraId="0B8BFDFE">
      <w:pPr>
        <w:spacing w:before="0" w:beforeLines="0" w:after="0" w:afterLines="0" w:line="240" w:lineRule="auto"/>
        <w:ind w:left="0" w:leftChars="0" w:right="0" w:rightChars="0" w:firstLine="0" w:firstLineChars="0"/>
        <w:jc w:val="both"/>
        <w:rPr>
          <w:rFonts w:ascii="Times New Roman" w:hAnsi="Times New Roman" w:eastAsiaTheme="minorEastAsia" w:cstheme="minorBidi"/>
          <w:b/>
          <w:sz w:val="24"/>
          <w:szCs w:val="22"/>
          <w:lang w:val="es-CO" w:eastAsia="es-CO" w:bidi="ar-SA"/>
        </w:rPr>
      </w:pPr>
    </w:p>
    <w:p w14:paraId="0BF42D14">
      <w:pPr>
        <w:spacing w:before="0" w:beforeLines="0" w:after="0" w:afterLines="0" w:line="240" w:lineRule="auto"/>
        <w:ind w:left="0" w:leftChars="0" w:right="0" w:rightChars="0" w:firstLine="0" w:firstLineChars="0"/>
        <w:jc w:val="both"/>
        <w:rPr>
          <w:rFonts w:ascii="Times New Roman" w:hAnsi="Times New Roman" w:eastAsiaTheme="minorEastAsia" w:cstheme="minorBidi"/>
          <w:b/>
          <w:sz w:val="24"/>
          <w:szCs w:val="22"/>
          <w:lang w:val="es-CO" w:eastAsia="es-CO" w:bidi="ar-SA"/>
        </w:rPr>
      </w:pPr>
    </w:p>
    <w:p w14:paraId="65DDFE27">
      <w:pPr>
        <w:spacing w:before="0" w:beforeLines="0" w:after="0" w:afterLines="0" w:line="240" w:lineRule="auto"/>
        <w:ind w:left="0" w:leftChars="0" w:right="0" w:rightChars="0" w:firstLine="0" w:firstLineChars="0"/>
        <w:jc w:val="both"/>
        <w:rPr>
          <w:rFonts w:ascii="Times New Roman" w:hAnsi="Times New Roman" w:eastAsiaTheme="minorEastAsia" w:cstheme="minorBidi"/>
          <w:b/>
          <w:sz w:val="24"/>
          <w:szCs w:val="22"/>
          <w:lang w:val="es-CO" w:eastAsia="es-CO" w:bidi="ar-SA"/>
        </w:rPr>
      </w:pPr>
    </w:p>
    <w:p w14:paraId="1B2EB9AA">
      <w:pPr>
        <w:spacing w:before="0" w:beforeLines="0" w:after="0" w:afterLines="0" w:line="240" w:lineRule="auto"/>
        <w:ind w:left="0" w:leftChars="0" w:right="0" w:rightChars="0" w:firstLine="0" w:firstLineChars="0"/>
        <w:jc w:val="both"/>
        <w:rPr>
          <w:rFonts w:ascii="Times New Roman" w:hAnsi="Times New Roman" w:eastAsiaTheme="minorEastAsia" w:cstheme="minorBidi"/>
          <w:b/>
          <w:sz w:val="24"/>
          <w:szCs w:val="22"/>
          <w:lang w:val="es-CO" w:eastAsia="es-CO" w:bidi="ar-SA"/>
        </w:rPr>
      </w:pPr>
    </w:p>
    <w:p w14:paraId="500BEC5A">
      <w:pPr>
        <w:spacing w:before="0" w:beforeLines="0" w:after="0" w:afterLines="0" w:line="240" w:lineRule="auto"/>
        <w:ind w:left="0" w:leftChars="0" w:right="0" w:rightChars="0" w:firstLine="0" w:firstLineChars="0"/>
        <w:jc w:val="both"/>
        <w:rPr>
          <w:rFonts w:ascii="Times New Roman" w:hAnsi="Times New Roman" w:eastAsiaTheme="minorEastAsia" w:cstheme="minorBidi"/>
          <w:b/>
          <w:sz w:val="24"/>
          <w:szCs w:val="22"/>
          <w:lang w:val="es-CO" w:eastAsia="es-CO" w:bidi="ar-SA"/>
        </w:rPr>
      </w:pPr>
    </w:p>
    <w:p w14:paraId="2ED26572">
      <w:pPr>
        <w:spacing w:before="0" w:beforeLines="0" w:after="0" w:afterLines="0" w:line="240" w:lineRule="auto"/>
        <w:ind w:left="0" w:leftChars="0" w:right="0" w:rightChars="0" w:firstLine="0" w:firstLineChars="0"/>
        <w:jc w:val="both"/>
        <w:rPr>
          <w:rFonts w:ascii="Times New Roman" w:hAnsi="Times New Roman" w:eastAsiaTheme="minorEastAsia" w:cstheme="minorBidi"/>
          <w:b/>
          <w:sz w:val="24"/>
          <w:szCs w:val="22"/>
          <w:lang w:val="es-CO" w:eastAsia="es-CO" w:bidi="ar-SA"/>
        </w:rPr>
      </w:pPr>
    </w:p>
    <w:p w14:paraId="4E41F958">
      <w:pPr>
        <w:rPr>
          <w:rFonts w:ascii="Times New Roman" w:hAnsi="Times New Roman" w:eastAsiaTheme="minorEastAsia" w:cstheme="minorBidi"/>
          <w:b/>
          <w:sz w:val="24"/>
          <w:szCs w:val="22"/>
          <w:lang w:val="es-CO" w:eastAsia="es-CO" w:bidi="ar-SA"/>
        </w:rPr>
      </w:pPr>
      <w:r>
        <w:rPr>
          <w:rFonts w:ascii="Times New Roman" w:hAnsi="Times New Roman" w:eastAsiaTheme="minorEastAsia" w:cstheme="minorBidi"/>
          <w:b/>
          <w:sz w:val="24"/>
          <w:szCs w:val="22"/>
          <w:lang w:val="es-CO" w:eastAsia="es-CO" w:bidi="ar-SA"/>
        </w:rPr>
        <w:br w:type="page"/>
      </w:r>
    </w:p>
    <w:p w14:paraId="0B9338AF">
      <w:pPr>
        <w:pStyle w:val="2"/>
        <w:numPr>
          <w:ilvl w:val="0"/>
          <w:numId w:val="1"/>
        </w:numPr>
        <w:bidi w:val="0"/>
        <w:ind w:left="425" w:leftChars="0" w:hanging="425" w:firstLineChars="0"/>
        <w:jc w:val="center"/>
      </w:pPr>
      <w:bookmarkStart w:id="1" w:name="_Toc28138"/>
      <w:bookmarkStart w:id="2" w:name="_Toc704"/>
      <w:r>
        <w:rPr>
          <w:rFonts w:hint="default"/>
          <w:lang w:val="es-ES"/>
        </w:rPr>
        <w:t>Introducción</w:t>
      </w:r>
      <w:bookmarkEnd w:id="1"/>
      <w:bookmarkEnd w:id="2"/>
    </w:p>
    <w:p w14:paraId="5007D1E5">
      <w:pPr>
        <w:spacing w:before="80" w:after="100" w:line="276" w:lineRule="auto"/>
        <w:ind w:firstLine="708" w:firstLineChars="0"/>
        <w:jc w:val="both"/>
        <w:rPr>
          <w:rFonts w:hint="default" w:ascii="Times New Roman" w:hAnsi="Times New Roman" w:cs="Times New Roman"/>
          <w:sz w:val="24"/>
          <w:szCs w:val="24"/>
        </w:rPr>
      </w:pPr>
      <w:r>
        <w:rPr>
          <w:rFonts w:hint="default" w:ascii="Times New Roman" w:hAnsi="Times New Roman" w:eastAsia="Arial" w:cs="Times New Roman"/>
          <w:color w:val="1A1A1A"/>
          <w:sz w:val="24"/>
          <w:szCs w:val="24"/>
        </w:rPr>
        <w:t>El turismo representa uno de los sectores con mayor potencial de desarrollo económico y social para el departamento de Sucre</w:t>
      </w:r>
      <w:r>
        <w:rPr>
          <w:rFonts w:hint="default" w:eastAsia="Arial" w:cs="Times New Roman"/>
          <w:color w:val="1A1A1A"/>
          <w:sz w:val="24"/>
          <w:szCs w:val="24"/>
          <w:lang w:val="es-ES"/>
        </w:rPr>
        <w:t xml:space="preserve"> </w:t>
      </w:r>
      <w:r>
        <w:rPr>
          <w:rFonts w:hint="default" w:eastAsia="Arial"/>
          <w:color w:val="1A1A1A"/>
          <w:sz w:val="24"/>
          <w:szCs w:val="24"/>
          <w:lang w:val="es-ES"/>
        </w:rPr>
        <w:t>(Gobernación de Sucre, 2020; Ministerio de Comercio, Industria y Turismo, 2022)</w:t>
      </w:r>
      <w:r>
        <w:rPr>
          <w:rFonts w:hint="default" w:ascii="Times New Roman" w:hAnsi="Times New Roman" w:eastAsia="Arial" w:cs="Times New Roman"/>
          <w:color w:val="1A1A1A"/>
          <w:sz w:val="24"/>
          <w:szCs w:val="24"/>
        </w:rPr>
        <w:t>. Sin embargo, a pesar de contar con una oferta cultural, natural y patrimonial significativa —desde las festividades del Porro Pelayero hasta los ecosistemas de la Ciénaga Grande de Lorica y los atractivos históricos de Mompox y San Marcos—, la región enfrenta un reto estructural: la desarticulación y escasa digitalización de sus servicios turísticos</w:t>
      </w:r>
      <w:r>
        <w:rPr>
          <w:rFonts w:hint="default" w:eastAsia="Arial" w:cs="Times New Roman"/>
          <w:color w:val="1A1A1A"/>
          <w:sz w:val="24"/>
          <w:szCs w:val="24"/>
          <w:lang w:val="es-ES"/>
        </w:rPr>
        <w:t xml:space="preserve"> </w:t>
      </w:r>
      <w:r>
        <w:rPr>
          <w:rFonts w:hint="default" w:eastAsia="Arial"/>
          <w:color w:val="1A1A1A"/>
          <w:sz w:val="24"/>
          <w:szCs w:val="24"/>
          <w:lang w:val="es-ES"/>
        </w:rPr>
        <w:t>(Fontur Colombia, 2022)</w:t>
      </w:r>
      <w:r>
        <w:rPr>
          <w:rFonts w:hint="default" w:ascii="Times New Roman" w:hAnsi="Times New Roman" w:eastAsia="Arial" w:cs="Times New Roman"/>
          <w:color w:val="1A1A1A"/>
          <w:sz w:val="24"/>
          <w:szCs w:val="24"/>
        </w:rPr>
        <w:t>, que dificulta tanto la planificación del visitante como la visibilidad y rentabilidad de los prestadores locales.</w:t>
      </w:r>
    </w:p>
    <w:p w14:paraId="6005A36D">
      <w:pPr>
        <w:spacing w:before="80" w:after="100" w:line="276" w:lineRule="auto"/>
        <w:ind w:firstLine="708" w:firstLineChars="0"/>
        <w:jc w:val="both"/>
        <w:rPr>
          <w:rFonts w:hint="default" w:ascii="Times New Roman" w:hAnsi="Times New Roman" w:cs="Times New Roman"/>
          <w:sz w:val="24"/>
          <w:szCs w:val="24"/>
        </w:rPr>
      </w:pPr>
      <w:r>
        <w:rPr>
          <w:rFonts w:hint="default" w:ascii="Times New Roman" w:hAnsi="Times New Roman" w:eastAsia="Arial" w:cs="Times New Roman"/>
          <w:color w:val="1A1A1A"/>
          <w:sz w:val="24"/>
          <w:szCs w:val="24"/>
        </w:rPr>
        <w:t>Es en este contexto donde surge Sincinaty, una plataforma digital de turismo concebida para transformar la manera en que los viajeros descubren, planifican y viven experiencias en Sucre. A diferencia de soluciones genéricas como TripAdvisor o Google Maps, Sincinaty apuesta por el conocimiento territorial profundo, la personalización de la experiencia y la articulación directa con los actores del ecosistema turístico local, generando valor para todas las partes involucradas</w:t>
      </w:r>
      <w:r>
        <w:rPr>
          <w:rFonts w:hint="default" w:eastAsia="Arial" w:cs="Times New Roman"/>
          <w:color w:val="1A1A1A"/>
          <w:sz w:val="24"/>
          <w:szCs w:val="24"/>
          <w:lang w:val="es-ES"/>
        </w:rPr>
        <w:t xml:space="preserve"> </w:t>
      </w:r>
      <w:r>
        <w:rPr>
          <w:rFonts w:hint="default" w:eastAsia="Arial"/>
          <w:color w:val="1A1A1A"/>
          <w:sz w:val="24"/>
          <w:szCs w:val="24"/>
          <w:lang w:val="es-ES"/>
        </w:rPr>
        <w:t>(Osterwalder &amp; Pigneur, 2010; Durán, 2018)</w:t>
      </w:r>
      <w:r>
        <w:rPr>
          <w:rFonts w:hint="default" w:ascii="Times New Roman" w:hAnsi="Times New Roman" w:eastAsia="Arial" w:cs="Times New Roman"/>
          <w:color w:val="1A1A1A"/>
          <w:sz w:val="24"/>
          <w:szCs w:val="24"/>
        </w:rPr>
        <w:t>.</w:t>
      </w:r>
    </w:p>
    <w:p w14:paraId="0D831315">
      <w:pPr>
        <w:spacing w:before="80" w:after="100" w:line="276" w:lineRule="auto"/>
        <w:ind w:firstLine="708" w:firstLineChars="0"/>
        <w:jc w:val="both"/>
        <w:rPr>
          <w:rFonts w:hint="default" w:ascii="Times New Roman" w:hAnsi="Times New Roman" w:cs="Times New Roman"/>
          <w:sz w:val="24"/>
          <w:szCs w:val="24"/>
        </w:rPr>
      </w:pPr>
      <w:r>
        <w:rPr>
          <w:rFonts w:hint="default" w:ascii="Times New Roman" w:hAnsi="Times New Roman" w:eastAsia="Arial" w:cs="Times New Roman"/>
          <w:color w:val="1A1A1A"/>
          <w:sz w:val="24"/>
          <w:szCs w:val="24"/>
        </w:rPr>
        <w:t>El presente documento constituye la primera versión de la arquitectura de negocio de Sincinaty, construida a partir de la oportunidad identificada en el Taller #1. Siguiendo los principios del marco TOGAF y los fundamentos de la arquitectura empresarial</w:t>
      </w:r>
      <w:r>
        <w:rPr>
          <w:rFonts w:hint="default" w:eastAsia="Arial" w:cs="Times New Roman"/>
          <w:color w:val="1A1A1A"/>
          <w:sz w:val="24"/>
          <w:szCs w:val="24"/>
          <w:lang w:val="es-ES"/>
        </w:rPr>
        <w:t xml:space="preserve"> </w:t>
      </w:r>
      <w:r>
        <w:rPr>
          <w:rFonts w:hint="default" w:eastAsia="Arial"/>
          <w:color w:val="1A1A1A"/>
          <w:sz w:val="24"/>
          <w:szCs w:val="24"/>
          <w:lang w:val="es-ES"/>
        </w:rPr>
        <w:t>(The Open Group, 2018)</w:t>
      </w:r>
      <w:r>
        <w:rPr>
          <w:rFonts w:hint="default" w:ascii="Times New Roman" w:hAnsi="Times New Roman" w:eastAsia="Arial" w:cs="Times New Roman"/>
          <w:color w:val="1A1A1A"/>
          <w:sz w:val="24"/>
          <w:szCs w:val="24"/>
        </w:rPr>
        <w:t>, se desarrollan cinco componentes esenciales: el modelo operativo que describe cómo fluye el valor dentro de la empresa, los actores clave que conforman su ecosistema, los procesos principales que sostienen su operación, las capacidades organizacionales que la diferencian y la alineación de todos estos elementos con la estrategia competitiva planteada</w:t>
      </w:r>
      <w:r>
        <w:rPr>
          <w:rFonts w:hint="default" w:eastAsia="Arial" w:cs="Times New Roman"/>
          <w:color w:val="1A1A1A"/>
          <w:sz w:val="24"/>
          <w:szCs w:val="24"/>
          <w:lang w:val="es-ES"/>
        </w:rPr>
        <w:t xml:space="preserve"> </w:t>
      </w:r>
      <w:r>
        <w:rPr>
          <w:rFonts w:hint="default" w:eastAsia="Arial"/>
          <w:color w:val="1A1A1A"/>
          <w:sz w:val="24"/>
          <w:szCs w:val="24"/>
          <w:lang w:val="es-ES"/>
        </w:rPr>
        <w:t>(Reyes-Castillo &amp; Sierra-García, 2022)</w:t>
      </w:r>
      <w:r>
        <w:rPr>
          <w:rFonts w:hint="default" w:ascii="Times New Roman" w:hAnsi="Times New Roman" w:eastAsia="Arial" w:cs="Times New Roman"/>
          <w:color w:val="1A1A1A"/>
          <w:sz w:val="24"/>
          <w:szCs w:val="24"/>
        </w:rPr>
        <w:t>.</w:t>
      </w:r>
    </w:p>
    <w:p w14:paraId="4AA711B6">
      <w:pPr>
        <w:spacing w:before="80" w:after="100" w:line="276" w:lineRule="auto"/>
        <w:ind w:firstLine="708" w:firstLineChars="0"/>
        <w:jc w:val="both"/>
        <w:rPr>
          <w:rFonts w:hint="default" w:ascii="Times New Roman" w:hAnsi="Times New Roman" w:cs="Times New Roman"/>
          <w:sz w:val="24"/>
          <w:szCs w:val="24"/>
        </w:rPr>
      </w:pPr>
      <w:r>
        <w:rPr>
          <w:rFonts w:hint="default" w:ascii="Times New Roman" w:hAnsi="Times New Roman" w:eastAsia="Arial" w:cs="Times New Roman"/>
          <w:color w:val="1A1A1A"/>
          <w:sz w:val="24"/>
          <w:szCs w:val="24"/>
        </w:rPr>
        <w:t>El objetivo central de este análisis es demostrar que Sincinaty no es únicamente una idea de aplicación tecnológica, sino una organización con una lógica de negocio coherente, estructurada y escalable, capaz de competir y generar impacto real en la economía turística del departamento de Sucre</w:t>
      </w:r>
      <w:r>
        <w:rPr>
          <w:rFonts w:hint="default" w:eastAsia="Arial" w:cs="Times New Roman"/>
          <w:color w:val="1A1A1A"/>
          <w:sz w:val="24"/>
          <w:szCs w:val="24"/>
          <w:lang w:val="es-ES"/>
        </w:rPr>
        <w:t xml:space="preserve"> </w:t>
      </w:r>
      <w:r>
        <w:rPr>
          <w:rFonts w:hint="default" w:eastAsia="Arial"/>
          <w:color w:val="1A1A1A"/>
          <w:sz w:val="24"/>
          <w:szCs w:val="24"/>
          <w:lang w:val="es-ES"/>
        </w:rPr>
        <w:t>(Porter, 2008; Alcaldía de Sincelejo, 2023)</w:t>
      </w:r>
      <w:r>
        <w:rPr>
          <w:rFonts w:hint="default" w:ascii="Times New Roman" w:hAnsi="Times New Roman" w:eastAsia="Arial" w:cs="Times New Roman"/>
          <w:color w:val="1A1A1A"/>
          <w:sz w:val="24"/>
          <w:szCs w:val="24"/>
        </w:rPr>
        <w:t>.</w:t>
      </w:r>
    </w:p>
    <w:p w14:paraId="57BAC314"/>
    <w:p w14:paraId="348DAAF9"/>
    <w:p w14:paraId="51432DC1"/>
    <w:p w14:paraId="72035DD8"/>
    <w:p w14:paraId="21CD793E"/>
    <w:p w14:paraId="02B715AD">
      <w:pPr>
        <w:pStyle w:val="2"/>
        <w:numPr>
          <w:ilvl w:val="0"/>
          <w:numId w:val="1"/>
        </w:numPr>
        <w:bidi w:val="0"/>
        <w:ind w:left="425" w:leftChars="0" w:hanging="425" w:firstLineChars="0"/>
        <w:jc w:val="center"/>
      </w:pPr>
      <w:bookmarkStart w:id="3" w:name="_Toc22420"/>
      <w:bookmarkStart w:id="4" w:name="_Toc7633"/>
      <w:r>
        <w:t>Modelo operativo: cómo opera sincinaty</w:t>
      </w:r>
      <w:bookmarkEnd w:id="0"/>
      <w:bookmarkEnd w:id="3"/>
      <w:bookmarkEnd w:id="4"/>
    </w:p>
    <w:p w14:paraId="1B0D365C">
      <w:pPr>
        <w:pStyle w:val="34"/>
        <w:spacing w:before="80" w:after="80"/>
        <w:ind w:left="0" w:leftChars="0" w:firstLine="708" w:firstLineChars="0"/>
      </w:pPr>
      <w:r>
        <w:t>El modelo operativo de Sincinaty describe el flujo mediante el cual la empresa genera y entrega valor</w:t>
      </w:r>
      <w:r>
        <w:rPr>
          <w:rFonts w:hint="default"/>
          <w:lang w:val="es-ES"/>
        </w:rPr>
        <w:t xml:space="preserve"> (BOC Group, 2023)</w:t>
      </w:r>
      <w:r>
        <w:t>, desde el primer contacto con el turista hasta la conclusión de su experiencia en el departamento de Sucre. Este flujo se estructura en cuatro fases: captación, interacción, transacción y entrega de valor.</w:t>
      </w:r>
    </w:p>
    <w:p w14:paraId="1DC88279">
      <w:pPr>
        <w:pStyle w:val="34"/>
        <w:spacing w:before="80" w:after="80"/>
        <w:rPr>
          <w:rFonts w:eastAsia="Arial"/>
          <w:sz w:val="20"/>
          <w:szCs w:val="20"/>
        </w:rPr>
      </w:pPr>
    </w:p>
    <w:p w14:paraId="6AEDE246">
      <w:pPr>
        <w:pStyle w:val="3"/>
        <w:bidi w:val="0"/>
      </w:pPr>
      <w:bookmarkStart w:id="5" w:name="_Toc16368"/>
      <w:bookmarkStart w:id="6" w:name="_Toc5566"/>
      <w:bookmarkStart w:id="7" w:name="_Toc4983"/>
      <w:r>
        <w:t>Fase 1 — Captación del usuario</w:t>
      </w:r>
      <w:bookmarkEnd w:id="5"/>
      <w:bookmarkEnd w:id="6"/>
      <w:bookmarkEnd w:id="7"/>
    </w:p>
    <w:p w14:paraId="2D1FDC73">
      <w:pPr>
        <w:pStyle w:val="34"/>
        <w:spacing w:before="160" w:after="60"/>
        <w:ind w:left="0" w:leftChars="0" w:firstLine="708" w:firstLineChars="0"/>
      </w:pPr>
      <w:r>
        <w:t>El turista —nacional, internacional o habitante local— descubre Sincinaty a través de canales como redes sociales, alianzas con agencias de viaje, la Gobernación de Sucre, instituciones como Fontur, o mediante búsquedas orgánicas en internet. En esta fase la empresa construye visibilidad posicionándose como la plataforma de referencia para el turismo en Sucre. La propuesta de valor se comunica con claridad: descubre, planifica y reserva experiencias turísticas en Sucre desde un solo lugar.</w:t>
      </w:r>
    </w:p>
    <w:p w14:paraId="713D0828">
      <w:pPr>
        <w:pStyle w:val="34"/>
        <w:spacing w:before="160" w:after="60"/>
      </w:pPr>
    </w:p>
    <w:p w14:paraId="3A58EB70">
      <w:pPr>
        <w:pStyle w:val="3"/>
        <w:bidi w:val="0"/>
      </w:pPr>
      <w:bookmarkStart w:id="8" w:name="_Toc13126"/>
      <w:bookmarkStart w:id="9" w:name="_Toc13024"/>
      <w:bookmarkStart w:id="10" w:name="_Toc25310"/>
      <w:r>
        <w:t>Fase 2 — Interacción y personalización</w:t>
      </w:r>
      <w:bookmarkEnd w:id="8"/>
      <w:bookmarkEnd w:id="9"/>
      <w:bookmarkEnd w:id="10"/>
    </w:p>
    <w:p w14:paraId="004D025B">
      <w:pPr>
        <w:pStyle w:val="34"/>
        <w:spacing w:before="80" w:after="80"/>
        <w:ind w:left="0" w:leftChars="0" w:firstLine="708" w:firstLineChars="0"/>
      </w:pPr>
      <w:r>
        <w:t>Una vez en la plataforma, el usuario navega por un catálogo de destinos, rutas, actividades y servicios del departamento. La plataforma analiza su comportamiento, preferencias e historial para presentarle recomendaciones relevantes. El turista puede explorar el mapa del departamento, leer reseñas verificadas de otros viajeros, consultar calificaciones de los prestadores y construir su itinerario personalizado. Esta fase es el núcleo diferenciador de Sincinaty: no se limita a mostrar información, sino que organiza la experiencia.</w:t>
      </w:r>
    </w:p>
    <w:p w14:paraId="2C20E5CD">
      <w:pPr>
        <w:pStyle w:val="34"/>
        <w:spacing w:before="160" w:after="60"/>
        <w:ind w:left="0" w:leftChars="0" w:firstLine="0" w:firstLineChars="0"/>
        <w:rPr>
          <w:b/>
          <w:bCs/>
          <w:sz w:val="21"/>
          <w:szCs w:val="21"/>
        </w:rPr>
      </w:pPr>
    </w:p>
    <w:p w14:paraId="2560084B">
      <w:pPr>
        <w:pStyle w:val="3"/>
        <w:bidi w:val="0"/>
      </w:pPr>
      <w:bookmarkStart w:id="11" w:name="_Toc25189"/>
      <w:bookmarkStart w:id="12" w:name="_Toc26836"/>
      <w:bookmarkStart w:id="13" w:name="_Toc26804"/>
      <w:r>
        <w:t>Fase 3 — Transacción</w:t>
      </w:r>
      <w:bookmarkEnd w:id="11"/>
      <w:bookmarkEnd w:id="12"/>
      <w:bookmarkEnd w:id="13"/>
    </w:p>
    <w:p w14:paraId="702AF7AB">
      <w:pPr>
        <w:pStyle w:val="34"/>
        <w:spacing w:before="80" w:after="80"/>
        <w:ind w:left="0" w:leftChars="0" w:firstLine="708" w:firstLineChars="0"/>
      </w:pPr>
      <w:r>
        <w:t>Cuando el usuario selecciona una actividad, ruta o servicio, procede a realizar una reserva o consulta directamente en la plataforma. Sincinaty actúa como intermediario confiable entre el turista y el prestador de servicio (guía turístico, hotel, restaurante, operador de ecoturismo, etc.), gestionando la confirmación, los pagos y la comunicación entre partes. La empresa genera ingresos mediante comisiones por reserva, cuotas de membresía a prestadores y publicidad de negocios locales dentro de la plataforma.</w:t>
      </w:r>
    </w:p>
    <w:p w14:paraId="38FF8272">
      <w:pPr>
        <w:pStyle w:val="34"/>
        <w:spacing w:before="80" w:after="80"/>
      </w:pPr>
    </w:p>
    <w:p w14:paraId="3B6C3BDB">
      <w:pPr>
        <w:pStyle w:val="3"/>
        <w:bidi w:val="0"/>
      </w:pPr>
      <w:bookmarkStart w:id="14" w:name="_Toc1166"/>
      <w:bookmarkStart w:id="15" w:name="_Toc30153"/>
      <w:bookmarkStart w:id="16" w:name="_Toc6880"/>
      <w:r>
        <w:t>Fase 4 — Entrega de valor y retroalimentación</w:t>
      </w:r>
      <w:bookmarkEnd w:id="14"/>
      <w:bookmarkEnd w:id="15"/>
      <w:bookmarkEnd w:id="16"/>
    </w:p>
    <w:p w14:paraId="3884D120">
      <w:pPr>
        <w:pStyle w:val="34"/>
        <w:spacing w:before="80" w:after="80"/>
        <w:ind w:left="0" w:leftChars="0" w:firstLine="708" w:firstLineChars="0"/>
      </w:pPr>
      <w:r>
        <w:t>El turista vive la experiencia con los prestadores locales, apoyado por información actualizada y soporte dentro de la plataforma. Tras el servicio, el usuario evalúa y califica, alimentando el sistema de reseñas que construye la reputación del ecosistema. Esta retroalimentación mejora continuamente las recomendaciones y la calidad de los prestadores activos en la plataforma.</w:t>
      </w:r>
    </w:p>
    <w:p w14:paraId="423C8EAB">
      <w:pPr>
        <w:pStyle w:val="34"/>
        <w:spacing w:before="80" w:after="80"/>
        <w:ind w:left="0" w:leftChars="0" w:firstLine="0" w:firstLineChars="0"/>
      </w:pPr>
    </w:p>
    <w:p w14:paraId="2B23D002">
      <w:pPr>
        <w:pStyle w:val="11"/>
        <w:rPr>
          <w:rFonts w:hint="default" w:ascii="Times New Roman" w:hAnsi="Times New Roman" w:cs="Times New Roman"/>
          <w:sz w:val="16"/>
          <w:szCs w:val="16"/>
          <w:lang w:val="es-ES"/>
        </w:rPr>
      </w:pPr>
      <w:r>
        <w:rPr>
          <w:rFonts w:hint="default" w:ascii="Times New Roman" w:hAnsi="Times New Roman" w:cs="Times New Roman"/>
          <w:b/>
          <w:bCs/>
          <w:sz w:val="16"/>
          <w:szCs w:val="16"/>
        </w:rPr>
        <w:t>Tabl</w:t>
      </w:r>
      <w:r>
        <w:rPr>
          <w:rFonts w:hint="default" w:ascii="Times New Roman" w:hAnsi="Times New Roman" w:cs="Times New Roman"/>
          <w:b/>
          <w:bCs/>
          <w:sz w:val="16"/>
          <w:szCs w:val="16"/>
          <w:lang w:val="es-ES"/>
        </w:rPr>
        <w:t>a</w:t>
      </w:r>
      <w:r>
        <w:rPr>
          <w:rFonts w:hint="default" w:ascii="Times New Roman" w:hAnsi="Times New Roman" w:cs="Times New Roman"/>
          <w:b/>
          <w:bCs/>
          <w:sz w:val="16"/>
          <w:szCs w:val="16"/>
        </w:rPr>
        <w:t xml:space="preserve"> </w:t>
      </w:r>
      <w:r>
        <w:rPr>
          <w:rFonts w:hint="default" w:ascii="Times New Roman" w:hAnsi="Times New Roman" w:cs="Times New Roman"/>
          <w:b/>
          <w:bCs/>
          <w:sz w:val="16"/>
          <w:szCs w:val="16"/>
        </w:rPr>
        <w:fldChar w:fldCharType="begin"/>
      </w:r>
      <w:r>
        <w:rPr>
          <w:rFonts w:hint="default" w:ascii="Times New Roman" w:hAnsi="Times New Roman" w:cs="Times New Roman"/>
          <w:b/>
          <w:bCs/>
          <w:sz w:val="16"/>
          <w:szCs w:val="16"/>
        </w:rPr>
        <w:instrText xml:space="preserve"> SEQ Table \* ARABIC </w:instrText>
      </w:r>
      <w:r>
        <w:rPr>
          <w:rFonts w:hint="default" w:ascii="Times New Roman" w:hAnsi="Times New Roman" w:cs="Times New Roman"/>
          <w:b/>
          <w:bCs/>
          <w:sz w:val="16"/>
          <w:szCs w:val="16"/>
        </w:rPr>
        <w:fldChar w:fldCharType="separate"/>
      </w:r>
      <w:r>
        <w:rPr>
          <w:rFonts w:hint="default" w:ascii="Times New Roman" w:hAnsi="Times New Roman" w:cs="Times New Roman"/>
          <w:b/>
          <w:bCs/>
          <w:sz w:val="16"/>
          <w:szCs w:val="16"/>
        </w:rPr>
        <w:t>1</w:t>
      </w:r>
      <w:r>
        <w:rPr>
          <w:rFonts w:hint="default" w:ascii="Times New Roman" w:hAnsi="Times New Roman" w:cs="Times New Roman"/>
          <w:b/>
          <w:bCs/>
          <w:sz w:val="16"/>
          <w:szCs w:val="16"/>
        </w:rPr>
        <w:fldChar w:fldCharType="end"/>
      </w:r>
      <w:r>
        <w:rPr>
          <w:rFonts w:hint="default" w:ascii="Times New Roman" w:hAnsi="Times New Roman" w:cs="Times New Roman"/>
          <w:b/>
          <w:bCs/>
          <w:sz w:val="16"/>
          <w:szCs w:val="16"/>
          <w:lang w:val="es-ES"/>
        </w:rPr>
        <w:t>.</w:t>
      </w:r>
    </w:p>
    <w:p w14:paraId="1C54ED78">
      <w:pPr>
        <w:pStyle w:val="11"/>
        <w:rPr>
          <w:rFonts w:hint="default" w:ascii="Times New Roman" w:hAnsi="Times New Roman" w:cs="Times New Roman"/>
          <w:sz w:val="16"/>
          <w:szCs w:val="16"/>
          <w:lang w:val="es-ES"/>
        </w:rPr>
      </w:pPr>
      <w:r>
        <w:rPr>
          <w:rFonts w:hint="default" w:ascii="Times New Roman" w:hAnsi="Times New Roman" w:cs="Times New Roman"/>
          <w:sz w:val="16"/>
          <w:szCs w:val="16"/>
          <w:lang w:val="es-ES"/>
        </w:rPr>
        <w:t>Funcionamiento del negocio de Sincinaty.</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4"/>
        <w:gridCol w:w="2394"/>
        <w:gridCol w:w="2394"/>
        <w:gridCol w:w="2394"/>
      </w:tblGrid>
      <w:tr w14:paraId="3A87F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shd w:val="clear" w:color="auto" w:fill="DCE6F2" w:themeFill="accent1" w:themeFillTint="32"/>
            <w:vAlign w:val="top"/>
          </w:tcPr>
          <w:p w14:paraId="494E3B4C">
            <w:pPr>
              <w:pStyle w:val="34"/>
              <w:spacing w:before="80" w:after="80"/>
              <w:ind w:left="0" w:leftChars="0"/>
              <w:rPr>
                <w:rFonts w:hint="default"/>
                <w:b/>
                <w:bCs/>
                <w:sz w:val="20"/>
                <w:szCs w:val="20"/>
                <w:vertAlign w:val="baseline"/>
                <w:lang w:val="es-ES"/>
              </w:rPr>
            </w:pPr>
            <w:r>
              <w:rPr>
                <w:b/>
                <w:bCs/>
                <w:sz w:val="20"/>
                <w:szCs w:val="20"/>
              </w:rPr>
              <w:t>Captación</w:t>
            </w:r>
          </w:p>
        </w:tc>
        <w:tc>
          <w:tcPr>
            <w:tcW w:w="2394" w:type="dxa"/>
            <w:shd w:val="clear" w:color="auto" w:fill="DCE6F2" w:themeFill="accent1" w:themeFillTint="32"/>
            <w:vAlign w:val="top"/>
          </w:tcPr>
          <w:p w14:paraId="730C1ABC">
            <w:pPr>
              <w:pStyle w:val="34"/>
              <w:spacing w:before="80" w:after="80"/>
              <w:ind w:left="0" w:leftChars="0"/>
              <w:rPr>
                <w:rFonts w:hint="default"/>
                <w:b/>
                <w:bCs/>
                <w:sz w:val="20"/>
                <w:szCs w:val="20"/>
                <w:vertAlign w:val="baseline"/>
                <w:lang w:val="es-ES"/>
              </w:rPr>
            </w:pPr>
            <w:r>
              <w:rPr>
                <w:b/>
                <w:bCs/>
                <w:sz w:val="20"/>
                <w:szCs w:val="20"/>
              </w:rPr>
              <w:t>Interacción</w:t>
            </w:r>
          </w:p>
        </w:tc>
        <w:tc>
          <w:tcPr>
            <w:tcW w:w="2394" w:type="dxa"/>
            <w:shd w:val="clear" w:color="auto" w:fill="DCE6F2" w:themeFill="accent1" w:themeFillTint="32"/>
            <w:vAlign w:val="top"/>
          </w:tcPr>
          <w:p w14:paraId="7862CF7F">
            <w:pPr>
              <w:pStyle w:val="34"/>
              <w:spacing w:before="80" w:after="80"/>
              <w:ind w:left="0" w:leftChars="0"/>
              <w:rPr>
                <w:rFonts w:hint="default"/>
                <w:b/>
                <w:bCs/>
                <w:sz w:val="20"/>
                <w:szCs w:val="20"/>
                <w:vertAlign w:val="baseline"/>
                <w:lang w:val="es-ES"/>
              </w:rPr>
            </w:pPr>
            <w:r>
              <w:rPr>
                <w:b/>
                <w:bCs/>
                <w:sz w:val="20"/>
                <w:szCs w:val="20"/>
              </w:rPr>
              <w:t>Transacción</w:t>
            </w:r>
          </w:p>
        </w:tc>
        <w:tc>
          <w:tcPr>
            <w:tcW w:w="2394" w:type="dxa"/>
            <w:shd w:val="clear" w:color="auto" w:fill="DCE6F2" w:themeFill="accent1" w:themeFillTint="32"/>
            <w:vAlign w:val="top"/>
          </w:tcPr>
          <w:p w14:paraId="6A51A773">
            <w:pPr>
              <w:pStyle w:val="34"/>
              <w:spacing w:before="80" w:after="80"/>
              <w:ind w:left="0" w:leftChars="0"/>
              <w:rPr>
                <w:rFonts w:hint="default"/>
                <w:b/>
                <w:bCs/>
                <w:sz w:val="20"/>
                <w:szCs w:val="20"/>
                <w:vertAlign w:val="baseline"/>
                <w:lang w:val="es-ES"/>
              </w:rPr>
            </w:pPr>
            <w:r>
              <w:rPr>
                <w:b/>
                <w:bCs/>
                <w:sz w:val="20"/>
                <w:szCs w:val="20"/>
              </w:rPr>
              <w:t xml:space="preserve">Entrega de valor </w:t>
            </w:r>
          </w:p>
        </w:tc>
      </w:tr>
      <w:tr w14:paraId="2A7B9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top"/>
          </w:tcPr>
          <w:p w14:paraId="1D05FA10">
            <w:pPr>
              <w:pStyle w:val="34"/>
              <w:spacing w:before="80" w:after="80"/>
              <w:ind w:left="0" w:leftChars="0"/>
              <w:rPr>
                <w:rFonts w:hint="default"/>
                <w:sz w:val="20"/>
                <w:szCs w:val="20"/>
                <w:vertAlign w:val="baseline"/>
                <w:lang w:val="es-ES"/>
              </w:rPr>
            </w:pPr>
            <w:r>
              <w:rPr>
                <w:sz w:val="20"/>
                <w:szCs w:val="20"/>
              </w:rPr>
              <w:t>El turista descubre Sincinaty vía redes sociales, alianzas institucionales o búsquedas orgánica.</w:t>
            </w:r>
          </w:p>
        </w:tc>
        <w:tc>
          <w:tcPr>
            <w:tcW w:w="2394" w:type="dxa"/>
            <w:vAlign w:val="top"/>
          </w:tcPr>
          <w:p w14:paraId="0BEAD07F">
            <w:pPr>
              <w:pStyle w:val="34"/>
              <w:spacing w:before="80" w:after="80"/>
              <w:ind w:left="0" w:leftChars="0"/>
              <w:rPr>
                <w:rFonts w:hint="default"/>
                <w:sz w:val="20"/>
                <w:szCs w:val="20"/>
                <w:vertAlign w:val="baseline"/>
                <w:lang w:val="es-ES"/>
              </w:rPr>
            </w:pPr>
            <w:r>
              <w:rPr>
                <w:sz w:val="20"/>
                <w:szCs w:val="20"/>
              </w:rPr>
              <w:t>Explora destinos, rutas y actividades- Recibe recomendaciones personalizadas y lee reseñas.</w:t>
            </w:r>
          </w:p>
        </w:tc>
        <w:tc>
          <w:tcPr>
            <w:tcW w:w="2394" w:type="dxa"/>
            <w:vAlign w:val="top"/>
          </w:tcPr>
          <w:p w14:paraId="3D830B2B">
            <w:pPr>
              <w:pStyle w:val="34"/>
              <w:spacing w:before="80" w:after="80"/>
              <w:ind w:left="0" w:leftChars="0"/>
              <w:rPr>
                <w:rFonts w:hint="default"/>
                <w:sz w:val="20"/>
                <w:szCs w:val="20"/>
                <w:vertAlign w:val="baseline"/>
                <w:lang w:val="es-ES"/>
              </w:rPr>
            </w:pPr>
            <w:r>
              <w:rPr>
                <w:sz w:val="20"/>
                <w:szCs w:val="20"/>
              </w:rPr>
              <w:t>Reserva servicios con prestadores locales. Sincinaty gestiona confirmación y pago.</w:t>
            </w:r>
          </w:p>
        </w:tc>
        <w:tc>
          <w:tcPr>
            <w:tcW w:w="2394" w:type="dxa"/>
            <w:vAlign w:val="top"/>
          </w:tcPr>
          <w:p w14:paraId="06705B34">
            <w:pPr>
              <w:pStyle w:val="34"/>
              <w:spacing w:before="80" w:after="80"/>
              <w:ind w:left="0" w:leftChars="0"/>
              <w:rPr>
                <w:rFonts w:hint="default"/>
                <w:sz w:val="20"/>
                <w:szCs w:val="20"/>
                <w:vertAlign w:val="baseline"/>
                <w:lang w:val="es-ES"/>
              </w:rPr>
            </w:pPr>
            <w:r>
              <w:rPr>
                <w:sz w:val="20"/>
                <w:szCs w:val="20"/>
              </w:rPr>
              <w:t>El turista vive la experiencia. Evalúa al prestador y alimenta el sistema de reputación.</w:t>
            </w:r>
          </w:p>
        </w:tc>
      </w:tr>
    </w:tbl>
    <w:p w14:paraId="527F4555">
      <w:pPr>
        <w:pStyle w:val="11"/>
        <w:rPr>
          <w:rFonts w:hint="default"/>
          <w:lang w:val="es-ES"/>
        </w:rPr>
      </w:pPr>
      <w:r>
        <w:rPr>
          <w:rFonts w:hint="default" w:ascii="Times New Roman" w:hAnsi="Times New Roman" w:cs="Times New Roman"/>
          <w:b/>
          <w:bCs/>
          <w:i/>
          <w:iCs/>
          <w:sz w:val="16"/>
          <w:szCs w:val="16"/>
        </w:rPr>
        <w:t>Not</w:t>
      </w:r>
      <w:r>
        <w:rPr>
          <w:rFonts w:hint="default" w:ascii="Times New Roman" w:hAnsi="Times New Roman" w:cs="Times New Roman"/>
          <w:b/>
          <w:bCs/>
          <w:i/>
          <w:iCs/>
          <w:sz w:val="16"/>
          <w:szCs w:val="16"/>
          <w:lang w:val="es-ES"/>
        </w:rPr>
        <w:t>a.</w:t>
      </w:r>
      <w:r>
        <w:rPr>
          <w:rFonts w:hint="default" w:ascii="Times New Roman" w:hAnsi="Times New Roman" w:cs="Times New Roman"/>
          <w:i/>
          <w:iCs/>
          <w:sz w:val="16"/>
          <w:szCs w:val="16"/>
          <w:lang w:val="es-ES"/>
        </w:rPr>
        <w:t xml:space="preserve"> Presenta el funcionamiento de Sincinaty, describiendo cada una de sus fases principales, desde la captación del usuario hasta la retroalimentación.</w:t>
      </w:r>
    </w:p>
    <w:p w14:paraId="2508C15E">
      <w:pPr>
        <w:pStyle w:val="34"/>
        <w:spacing w:before="80" w:after="80"/>
        <w:ind w:left="0" w:leftChars="0" w:firstLine="0" w:firstLineChars="0"/>
      </w:pPr>
    </w:p>
    <w:p w14:paraId="7A84D217">
      <w:pPr>
        <w:pStyle w:val="2"/>
        <w:numPr>
          <w:ilvl w:val="0"/>
          <w:numId w:val="1"/>
        </w:numPr>
        <w:bidi w:val="0"/>
        <w:ind w:left="425" w:leftChars="0" w:hanging="425" w:firstLineChars="0"/>
        <w:jc w:val="center"/>
      </w:pPr>
      <w:bookmarkStart w:id="17" w:name="_Toc13347"/>
      <w:bookmarkStart w:id="18" w:name="_Toc18544"/>
      <w:bookmarkStart w:id="19" w:name="_Toc2562"/>
      <w:r>
        <w:t>Actores clave del negocio.</w:t>
      </w:r>
      <w:bookmarkEnd w:id="17"/>
      <w:bookmarkEnd w:id="18"/>
      <w:bookmarkEnd w:id="19"/>
    </w:p>
    <w:p w14:paraId="0385CBD5">
      <w:pPr>
        <w:spacing w:before="80" w:after="80"/>
        <w:ind w:left="360" w:firstLine="704" w:firstLineChars="0"/>
      </w:pPr>
      <w:r>
        <w:t>El ecosistema de Sincinaty involucra múltiples actores que interactúan entre sí para que el negocio funcione</w:t>
      </w:r>
      <w:r>
        <w:rPr>
          <w:rFonts w:hint="default"/>
          <w:lang w:val="es-ES"/>
        </w:rPr>
        <w:t xml:space="preserve"> (Durán, 2018)</w:t>
      </w:r>
      <w:r>
        <w:t>. A continuación, se describen sus roles dentro del modelo operativo.</w:t>
      </w:r>
    </w:p>
    <w:p w14:paraId="2FC84FDE">
      <w:pPr>
        <w:pStyle w:val="11"/>
        <w:spacing w:line="240" w:lineRule="auto"/>
        <w:rPr>
          <w:rFonts w:hint="default" w:ascii="Times New Roman" w:hAnsi="Times New Roman" w:cs="Times New Roman"/>
          <w:sz w:val="16"/>
          <w:szCs w:val="16"/>
          <w:lang w:val="es-ES"/>
        </w:rPr>
      </w:pPr>
      <w:r>
        <w:rPr>
          <w:rFonts w:hint="default" w:ascii="Times New Roman" w:hAnsi="Times New Roman" w:cs="Times New Roman"/>
          <w:b/>
          <w:bCs/>
          <w:sz w:val="16"/>
          <w:szCs w:val="16"/>
        </w:rPr>
        <w:t>Tabl</w:t>
      </w:r>
      <w:r>
        <w:rPr>
          <w:rFonts w:hint="default" w:ascii="Times New Roman" w:hAnsi="Times New Roman" w:cs="Times New Roman"/>
          <w:b/>
          <w:bCs/>
          <w:sz w:val="16"/>
          <w:szCs w:val="16"/>
          <w:lang w:val="es-ES"/>
        </w:rPr>
        <w:t>a</w:t>
      </w:r>
      <w:r>
        <w:rPr>
          <w:rFonts w:hint="default" w:ascii="Times New Roman" w:hAnsi="Times New Roman" w:cs="Times New Roman"/>
          <w:b/>
          <w:bCs/>
          <w:sz w:val="16"/>
          <w:szCs w:val="16"/>
        </w:rPr>
        <w:t xml:space="preserve"> </w:t>
      </w:r>
      <w:r>
        <w:rPr>
          <w:rFonts w:hint="default" w:ascii="Times New Roman" w:hAnsi="Times New Roman" w:cs="Times New Roman"/>
          <w:b/>
          <w:bCs/>
          <w:sz w:val="16"/>
          <w:szCs w:val="16"/>
        </w:rPr>
        <w:fldChar w:fldCharType="begin"/>
      </w:r>
      <w:r>
        <w:rPr>
          <w:rFonts w:hint="default" w:ascii="Times New Roman" w:hAnsi="Times New Roman" w:cs="Times New Roman"/>
          <w:b/>
          <w:bCs/>
          <w:sz w:val="16"/>
          <w:szCs w:val="16"/>
        </w:rPr>
        <w:instrText xml:space="preserve"> SEQ Table \* ARABIC </w:instrText>
      </w:r>
      <w:r>
        <w:rPr>
          <w:rFonts w:hint="default" w:ascii="Times New Roman" w:hAnsi="Times New Roman" w:cs="Times New Roman"/>
          <w:b/>
          <w:bCs/>
          <w:sz w:val="16"/>
          <w:szCs w:val="16"/>
        </w:rPr>
        <w:fldChar w:fldCharType="separate"/>
      </w:r>
      <w:r>
        <w:rPr>
          <w:rFonts w:hint="default" w:ascii="Times New Roman" w:hAnsi="Times New Roman" w:cs="Times New Roman"/>
          <w:b/>
          <w:bCs/>
          <w:sz w:val="16"/>
          <w:szCs w:val="16"/>
        </w:rPr>
        <w:t>2</w:t>
      </w:r>
      <w:r>
        <w:rPr>
          <w:rFonts w:hint="default" w:ascii="Times New Roman" w:hAnsi="Times New Roman" w:cs="Times New Roman"/>
          <w:b/>
          <w:bCs/>
          <w:sz w:val="16"/>
          <w:szCs w:val="16"/>
        </w:rPr>
        <w:fldChar w:fldCharType="end"/>
      </w:r>
      <w:r>
        <w:rPr>
          <w:rFonts w:hint="default" w:ascii="Times New Roman" w:hAnsi="Times New Roman" w:cs="Times New Roman"/>
          <w:b/>
          <w:bCs/>
          <w:sz w:val="16"/>
          <w:szCs w:val="16"/>
          <w:lang w:val="es-ES"/>
        </w:rPr>
        <w:t xml:space="preserve">. </w:t>
      </w:r>
    </w:p>
    <w:p w14:paraId="4F5DF4D5">
      <w:pPr>
        <w:pStyle w:val="11"/>
        <w:spacing w:line="240" w:lineRule="auto"/>
        <w:rPr>
          <w:rFonts w:hint="default" w:ascii="Times New Roman" w:hAnsi="Times New Roman" w:cs="Times New Roman"/>
          <w:sz w:val="16"/>
          <w:szCs w:val="16"/>
          <w:lang w:val="es-ES"/>
        </w:rPr>
      </w:pPr>
      <w:r>
        <w:rPr>
          <w:rFonts w:hint="default" w:ascii="Times New Roman" w:hAnsi="Times New Roman" w:cs="Times New Roman"/>
          <w:sz w:val="16"/>
          <w:szCs w:val="16"/>
          <w:lang w:val="es-ES"/>
        </w:rPr>
        <w:t>Actores claves del negocio.</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4"/>
        <w:gridCol w:w="2394"/>
        <w:gridCol w:w="2394"/>
        <w:gridCol w:w="2394"/>
      </w:tblGrid>
      <w:tr w14:paraId="4AE8C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shd w:val="clear" w:color="auto" w:fill="DCE6F2" w:themeFill="accent1" w:themeFillTint="32"/>
            <w:vAlign w:val="top"/>
          </w:tcPr>
          <w:p w14:paraId="6EFED182">
            <w:pPr>
              <w:spacing w:before="80" w:after="80"/>
              <w:jc w:val="center"/>
              <w:rPr>
                <w:b/>
                <w:bCs/>
                <w:sz w:val="20"/>
                <w:szCs w:val="20"/>
                <w:vertAlign w:val="baseline"/>
              </w:rPr>
            </w:pPr>
            <w:r>
              <w:rPr>
                <w:rFonts w:eastAsia="Arial"/>
                <w:b/>
                <w:bCs/>
                <w:sz w:val="20"/>
                <w:szCs w:val="20"/>
              </w:rPr>
              <w:t>Actor</w:t>
            </w:r>
          </w:p>
        </w:tc>
        <w:tc>
          <w:tcPr>
            <w:tcW w:w="2394" w:type="dxa"/>
            <w:shd w:val="clear" w:color="auto" w:fill="DCE6F2" w:themeFill="accent1" w:themeFillTint="32"/>
            <w:vAlign w:val="top"/>
          </w:tcPr>
          <w:p w14:paraId="7E81006D">
            <w:pPr>
              <w:spacing w:before="80" w:after="80"/>
              <w:jc w:val="center"/>
              <w:rPr>
                <w:b/>
                <w:bCs/>
                <w:sz w:val="20"/>
                <w:szCs w:val="20"/>
                <w:vertAlign w:val="baseline"/>
              </w:rPr>
            </w:pPr>
            <w:r>
              <w:rPr>
                <w:rFonts w:eastAsia="Arial"/>
                <w:b/>
                <w:bCs/>
                <w:sz w:val="20"/>
                <w:szCs w:val="20"/>
              </w:rPr>
              <w:t>Tipo</w:t>
            </w:r>
          </w:p>
        </w:tc>
        <w:tc>
          <w:tcPr>
            <w:tcW w:w="2394" w:type="dxa"/>
            <w:shd w:val="clear" w:color="auto" w:fill="DCE6F2" w:themeFill="accent1" w:themeFillTint="32"/>
            <w:vAlign w:val="top"/>
          </w:tcPr>
          <w:p w14:paraId="257A5EA6">
            <w:pPr>
              <w:spacing w:before="80" w:after="80"/>
              <w:jc w:val="center"/>
              <w:rPr>
                <w:b/>
                <w:bCs/>
                <w:sz w:val="20"/>
                <w:szCs w:val="20"/>
                <w:vertAlign w:val="baseline"/>
              </w:rPr>
            </w:pPr>
            <w:r>
              <w:rPr>
                <w:rFonts w:eastAsia="Arial"/>
                <w:b/>
                <w:bCs/>
                <w:sz w:val="20"/>
                <w:szCs w:val="20"/>
              </w:rPr>
              <w:t>Rol en el ecosistema</w:t>
            </w:r>
          </w:p>
        </w:tc>
        <w:tc>
          <w:tcPr>
            <w:tcW w:w="2394" w:type="dxa"/>
            <w:shd w:val="clear" w:color="auto" w:fill="DCE6F2" w:themeFill="accent1" w:themeFillTint="32"/>
            <w:vAlign w:val="top"/>
          </w:tcPr>
          <w:p w14:paraId="3F9AB288">
            <w:pPr>
              <w:spacing w:before="80" w:after="80"/>
              <w:jc w:val="center"/>
              <w:rPr>
                <w:b/>
                <w:bCs/>
                <w:sz w:val="20"/>
                <w:szCs w:val="20"/>
                <w:vertAlign w:val="baseline"/>
              </w:rPr>
            </w:pPr>
            <w:r>
              <w:rPr>
                <w:rFonts w:eastAsia="Arial"/>
                <w:b/>
                <w:bCs/>
                <w:sz w:val="20"/>
                <w:szCs w:val="20"/>
              </w:rPr>
              <w:t>Relación con sincinaty</w:t>
            </w:r>
          </w:p>
        </w:tc>
      </w:tr>
      <w:tr w14:paraId="2E9D8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top"/>
          </w:tcPr>
          <w:p w14:paraId="75878E65">
            <w:pPr>
              <w:spacing w:before="80" w:after="80"/>
              <w:rPr>
                <w:sz w:val="20"/>
                <w:szCs w:val="20"/>
                <w:vertAlign w:val="baseline"/>
              </w:rPr>
            </w:pPr>
            <w:r>
              <w:rPr>
                <w:rFonts w:eastAsia="Arial"/>
                <w:sz w:val="20"/>
                <w:szCs w:val="20"/>
              </w:rPr>
              <w:t>Turistas nacionales e internacionales</w:t>
            </w:r>
          </w:p>
        </w:tc>
        <w:tc>
          <w:tcPr>
            <w:tcW w:w="2394" w:type="dxa"/>
            <w:vAlign w:val="top"/>
          </w:tcPr>
          <w:p w14:paraId="548A4655">
            <w:pPr>
              <w:rPr>
                <w:rFonts w:eastAsia="Arial"/>
                <w:sz w:val="20"/>
                <w:szCs w:val="20"/>
              </w:rPr>
            </w:pPr>
            <w:r>
              <w:rPr>
                <w:sz w:val="20"/>
                <w:szCs w:val="20"/>
              </w:rPr>
              <w:t>Cliente principal</w:t>
            </w:r>
          </w:p>
          <w:p w14:paraId="1B4769B1">
            <w:pPr>
              <w:spacing w:before="80" w:after="80"/>
              <w:rPr>
                <w:sz w:val="20"/>
                <w:szCs w:val="20"/>
                <w:vertAlign w:val="baseline"/>
              </w:rPr>
            </w:pPr>
          </w:p>
        </w:tc>
        <w:tc>
          <w:tcPr>
            <w:tcW w:w="2394" w:type="dxa"/>
            <w:vAlign w:val="top"/>
          </w:tcPr>
          <w:p w14:paraId="0A8E6F50">
            <w:pPr>
              <w:spacing w:before="80" w:after="80"/>
              <w:rPr>
                <w:sz w:val="20"/>
                <w:szCs w:val="20"/>
                <w:vertAlign w:val="baseline"/>
              </w:rPr>
            </w:pPr>
            <w:r>
              <w:rPr>
                <w:rFonts w:eastAsia="Arial"/>
                <w:sz w:val="20"/>
                <w:szCs w:val="20"/>
              </w:rPr>
              <w:t>Descubren, planifican y reservan experiencias turísticas en Sucre.</w:t>
            </w:r>
          </w:p>
        </w:tc>
        <w:tc>
          <w:tcPr>
            <w:tcW w:w="2394" w:type="dxa"/>
            <w:vAlign w:val="top"/>
          </w:tcPr>
          <w:p w14:paraId="7B4B4311">
            <w:pPr>
              <w:spacing w:before="80" w:after="80"/>
              <w:rPr>
                <w:sz w:val="20"/>
                <w:szCs w:val="20"/>
                <w:vertAlign w:val="baseline"/>
              </w:rPr>
            </w:pPr>
            <w:r>
              <w:rPr>
                <w:rFonts w:eastAsia="Arial"/>
                <w:sz w:val="20"/>
                <w:szCs w:val="20"/>
              </w:rPr>
              <w:t>Principal fuente de ingresos por transacciones. Generan reseñas que dan valor a la plataforma.</w:t>
            </w:r>
          </w:p>
        </w:tc>
      </w:tr>
      <w:tr w14:paraId="50A7B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top"/>
          </w:tcPr>
          <w:p w14:paraId="6A24BCF0">
            <w:pPr>
              <w:spacing w:before="80" w:after="80"/>
              <w:rPr>
                <w:sz w:val="20"/>
                <w:szCs w:val="20"/>
                <w:vertAlign w:val="baseline"/>
              </w:rPr>
            </w:pPr>
            <w:r>
              <w:rPr>
                <w:rFonts w:eastAsia="Arial"/>
                <w:sz w:val="20"/>
                <w:szCs w:val="20"/>
              </w:rPr>
              <w:t>Habitantes locales de Sucre</w:t>
            </w:r>
          </w:p>
        </w:tc>
        <w:tc>
          <w:tcPr>
            <w:tcW w:w="2394" w:type="dxa"/>
            <w:vAlign w:val="top"/>
          </w:tcPr>
          <w:p w14:paraId="3FFA1864">
            <w:pPr>
              <w:spacing w:before="80" w:after="80"/>
              <w:rPr>
                <w:sz w:val="20"/>
                <w:szCs w:val="20"/>
                <w:vertAlign w:val="baseline"/>
              </w:rPr>
            </w:pPr>
            <w:r>
              <w:rPr>
                <w:rFonts w:eastAsia="Arial"/>
                <w:sz w:val="20"/>
                <w:szCs w:val="20"/>
              </w:rPr>
              <w:t>Cliente secundario</w:t>
            </w:r>
          </w:p>
        </w:tc>
        <w:tc>
          <w:tcPr>
            <w:tcW w:w="2394" w:type="dxa"/>
            <w:vAlign w:val="top"/>
          </w:tcPr>
          <w:p w14:paraId="0249F80B">
            <w:pPr>
              <w:spacing w:before="80" w:after="80"/>
              <w:rPr>
                <w:sz w:val="20"/>
                <w:szCs w:val="20"/>
                <w:vertAlign w:val="baseline"/>
              </w:rPr>
            </w:pPr>
            <w:r>
              <w:rPr>
                <w:rFonts w:eastAsia="Arial"/>
                <w:sz w:val="20"/>
                <w:szCs w:val="20"/>
              </w:rPr>
              <w:t>Exploran ofertas locales: festividades, gastronomía, ecoturismo.</w:t>
            </w:r>
          </w:p>
        </w:tc>
        <w:tc>
          <w:tcPr>
            <w:tcW w:w="2394" w:type="dxa"/>
            <w:vAlign w:val="top"/>
          </w:tcPr>
          <w:p w14:paraId="3BF081AD">
            <w:pPr>
              <w:rPr>
                <w:sz w:val="20"/>
                <w:szCs w:val="20"/>
                <w:vertAlign w:val="baseline"/>
              </w:rPr>
            </w:pPr>
            <w:r>
              <w:rPr>
                <w:sz w:val="20"/>
                <w:szCs w:val="20"/>
              </w:rPr>
              <w:t>Aportan volumen de usuarios y reseñas. Embajadores naturales de la plataforma.</w:t>
            </w:r>
          </w:p>
        </w:tc>
      </w:tr>
      <w:tr w14:paraId="7BF43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top"/>
          </w:tcPr>
          <w:p w14:paraId="5D1BF8FA">
            <w:pPr>
              <w:spacing w:before="80" w:after="80"/>
              <w:rPr>
                <w:sz w:val="20"/>
                <w:szCs w:val="20"/>
                <w:vertAlign w:val="baseline"/>
              </w:rPr>
            </w:pPr>
            <w:r>
              <w:rPr>
                <w:rFonts w:eastAsia="Arial"/>
                <w:sz w:val="20"/>
                <w:szCs w:val="20"/>
              </w:rPr>
              <w:t>Prestadores de servicios turísticos (guías, hoteles, restaurantes, transportes, agencias)</w:t>
            </w:r>
          </w:p>
        </w:tc>
        <w:tc>
          <w:tcPr>
            <w:tcW w:w="2394" w:type="dxa"/>
            <w:vAlign w:val="top"/>
          </w:tcPr>
          <w:p w14:paraId="5F3954EF">
            <w:pPr>
              <w:rPr>
                <w:rFonts w:eastAsia="Arial"/>
                <w:sz w:val="20"/>
                <w:szCs w:val="20"/>
              </w:rPr>
            </w:pPr>
            <w:r>
              <w:rPr>
                <w:sz w:val="20"/>
                <w:szCs w:val="20"/>
              </w:rPr>
              <w:t>Proveedor / socio comercial</w:t>
            </w:r>
          </w:p>
          <w:p w14:paraId="0AC219C7">
            <w:pPr>
              <w:spacing w:before="80" w:after="80"/>
              <w:rPr>
                <w:sz w:val="20"/>
                <w:szCs w:val="20"/>
                <w:vertAlign w:val="baseline"/>
              </w:rPr>
            </w:pPr>
          </w:p>
        </w:tc>
        <w:tc>
          <w:tcPr>
            <w:tcW w:w="2394" w:type="dxa"/>
            <w:vAlign w:val="top"/>
          </w:tcPr>
          <w:p w14:paraId="68147B87">
            <w:pPr>
              <w:rPr>
                <w:sz w:val="20"/>
                <w:szCs w:val="20"/>
                <w:vertAlign w:val="baseline"/>
              </w:rPr>
            </w:pPr>
            <w:r>
              <w:rPr>
                <w:sz w:val="20"/>
                <w:szCs w:val="20"/>
              </w:rPr>
              <w:t>Ofrecen los servicios y experiencias que se publican en Sincinaty.</w:t>
            </w:r>
          </w:p>
        </w:tc>
        <w:tc>
          <w:tcPr>
            <w:tcW w:w="2394" w:type="dxa"/>
            <w:vAlign w:val="top"/>
          </w:tcPr>
          <w:p w14:paraId="229FFB21">
            <w:pPr>
              <w:rPr>
                <w:sz w:val="20"/>
                <w:szCs w:val="20"/>
                <w:vertAlign w:val="baseline"/>
              </w:rPr>
            </w:pPr>
            <w:r>
              <w:rPr>
                <w:sz w:val="20"/>
                <w:szCs w:val="20"/>
              </w:rPr>
              <w:t>Se registran en la plataforma, pagan membresía o comisión, y reciben clientes a través de ella.</w:t>
            </w:r>
          </w:p>
        </w:tc>
      </w:tr>
      <w:tr w14:paraId="11BE4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top"/>
          </w:tcPr>
          <w:p w14:paraId="3C796AE1">
            <w:pPr>
              <w:spacing w:before="80" w:after="80"/>
              <w:rPr>
                <w:sz w:val="20"/>
                <w:szCs w:val="20"/>
                <w:vertAlign w:val="baseline"/>
              </w:rPr>
            </w:pPr>
            <w:r>
              <w:rPr>
                <w:rFonts w:eastAsia="Arial"/>
                <w:sz w:val="20"/>
                <w:szCs w:val="20"/>
              </w:rPr>
              <w:t>Gobernación de Sucre / Alcaldías municipales</w:t>
            </w:r>
          </w:p>
        </w:tc>
        <w:tc>
          <w:tcPr>
            <w:tcW w:w="2394" w:type="dxa"/>
            <w:vAlign w:val="top"/>
          </w:tcPr>
          <w:p w14:paraId="424BD422">
            <w:pPr>
              <w:spacing w:before="80" w:after="80"/>
              <w:rPr>
                <w:sz w:val="20"/>
                <w:szCs w:val="20"/>
                <w:vertAlign w:val="baseline"/>
              </w:rPr>
            </w:pPr>
            <w:r>
              <w:rPr>
                <w:rFonts w:eastAsia="Arial"/>
                <w:sz w:val="20"/>
                <w:szCs w:val="20"/>
              </w:rPr>
              <w:t>Aliado institucional</w:t>
            </w:r>
          </w:p>
        </w:tc>
        <w:tc>
          <w:tcPr>
            <w:tcW w:w="2394" w:type="dxa"/>
            <w:vAlign w:val="top"/>
          </w:tcPr>
          <w:p w14:paraId="3C2895C5">
            <w:pPr>
              <w:rPr>
                <w:sz w:val="20"/>
                <w:szCs w:val="20"/>
                <w:vertAlign w:val="baseline"/>
              </w:rPr>
            </w:pPr>
            <w:r>
              <w:rPr>
                <w:sz w:val="20"/>
                <w:szCs w:val="20"/>
              </w:rPr>
              <w:t>Promueven el turismo regional, financian iniciativas de digitalización, comparten información oficial.</w:t>
            </w:r>
          </w:p>
        </w:tc>
        <w:tc>
          <w:tcPr>
            <w:tcW w:w="2394" w:type="dxa"/>
            <w:vAlign w:val="top"/>
          </w:tcPr>
          <w:p w14:paraId="699CB777">
            <w:pPr>
              <w:spacing w:before="80" w:after="80"/>
              <w:rPr>
                <w:sz w:val="20"/>
                <w:szCs w:val="20"/>
                <w:vertAlign w:val="baseline"/>
              </w:rPr>
            </w:pPr>
            <w:r>
              <w:rPr>
                <w:rFonts w:eastAsia="Arial"/>
                <w:sz w:val="20"/>
                <w:szCs w:val="20"/>
              </w:rPr>
              <w:t>Aliado estratégico para legitimidad, acceso a datos y visibilidad en políticas públicas.</w:t>
            </w:r>
          </w:p>
        </w:tc>
      </w:tr>
      <w:tr w14:paraId="61B16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top"/>
          </w:tcPr>
          <w:p w14:paraId="6DEE6072">
            <w:pPr>
              <w:spacing w:before="80" w:after="80"/>
              <w:rPr>
                <w:sz w:val="20"/>
                <w:szCs w:val="20"/>
                <w:vertAlign w:val="baseline"/>
              </w:rPr>
            </w:pPr>
            <w:r>
              <w:rPr>
                <w:rFonts w:eastAsia="Arial"/>
                <w:sz w:val="20"/>
                <w:szCs w:val="20"/>
              </w:rPr>
              <w:t>Fontur / Cámara de Comercio de Sincelejo</w:t>
            </w:r>
          </w:p>
        </w:tc>
        <w:tc>
          <w:tcPr>
            <w:tcW w:w="2394" w:type="dxa"/>
            <w:vAlign w:val="top"/>
          </w:tcPr>
          <w:p w14:paraId="53E45660">
            <w:pPr>
              <w:spacing w:before="80" w:after="80"/>
              <w:rPr>
                <w:sz w:val="20"/>
                <w:szCs w:val="20"/>
                <w:vertAlign w:val="baseline"/>
              </w:rPr>
            </w:pPr>
            <w:r>
              <w:rPr>
                <w:rFonts w:eastAsia="Arial"/>
                <w:sz w:val="20"/>
                <w:szCs w:val="20"/>
              </w:rPr>
              <w:t>Aliado gremial</w:t>
            </w:r>
          </w:p>
        </w:tc>
        <w:tc>
          <w:tcPr>
            <w:tcW w:w="2394" w:type="dxa"/>
            <w:vAlign w:val="top"/>
          </w:tcPr>
          <w:p w14:paraId="7BC9667D">
            <w:pPr>
              <w:spacing w:before="80" w:after="80"/>
              <w:rPr>
                <w:sz w:val="20"/>
                <w:szCs w:val="20"/>
                <w:vertAlign w:val="baseline"/>
              </w:rPr>
            </w:pPr>
            <w:r>
              <w:rPr>
                <w:rFonts w:eastAsia="Arial"/>
                <w:sz w:val="20"/>
                <w:szCs w:val="20"/>
              </w:rPr>
              <w:t>Agrupan y representan a empresas turísticas locales. Facilitan el acceso a prestadores.</w:t>
            </w:r>
          </w:p>
        </w:tc>
        <w:tc>
          <w:tcPr>
            <w:tcW w:w="2394" w:type="dxa"/>
            <w:vAlign w:val="top"/>
          </w:tcPr>
          <w:p w14:paraId="72CF873B">
            <w:pPr>
              <w:spacing w:before="80" w:after="80"/>
              <w:rPr>
                <w:sz w:val="20"/>
                <w:szCs w:val="20"/>
                <w:vertAlign w:val="baseline"/>
              </w:rPr>
            </w:pPr>
            <w:r>
              <w:rPr>
                <w:rFonts w:eastAsia="Arial"/>
                <w:sz w:val="20"/>
                <w:szCs w:val="20"/>
              </w:rPr>
              <w:t>Canal de incorporación de prestadores y fuente de validación institucional.</w:t>
            </w:r>
          </w:p>
        </w:tc>
      </w:tr>
      <w:tr w14:paraId="0E2BF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top"/>
          </w:tcPr>
          <w:p w14:paraId="6376B741">
            <w:pPr>
              <w:spacing w:before="80" w:after="80"/>
              <w:rPr>
                <w:sz w:val="20"/>
                <w:szCs w:val="20"/>
                <w:vertAlign w:val="baseline"/>
              </w:rPr>
            </w:pPr>
            <w:r>
              <w:rPr>
                <w:rFonts w:eastAsia="Arial"/>
                <w:sz w:val="20"/>
                <w:szCs w:val="20"/>
              </w:rPr>
              <w:t>Medios digitales y creadores de contenido de viajes</w:t>
            </w:r>
          </w:p>
        </w:tc>
        <w:tc>
          <w:tcPr>
            <w:tcW w:w="2394" w:type="dxa"/>
            <w:vAlign w:val="top"/>
          </w:tcPr>
          <w:p w14:paraId="6F57AF23">
            <w:pPr>
              <w:spacing w:before="80" w:after="80"/>
              <w:rPr>
                <w:sz w:val="20"/>
                <w:szCs w:val="20"/>
                <w:vertAlign w:val="baseline"/>
              </w:rPr>
            </w:pPr>
            <w:r>
              <w:rPr>
                <w:rFonts w:eastAsia="Arial"/>
                <w:sz w:val="20"/>
                <w:szCs w:val="20"/>
              </w:rPr>
              <w:t>Aliado de difusión</w:t>
            </w:r>
          </w:p>
        </w:tc>
        <w:tc>
          <w:tcPr>
            <w:tcW w:w="2394" w:type="dxa"/>
            <w:vAlign w:val="top"/>
          </w:tcPr>
          <w:p w14:paraId="26A6769E">
            <w:pPr>
              <w:rPr>
                <w:sz w:val="20"/>
                <w:szCs w:val="20"/>
                <w:vertAlign w:val="baseline"/>
              </w:rPr>
            </w:pPr>
            <w:r>
              <w:rPr>
                <w:sz w:val="20"/>
                <w:szCs w:val="20"/>
              </w:rPr>
              <w:t>Crean contenido sobre destinos en Sucre y amplifican el alcance de la plataforma.</w:t>
            </w:r>
          </w:p>
        </w:tc>
        <w:tc>
          <w:tcPr>
            <w:tcW w:w="2394" w:type="dxa"/>
            <w:vAlign w:val="top"/>
          </w:tcPr>
          <w:p w14:paraId="15337143">
            <w:pPr>
              <w:rPr>
                <w:sz w:val="20"/>
                <w:szCs w:val="20"/>
                <w:vertAlign w:val="baseline"/>
              </w:rPr>
            </w:pPr>
            <w:r>
              <w:rPr>
                <w:sz w:val="20"/>
                <w:szCs w:val="20"/>
              </w:rPr>
              <w:t>Socios de marketing de desempeño. Reciben compensación por tráfico o conversiones generadas.</w:t>
            </w:r>
          </w:p>
        </w:tc>
      </w:tr>
      <w:tr w14:paraId="3CEB0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top"/>
          </w:tcPr>
          <w:p w14:paraId="00C0649D">
            <w:pPr>
              <w:spacing w:before="80" w:after="80"/>
              <w:rPr>
                <w:sz w:val="20"/>
                <w:szCs w:val="20"/>
                <w:vertAlign w:val="baseline"/>
              </w:rPr>
            </w:pPr>
            <w:r>
              <w:rPr>
                <w:rFonts w:eastAsia="Arial"/>
                <w:sz w:val="20"/>
                <w:szCs w:val="20"/>
              </w:rPr>
              <w:t>Sincinaty (empresa)</w:t>
            </w:r>
          </w:p>
        </w:tc>
        <w:tc>
          <w:tcPr>
            <w:tcW w:w="2394" w:type="dxa"/>
            <w:vAlign w:val="top"/>
          </w:tcPr>
          <w:p w14:paraId="67D3C914">
            <w:pPr>
              <w:rPr>
                <w:rFonts w:eastAsia="Arial"/>
                <w:sz w:val="20"/>
                <w:szCs w:val="20"/>
              </w:rPr>
            </w:pPr>
            <w:r>
              <w:rPr>
                <w:sz w:val="20"/>
                <w:szCs w:val="20"/>
              </w:rPr>
              <w:t>Empresa central / orquestador</w:t>
            </w:r>
          </w:p>
          <w:p w14:paraId="34388441">
            <w:pPr>
              <w:spacing w:before="80" w:after="80"/>
              <w:rPr>
                <w:rFonts w:eastAsia="Arial"/>
                <w:sz w:val="20"/>
                <w:szCs w:val="20"/>
              </w:rPr>
            </w:pPr>
          </w:p>
          <w:p w14:paraId="630B3028">
            <w:pPr>
              <w:rPr>
                <w:sz w:val="20"/>
                <w:szCs w:val="20"/>
                <w:vertAlign w:val="baseline"/>
              </w:rPr>
            </w:pPr>
          </w:p>
        </w:tc>
        <w:tc>
          <w:tcPr>
            <w:tcW w:w="2394" w:type="dxa"/>
            <w:vAlign w:val="top"/>
          </w:tcPr>
          <w:p w14:paraId="3A1B1487">
            <w:pPr>
              <w:spacing w:before="80" w:after="80"/>
              <w:rPr>
                <w:sz w:val="20"/>
                <w:szCs w:val="20"/>
                <w:vertAlign w:val="baseline"/>
              </w:rPr>
            </w:pPr>
            <w:r>
              <w:rPr>
                <w:rFonts w:eastAsia="Arial"/>
                <w:sz w:val="20"/>
                <w:szCs w:val="20"/>
              </w:rPr>
              <w:t>Gestiona la plataforma, los contenidos, las transacciones y la experiencia de usuario.</w:t>
            </w:r>
          </w:p>
        </w:tc>
        <w:tc>
          <w:tcPr>
            <w:tcW w:w="2394" w:type="dxa"/>
            <w:vAlign w:val="top"/>
          </w:tcPr>
          <w:p w14:paraId="4C785602">
            <w:pPr>
              <w:spacing w:before="80" w:after="80"/>
              <w:rPr>
                <w:sz w:val="20"/>
                <w:szCs w:val="20"/>
                <w:vertAlign w:val="baseline"/>
              </w:rPr>
            </w:pPr>
            <w:r>
              <w:rPr>
                <w:rFonts w:eastAsia="Arial"/>
                <w:sz w:val="20"/>
                <w:szCs w:val="20"/>
              </w:rPr>
              <w:t>Motor del ecosistema: conecta oferta y demanda, controla la calidad e innova continuamente.</w:t>
            </w:r>
          </w:p>
        </w:tc>
      </w:tr>
    </w:tbl>
    <w:p w14:paraId="00858D1E">
      <w:pPr>
        <w:pStyle w:val="11"/>
        <w:rPr>
          <w:rFonts w:hint="default" w:ascii="Times New Roman" w:hAnsi="Times New Roman" w:cs="Times New Roman"/>
          <w:i/>
          <w:iCs/>
          <w:sz w:val="16"/>
          <w:szCs w:val="16"/>
          <w:lang w:val="es-ES"/>
        </w:rPr>
      </w:pPr>
      <w:r>
        <w:rPr>
          <w:rFonts w:hint="default" w:ascii="Times New Roman" w:hAnsi="Times New Roman" w:cs="Times New Roman"/>
          <w:b/>
          <w:bCs/>
          <w:i/>
          <w:iCs/>
          <w:sz w:val="16"/>
          <w:szCs w:val="16"/>
        </w:rPr>
        <w:t>Nota</w:t>
      </w:r>
      <w:r>
        <w:rPr>
          <w:rFonts w:hint="default" w:ascii="Times New Roman" w:hAnsi="Times New Roman" w:cs="Times New Roman"/>
          <w:b/>
          <w:bCs/>
          <w:i/>
          <w:iCs/>
          <w:sz w:val="16"/>
          <w:szCs w:val="16"/>
          <w:lang w:val="es-ES"/>
        </w:rPr>
        <w:t>.</w:t>
      </w:r>
      <w:r>
        <w:rPr>
          <w:rFonts w:hint="default" w:ascii="Times New Roman" w:hAnsi="Times New Roman" w:cs="Times New Roman"/>
          <w:i/>
          <w:iCs/>
          <w:sz w:val="16"/>
          <w:szCs w:val="16"/>
          <w:lang w:val="es-ES"/>
        </w:rPr>
        <w:t xml:space="preserve"> La tabla describe el actor, el tipo, el ecosistema al cual pertenecen y su relación con Sincinaty. </w:t>
      </w:r>
    </w:p>
    <w:p w14:paraId="361700F5">
      <w:pPr>
        <w:spacing w:before="80" w:after="80"/>
        <w:rPr>
          <w:rFonts w:eastAsia="Arial"/>
          <w:sz w:val="20"/>
          <w:szCs w:val="20"/>
        </w:rPr>
      </w:pPr>
    </w:p>
    <w:p w14:paraId="7141B1A4">
      <w:pPr>
        <w:pStyle w:val="2"/>
        <w:numPr>
          <w:ilvl w:val="0"/>
          <w:numId w:val="1"/>
        </w:numPr>
        <w:bidi w:val="0"/>
        <w:ind w:left="425" w:leftChars="0" w:hanging="425" w:firstLineChars="0"/>
        <w:jc w:val="center"/>
      </w:pPr>
      <w:bookmarkStart w:id="20" w:name="_Toc30290"/>
      <w:bookmarkStart w:id="21" w:name="_Toc1616"/>
      <w:bookmarkStart w:id="22" w:name="_Toc17460"/>
      <w:r>
        <w:t>Procesos principales</w:t>
      </w:r>
      <w:bookmarkEnd w:id="20"/>
      <w:bookmarkEnd w:id="21"/>
      <w:bookmarkEnd w:id="22"/>
    </w:p>
    <w:p w14:paraId="7B4E340F">
      <w:pPr>
        <w:bidi w:val="0"/>
        <w:ind w:firstLine="708" w:firstLineChars="0"/>
      </w:pPr>
      <w:bookmarkStart w:id="23" w:name="_Toc999"/>
      <w:bookmarkStart w:id="24" w:name="_Toc25689"/>
      <w:bookmarkStart w:id="25" w:name="_Toc21651"/>
      <w:r>
        <w:t>Los procesos son las actividades estructuradas que Sincinaty lleva a cabo para operar y entregar valor de manera consistente (Reyes-Castillo &amp; Sierra-García, 2022). Se identifican seis procesos clave, distribuidos en dos categorías: procesos de operación central, que impactan directamente la experiencia del turista y la calidad de la oferta, y procesos de soporte, que habilitan y sostienen el funcionamiento de los primeros.</w:t>
      </w:r>
    </w:p>
    <w:p w14:paraId="1CF7C95C">
      <w:pPr>
        <w:bidi w:val="0"/>
        <w:ind w:firstLine="708" w:firstLineChars="0"/>
      </w:pPr>
      <w:r>
        <w:t>Esta división no es arbitraria: los procesos de operación central son aquellos sin los cuales la propuesta de valor de Sincinaty no existiría —gestionar prestadores, producir contenido, procesar reservas y construir reputación—, mientras que los procesos de soporte garantizan que la relación con usuarios e instituciones se mantenga saludable y en crecimiento. Ambas categorías son interdependientes: un proceso de soporte débil, como la atención al cliente, puede deteriorar la percepción de los procesos centrales, por bien que estos funcionen (BOC Group, 2023).</w:t>
      </w:r>
    </w:p>
    <w:p w14:paraId="04A2233D">
      <w:pPr>
        <w:bidi w:val="0"/>
        <w:ind w:firstLine="708" w:firstLineChars="0"/>
      </w:pPr>
    </w:p>
    <w:p w14:paraId="2070D5E9">
      <w:pPr>
        <w:pStyle w:val="3"/>
        <w:numPr>
          <w:ilvl w:val="1"/>
          <w:numId w:val="1"/>
        </w:numPr>
        <w:bidi w:val="0"/>
        <w:ind w:left="850" w:leftChars="0" w:hanging="453" w:firstLineChars="0"/>
      </w:pPr>
      <w:r>
        <w:t>Procesos de operación central</w:t>
      </w:r>
      <w:bookmarkEnd w:id="23"/>
      <w:bookmarkEnd w:id="24"/>
      <w:bookmarkEnd w:id="25"/>
    </w:p>
    <w:p w14:paraId="64FB0A50"/>
    <w:p w14:paraId="344C85EB">
      <w:pPr>
        <w:pStyle w:val="11"/>
        <w:rPr>
          <w:rFonts w:hint="default" w:ascii="Times New Roman" w:hAnsi="Times New Roman" w:cs="Times New Roman"/>
          <w:b/>
          <w:bCs/>
          <w:sz w:val="16"/>
          <w:szCs w:val="16"/>
          <w:lang w:val="es-ES"/>
        </w:rPr>
      </w:pPr>
      <w:r>
        <w:rPr>
          <w:rFonts w:hint="default" w:ascii="Times New Roman" w:hAnsi="Times New Roman" w:cs="Times New Roman"/>
          <w:b/>
          <w:bCs/>
          <w:sz w:val="16"/>
          <w:szCs w:val="16"/>
        </w:rPr>
        <w:t>Tabl</w:t>
      </w:r>
      <w:r>
        <w:rPr>
          <w:rFonts w:hint="default" w:ascii="Times New Roman" w:hAnsi="Times New Roman" w:cs="Times New Roman"/>
          <w:b/>
          <w:bCs/>
          <w:sz w:val="16"/>
          <w:szCs w:val="16"/>
          <w:lang w:val="es-ES"/>
        </w:rPr>
        <w:t>a</w:t>
      </w:r>
      <w:r>
        <w:rPr>
          <w:rFonts w:hint="default" w:ascii="Times New Roman" w:hAnsi="Times New Roman" w:cs="Times New Roman"/>
          <w:b/>
          <w:bCs/>
          <w:sz w:val="16"/>
          <w:szCs w:val="16"/>
        </w:rPr>
        <w:t xml:space="preserve"> </w:t>
      </w:r>
      <w:r>
        <w:rPr>
          <w:rFonts w:hint="default" w:ascii="Times New Roman" w:hAnsi="Times New Roman" w:cs="Times New Roman"/>
          <w:b/>
          <w:bCs/>
          <w:sz w:val="16"/>
          <w:szCs w:val="16"/>
        </w:rPr>
        <w:fldChar w:fldCharType="begin"/>
      </w:r>
      <w:r>
        <w:rPr>
          <w:rFonts w:hint="default" w:ascii="Times New Roman" w:hAnsi="Times New Roman" w:cs="Times New Roman"/>
          <w:b/>
          <w:bCs/>
          <w:sz w:val="16"/>
          <w:szCs w:val="16"/>
        </w:rPr>
        <w:instrText xml:space="preserve"> SEQ Table \* ARABIC </w:instrText>
      </w:r>
      <w:r>
        <w:rPr>
          <w:rFonts w:hint="default" w:ascii="Times New Roman" w:hAnsi="Times New Roman" w:cs="Times New Roman"/>
          <w:b/>
          <w:bCs/>
          <w:sz w:val="16"/>
          <w:szCs w:val="16"/>
        </w:rPr>
        <w:fldChar w:fldCharType="separate"/>
      </w:r>
      <w:r>
        <w:rPr>
          <w:rFonts w:hint="default" w:ascii="Times New Roman" w:hAnsi="Times New Roman" w:cs="Times New Roman"/>
          <w:b/>
          <w:bCs/>
          <w:sz w:val="16"/>
          <w:szCs w:val="16"/>
        </w:rPr>
        <w:t>3</w:t>
      </w:r>
      <w:r>
        <w:rPr>
          <w:rFonts w:hint="default" w:ascii="Times New Roman" w:hAnsi="Times New Roman" w:cs="Times New Roman"/>
          <w:b/>
          <w:bCs/>
          <w:sz w:val="16"/>
          <w:szCs w:val="16"/>
        </w:rPr>
        <w:fldChar w:fldCharType="end"/>
      </w:r>
      <w:r>
        <w:rPr>
          <w:rFonts w:hint="default" w:ascii="Times New Roman" w:hAnsi="Times New Roman" w:cs="Times New Roman"/>
          <w:b/>
          <w:bCs/>
          <w:sz w:val="16"/>
          <w:szCs w:val="16"/>
          <w:lang w:val="es-ES"/>
        </w:rPr>
        <w:t xml:space="preserve">. </w:t>
      </w:r>
    </w:p>
    <w:p w14:paraId="73E54C10">
      <w:pPr>
        <w:pStyle w:val="11"/>
        <w:rPr>
          <w:rFonts w:hint="default" w:ascii="Times New Roman" w:hAnsi="Times New Roman" w:cs="Times New Roman"/>
          <w:sz w:val="16"/>
          <w:szCs w:val="16"/>
          <w:lang w:val="es-ES"/>
        </w:rPr>
      </w:pPr>
      <w:r>
        <w:rPr>
          <w:rFonts w:hint="default" w:ascii="Times New Roman" w:hAnsi="Times New Roman" w:cs="Times New Roman"/>
          <w:sz w:val="16"/>
          <w:szCs w:val="16"/>
          <w:lang w:val="es-ES"/>
        </w:rPr>
        <w:t>Procesos de Operación Central.</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14:paraId="49308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shd w:val="clear" w:color="auto" w:fill="DCE6F2" w:themeFill="accent1" w:themeFillTint="32"/>
            <w:vAlign w:val="top"/>
          </w:tcPr>
          <w:p w14:paraId="0313790E">
            <w:pPr>
              <w:spacing w:before="80" w:after="80"/>
              <w:jc w:val="center"/>
              <w:rPr>
                <w:sz w:val="20"/>
                <w:szCs w:val="20"/>
                <w:vertAlign w:val="baseline"/>
              </w:rPr>
            </w:pPr>
            <w:r>
              <w:rPr>
                <w:b/>
                <w:bCs/>
                <w:sz w:val="20"/>
                <w:szCs w:val="20"/>
              </w:rPr>
              <w:t>Procesos</w:t>
            </w:r>
          </w:p>
        </w:tc>
        <w:tc>
          <w:tcPr>
            <w:tcW w:w="3192" w:type="dxa"/>
            <w:shd w:val="clear" w:color="auto" w:fill="DCE6F2" w:themeFill="accent1" w:themeFillTint="32"/>
            <w:vAlign w:val="top"/>
          </w:tcPr>
          <w:p w14:paraId="2256F9FC">
            <w:pPr>
              <w:spacing w:before="80" w:after="80"/>
              <w:jc w:val="center"/>
              <w:rPr>
                <w:sz w:val="20"/>
                <w:szCs w:val="20"/>
                <w:vertAlign w:val="baseline"/>
              </w:rPr>
            </w:pPr>
            <w:r>
              <w:rPr>
                <w:b/>
                <w:bCs/>
                <w:sz w:val="20"/>
                <w:szCs w:val="20"/>
              </w:rPr>
              <w:t>Descripción</w:t>
            </w:r>
          </w:p>
        </w:tc>
        <w:tc>
          <w:tcPr>
            <w:tcW w:w="3192" w:type="dxa"/>
            <w:shd w:val="clear" w:color="auto" w:fill="DCE6F2" w:themeFill="accent1" w:themeFillTint="32"/>
            <w:vAlign w:val="top"/>
          </w:tcPr>
          <w:p w14:paraId="16800A81">
            <w:pPr>
              <w:spacing w:before="80" w:after="80"/>
              <w:jc w:val="center"/>
              <w:rPr>
                <w:sz w:val="20"/>
                <w:szCs w:val="20"/>
                <w:vertAlign w:val="baseline"/>
              </w:rPr>
            </w:pPr>
            <w:r>
              <w:rPr>
                <w:b/>
                <w:bCs/>
                <w:sz w:val="20"/>
                <w:szCs w:val="20"/>
              </w:rPr>
              <w:t>Resultado esperado</w:t>
            </w:r>
          </w:p>
        </w:tc>
      </w:tr>
      <w:tr w14:paraId="16022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top"/>
          </w:tcPr>
          <w:p w14:paraId="0CE19BBD">
            <w:pPr>
              <w:spacing w:before="80" w:after="80"/>
              <w:rPr>
                <w:sz w:val="20"/>
                <w:szCs w:val="20"/>
                <w:vertAlign w:val="baseline"/>
              </w:rPr>
            </w:pPr>
            <w:r>
              <w:rPr>
                <w:sz w:val="20"/>
                <w:szCs w:val="20"/>
              </w:rPr>
              <w:t>Gestión de prestadores de servicios turísticos</w:t>
            </w:r>
          </w:p>
        </w:tc>
        <w:tc>
          <w:tcPr>
            <w:tcW w:w="3192" w:type="dxa"/>
            <w:vAlign w:val="top"/>
          </w:tcPr>
          <w:p w14:paraId="4046F65D">
            <w:pPr>
              <w:spacing w:before="80" w:after="80"/>
              <w:rPr>
                <w:sz w:val="20"/>
                <w:szCs w:val="20"/>
                <w:vertAlign w:val="baseline"/>
              </w:rPr>
            </w:pPr>
            <w:r>
              <w:rPr>
                <w:sz w:val="20"/>
                <w:szCs w:val="20"/>
              </w:rPr>
              <w:t>Registro, validación, onboarding y monitoreo continuo de los proveedores que publican servicios en la plataforma. Incluye verificación de calidad, cumplimiento de criterios mínimos y actualización periódica de la oferta.</w:t>
            </w:r>
          </w:p>
        </w:tc>
        <w:tc>
          <w:tcPr>
            <w:tcW w:w="3192" w:type="dxa"/>
            <w:vAlign w:val="top"/>
          </w:tcPr>
          <w:p w14:paraId="5E402592">
            <w:pPr>
              <w:spacing w:before="80" w:after="80"/>
              <w:jc w:val="left"/>
              <w:rPr>
                <w:sz w:val="20"/>
                <w:szCs w:val="20"/>
                <w:vertAlign w:val="baseline"/>
              </w:rPr>
            </w:pPr>
            <w:r>
              <w:rPr>
                <w:sz w:val="20"/>
                <w:szCs w:val="20"/>
              </w:rPr>
              <w:t>Catálogo de prestadores confiables, actualizados y con oferta verificada. Base sólida para la reputación de la plataforma.</w:t>
            </w:r>
          </w:p>
        </w:tc>
      </w:tr>
      <w:tr w14:paraId="3E277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top"/>
          </w:tcPr>
          <w:p w14:paraId="667C0613">
            <w:pPr>
              <w:spacing w:before="80" w:after="80"/>
              <w:rPr>
                <w:sz w:val="20"/>
                <w:szCs w:val="20"/>
                <w:vertAlign w:val="baseline"/>
              </w:rPr>
            </w:pPr>
            <w:r>
              <w:rPr>
                <w:sz w:val="20"/>
                <w:szCs w:val="20"/>
              </w:rPr>
              <w:t>Gestión del contenido turístico</w:t>
            </w:r>
          </w:p>
        </w:tc>
        <w:tc>
          <w:tcPr>
            <w:tcW w:w="3192" w:type="dxa"/>
            <w:vAlign w:val="top"/>
          </w:tcPr>
          <w:p w14:paraId="55E37276">
            <w:pPr>
              <w:spacing w:before="80" w:after="80"/>
              <w:rPr>
                <w:sz w:val="20"/>
                <w:szCs w:val="20"/>
                <w:vertAlign w:val="baseline"/>
              </w:rPr>
            </w:pPr>
            <w:r>
              <w:rPr>
                <w:sz w:val="20"/>
                <w:szCs w:val="20"/>
              </w:rPr>
              <w:t>Curaduría, producción y actualización de información sobre destinos, rutas, festividades, gastronomía y atractivos naturales y culturales del departamento. Garantiza que la información sea precisa, atractiva y diferencial.</w:t>
            </w:r>
          </w:p>
        </w:tc>
        <w:tc>
          <w:tcPr>
            <w:tcW w:w="3192" w:type="dxa"/>
            <w:vAlign w:val="top"/>
          </w:tcPr>
          <w:p w14:paraId="20D8FB9E">
            <w:pPr>
              <w:spacing w:before="80" w:after="80"/>
              <w:rPr>
                <w:sz w:val="20"/>
                <w:szCs w:val="20"/>
                <w:vertAlign w:val="baseline"/>
              </w:rPr>
            </w:pPr>
            <w:r>
              <w:rPr>
                <w:sz w:val="20"/>
                <w:szCs w:val="20"/>
              </w:rPr>
              <w:t>Información de alta calidad que distingue a Sincinaty de buscadores genéricos. El contenido propio es un activo competitivo.</w:t>
            </w:r>
          </w:p>
        </w:tc>
      </w:tr>
      <w:tr w14:paraId="40010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top"/>
          </w:tcPr>
          <w:p w14:paraId="43743E14">
            <w:pPr>
              <w:spacing w:before="80" w:after="80"/>
              <w:rPr>
                <w:sz w:val="20"/>
                <w:szCs w:val="20"/>
              </w:rPr>
            </w:pPr>
            <w:r>
              <w:rPr>
                <w:sz w:val="20"/>
                <w:szCs w:val="20"/>
              </w:rPr>
              <w:t>Gestión de reservas y transacciones</w:t>
            </w:r>
          </w:p>
          <w:p w14:paraId="266685D7">
            <w:pPr>
              <w:jc w:val="center"/>
              <w:rPr>
                <w:sz w:val="20"/>
                <w:szCs w:val="20"/>
                <w:vertAlign w:val="baseline"/>
              </w:rPr>
            </w:pPr>
          </w:p>
        </w:tc>
        <w:tc>
          <w:tcPr>
            <w:tcW w:w="3192" w:type="dxa"/>
            <w:vAlign w:val="top"/>
          </w:tcPr>
          <w:p w14:paraId="0A232E59">
            <w:pPr>
              <w:spacing w:before="80" w:after="80"/>
              <w:rPr>
                <w:sz w:val="20"/>
                <w:szCs w:val="20"/>
                <w:vertAlign w:val="baseline"/>
              </w:rPr>
            </w:pPr>
            <w:r>
              <w:rPr>
                <w:sz w:val="20"/>
                <w:szCs w:val="20"/>
              </w:rPr>
              <w:t>Procesamiento de solicitudes de reserva, confirmación con el prestador, gestión del pago del turista, liquidación al proveedor y emisión de comprobantes. Incluye políticas de cancelación y reembolso.</w:t>
            </w:r>
          </w:p>
        </w:tc>
        <w:tc>
          <w:tcPr>
            <w:tcW w:w="3192" w:type="dxa"/>
            <w:vAlign w:val="top"/>
          </w:tcPr>
          <w:p w14:paraId="09807453">
            <w:pPr>
              <w:spacing w:before="80" w:after="80"/>
              <w:rPr>
                <w:sz w:val="20"/>
                <w:szCs w:val="20"/>
                <w:vertAlign w:val="baseline"/>
              </w:rPr>
            </w:pPr>
            <w:r>
              <w:rPr>
                <w:sz w:val="20"/>
                <w:szCs w:val="20"/>
              </w:rPr>
              <w:t>Ciclo transaccional completo y confiable que genera confianza en ambas partes y garantiza el ingreso de la empresa.</w:t>
            </w:r>
          </w:p>
        </w:tc>
      </w:tr>
      <w:tr w14:paraId="5C619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top"/>
          </w:tcPr>
          <w:p w14:paraId="467E4A8F">
            <w:pPr>
              <w:spacing w:before="80" w:after="80"/>
              <w:rPr>
                <w:sz w:val="20"/>
                <w:szCs w:val="20"/>
                <w:vertAlign w:val="baseline"/>
              </w:rPr>
            </w:pPr>
            <w:r>
              <w:rPr>
                <w:sz w:val="20"/>
                <w:szCs w:val="20"/>
              </w:rPr>
              <w:t>Gestión de reseñas y calidad del servicio</w:t>
            </w:r>
          </w:p>
        </w:tc>
        <w:tc>
          <w:tcPr>
            <w:tcW w:w="3192" w:type="dxa"/>
            <w:vAlign w:val="top"/>
          </w:tcPr>
          <w:p w14:paraId="4744CD1E">
            <w:pPr>
              <w:spacing w:before="80" w:after="80"/>
              <w:rPr>
                <w:sz w:val="20"/>
                <w:szCs w:val="20"/>
                <w:vertAlign w:val="baseline"/>
              </w:rPr>
            </w:pPr>
            <w:r>
              <w:rPr>
                <w:sz w:val="20"/>
                <w:szCs w:val="20"/>
              </w:rPr>
              <w:t>Recolección, moderación y publicación de evaluaciones de usuarios sobre prestadores y experiencias. Incluye análisis de tendencias de satisfacción y retroalimentación a los proveedores.</w:t>
            </w:r>
          </w:p>
        </w:tc>
        <w:tc>
          <w:tcPr>
            <w:tcW w:w="3192" w:type="dxa"/>
            <w:vAlign w:val="top"/>
          </w:tcPr>
          <w:p w14:paraId="3381B547">
            <w:pPr>
              <w:spacing w:before="80" w:after="80"/>
              <w:rPr>
                <w:sz w:val="20"/>
                <w:szCs w:val="20"/>
                <w:vertAlign w:val="baseline"/>
              </w:rPr>
            </w:pPr>
            <w:r>
              <w:rPr>
                <w:sz w:val="20"/>
                <w:szCs w:val="20"/>
              </w:rPr>
              <w:t xml:space="preserve">Sistema de reputación robusto que orienta decisiones del turista y motiva a los </w:t>
            </w:r>
            <w:r>
              <w:rPr>
                <w:rFonts w:hint="default"/>
                <w:sz w:val="20"/>
                <w:szCs w:val="20"/>
                <w:lang w:val="es-ES"/>
              </w:rPr>
              <w:t xml:space="preserve">prestadores </w:t>
            </w:r>
            <w:r>
              <w:rPr>
                <w:sz w:val="20"/>
                <w:szCs w:val="20"/>
              </w:rPr>
              <w:t>a mejorar su servicio.</w:t>
            </w:r>
          </w:p>
        </w:tc>
      </w:tr>
    </w:tbl>
    <w:p w14:paraId="0C09308F">
      <w:pPr>
        <w:pStyle w:val="11"/>
        <w:rPr>
          <w:rFonts w:hint="default" w:ascii="Times New Roman" w:hAnsi="Times New Roman" w:cs="Times New Roman"/>
          <w:i/>
          <w:iCs/>
          <w:sz w:val="16"/>
          <w:szCs w:val="16"/>
          <w:lang w:val="es-ES"/>
        </w:rPr>
      </w:pPr>
      <w:r>
        <w:rPr>
          <w:rFonts w:hint="default" w:ascii="Times New Roman" w:hAnsi="Times New Roman" w:cs="Times New Roman"/>
          <w:b/>
          <w:bCs/>
          <w:i/>
          <w:iCs/>
          <w:sz w:val="16"/>
          <w:szCs w:val="16"/>
        </w:rPr>
        <w:t>Nota</w:t>
      </w:r>
      <w:r>
        <w:rPr>
          <w:rFonts w:hint="default" w:ascii="Times New Roman" w:hAnsi="Times New Roman" w:cs="Times New Roman"/>
          <w:b/>
          <w:bCs/>
          <w:i/>
          <w:iCs/>
          <w:sz w:val="16"/>
          <w:szCs w:val="16"/>
          <w:lang w:val="es-ES"/>
        </w:rPr>
        <w:t>.</w:t>
      </w:r>
      <w:r>
        <w:rPr>
          <w:rFonts w:hint="default" w:ascii="Times New Roman" w:hAnsi="Times New Roman" w:cs="Times New Roman"/>
          <w:i/>
          <w:iCs/>
          <w:sz w:val="16"/>
          <w:szCs w:val="16"/>
          <w:lang w:val="es-ES"/>
        </w:rPr>
        <w:t xml:space="preserve"> La tabla 3 describe los procesos operacionales centrales del negocio Sincinaty, detallando cada uno de los procesos con su descripción.</w:t>
      </w:r>
    </w:p>
    <w:p w14:paraId="666A1A71">
      <w:pPr>
        <w:bidi w:val="0"/>
        <w:ind w:firstLine="708" w:firstLineChars="0"/>
      </w:pPr>
      <w:r>
        <w:t>Es importante destacar que estos cuatro procesos forman una cadena de valor interna: la gestión de prestadores alimenta el contenido disponible en la plataforma; ese contenido impulsa las reservas; y las reservas generan reseñas que retroalimentan la calidad de los prestadores. Interrumpir cualquier eslabón de esta cadena compromete la integridad del modelo completo.</w:t>
      </w:r>
    </w:p>
    <w:p w14:paraId="3F1CDC38">
      <w:pPr>
        <w:spacing w:before="80" w:after="80"/>
        <w:ind w:left="360"/>
      </w:pPr>
    </w:p>
    <w:p w14:paraId="1AFA4474">
      <w:pPr>
        <w:spacing w:before="80" w:after="80"/>
        <w:ind w:left="360"/>
      </w:pPr>
    </w:p>
    <w:p w14:paraId="0633B041">
      <w:pPr>
        <w:pStyle w:val="3"/>
        <w:numPr>
          <w:ilvl w:val="1"/>
          <w:numId w:val="1"/>
        </w:numPr>
        <w:bidi w:val="0"/>
        <w:ind w:left="850" w:leftChars="0" w:hanging="453" w:firstLineChars="0"/>
      </w:pPr>
      <w:bookmarkStart w:id="26" w:name="_Toc9385"/>
      <w:bookmarkStart w:id="27" w:name="_Toc9875"/>
      <w:bookmarkStart w:id="28" w:name="_Toc15347"/>
      <w:r>
        <w:t>Procesos de soporte</w:t>
      </w:r>
      <w:bookmarkEnd w:id="26"/>
      <w:bookmarkEnd w:id="27"/>
      <w:bookmarkEnd w:id="28"/>
    </w:p>
    <w:p w14:paraId="6B8521C2"/>
    <w:p w14:paraId="2D266B97">
      <w:pPr>
        <w:pStyle w:val="11"/>
        <w:spacing w:line="240" w:lineRule="auto"/>
        <w:rPr>
          <w:rFonts w:hint="default" w:ascii="Times New Roman" w:hAnsi="Times New Roman" w:cs="Times New Roman"/>
          <w:sz w:val="16"/>
          <w:szCs w:val="16"/>
          <w:lang w:val="es-ES"/>
        </w:rPr>
      </w:pPr>
      <w:r>
        <w:rPr>
          <w:rFonts w:hint="default" w:ascii="Times New Roman" w:hAnsi="Times New Roman" w:cs="Times New Roman"/>
          <w:b/>
          <w:bCs/>
          <w:sz w:val="16"/>
          <w:szCs w:val="16"/>
        </w:rPr>
        <w:t xml:space="preserve">Tabla </w:t>
      </w:r>
      <w:r>
        <w:rPr>
          <w:rFonts w:hint="default" w:ascii="Times New Roman" w:hAnsi="Times New Roman" w:cs="Times New Roman"/>
          <w:b/>
          <w:bCs/>
          <w:sz w:val="16"/>
          <w:szCs w:val="16"/>
          <w:lang w:val="es-ES"/>
        </w:rPr>
        <w:t xml:space="preserve">4. </w:t>
      </w:r>
    </w:p>
    <w:p w14:paraId="61CC3ABB">
      <w:pPr>
        <w:pStyle w:val="11"/>
        <w:spacing w:line="240" w:lineRule="auto"/>
        <w:rPr>
          <w:rFonts w:hint="default" w:ascii="Times New Roman" w:hAnsi="Times New Roman" w:cs="Times New Roman"/>
          <w:sz w:val="16"/>
          <w:szCs w:val="16"/>
          <w:lang w:val="es-ES"/>
        </w:rPr>
      </w:pPr>
      <w:r>
        <w:rPr>
          <w:rFonts w:hint="default" w:ascii="Times New Roman" w:hAnsi="Times New Roman" w:cs="Times New Roman"/>
          <w:sz w:val="16"/>
          <w:szCs w:val="16"/>
          <w:lang w:val="es-ES"/>
        </w:rPr>
        <w:t>Procesos de soporte.</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14:paraId="4AC3A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shd w:val="clear" w:color="auto" w:fill="DCE6F2" w:themeFill="accent1" w:themeFillTint="32"/>
            <w:vAlign w:val="top"/>
          </w:tcPr>
          <w:p w14:paraId="766C7942">
            <w:pPr>
              <w:spacing w:before="80" w:after="80"/>
              <w:rPr>
                <w:sz w:val="20"/>
                <w:szCs w:val="20"/>
                <w:vertAlign w:val="baseline"/>
              </w:rPr>
            </w:pPr>
            <w:r>
              <w:rPr>
                <w:b/>
                <w:bCs/>
                <w:sz w:val="20"/>
                <w:szCs w:val="20"/>
              </w:rPr>
              <w:t xml:space="preserve">Proceso </w:t>
            </w:r>
          </w:p>
        </w:tc>
        <w:tc>
          <w:tcPr>
            <w:tcW w:w="3192" w:type="dxa"/>
            <w:shd w:val="clear" w:color="auto" w:fill="DCE6F2" w:themeFill="accent1" w:themeFillTint="32"/>
            <w:vAlign w:val="top"/>
          </w:tcPr>
          <w:p w14:paraId="4F6708F7">
            <w:pPr>
              <w:spacing w:before="80" w:after="80"/>
              <w:rPr>
                <w:sz w:val="20"/>
                <w:szCs w:val="20"/>
                <w:vertAlign w:val="baseline"/>
              </w:rPr>
            </w:pPr>
            <w:r>
              <w:rPr>
                <w:b/>
                <w:bCs/>
                <w:sz w:val="20"/>
                <w:szCs w:val="20"/>
              </w:rPr>
              <w:t xml:space="preserve">Descripción </w:t>
            </w:r>
          </w:p>
        </w:tc>
        <w:tc>
          <w:tcPr>
            <w:tcW w:w="3192" w:type="dxa"/>
            <w:shd w:val="clear" w:color="auto" w:fill="DCE6F2" w:themeFill="accent1" w:themeFillTint="32"/>
            <w:vAlign w:val="top"/>
          </w:tcPr>
          <w:p w14:paraId="2499001F">
            <w:pPr>
              <w:spacing w:before="80" w:after="80"/>
              <w:rPr>
                <w:sz w:val="20"/>
                <w:szCs w:val="20"/>
                <w:vertAlign w:val="baseline"/>
              </w:rPr>
            </w:pPr>
            <w:r>
              <w:rPr>
                <w:b/>
                <w:bCs/>
                <w:sz w:val="20"/>
                <w:szCs w:val="20"/>
              </w:rPr>
              <w:t>Resultado esperado</w:t>
            </w:r>
          </w:p>
        </w:tc>
      </w:tr>
      <w:tr w14:paraId="1A2C4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top"/>
          </w:tcPr>
          <w:p w14:paraId="7D623B98">
            <w:pPr>
              <w:spacing w:before="80" w:after="80"/>
              <w:rPr>
                <w:sz w:val="20"/>
                <w:szCs w:val="20"/>
                <w:vertAlign w:val="baseline"/>
              </w:rPr>
            </w:pPr>
            <w:r>
              <w:rPr>
                <w:sz w:val="20"/>
                <w:szCs w:val="20"/>
              </w:rPr>
              <w:t>Atención y soporte al usuario</w:t>
            </w:r>
          </w:p>
        </w:tc>
        <w:tc>
          <w:tcPr>
            <w:tcW w:w="3192" w:type="dxa"/>
            <w:vAlign w:val="top"/>
          </w:tcPr>
          <w:p w14:paraId="2DE0D0EE">
            <w:pPr>
              <w:spacing w:before="80" w:after="80"/>
              <w:rPr>
                <w:sz w:val="20"/>
                <w:szCs w:val="20"/>
                <w:vertAlign w:val="baseline"/>
              </w:rPr>
            </w:pPr>
            <w:r>
              <w:rPr>
                <w:sz w:val="20"/>
                <w:szCs w:val="20"/>
              </w:rPr>
              <w:t>Gestión de consultas, reclamaciones e incidencias de turistas y prestadores a través de canales digitales (chat, correo). Resolución de conflictos entre partes y seguimiento post-experiencia.</w:t>
            </w:r>
          </w:p>
        </w:tc>
        <w:tc>
          <w:tcPr>
            <w:tcW w:w="3192" w:type="dxa"/>
            <w:vAlign w:val="top"/>
          </w:tcPr>
          <w:p w14:paraId="05F53256">
            <w:pPr>
              <w:spacing w:before="80" w:after="80"/>
              <w:rPr>
                <w:sz w:val="20"/>
                <w:szCs w:val="20"/>
                <w:vertAlign w:val="baseline"/>
              </w:rPr>
            </w:pPr>
            <w:r>
              <w:rPr>
                <w:sz w:val="20"/>
                <w:szCs w:val="20"/>
              </w:rPr>
              <w:t>Usuarios satisfechos con soporte ágil. Reducción de fricciones que afectan la retención.</w:t>
            </w:r>
          </w:p>
        </w:tc>
      </w:tr>
      <w:tr w14:paraId="3BBD8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top"/>
          </w:tcPr>
          <w:p w14:paraId="22A6FF75">
            <w:pPr>
              <w:spacing w:before="80" w:after="80"/>
              <w:rPr>
                <w:sz w:val="20"/>
                <w:szCs w:val="20"/>
                <w:vertAlign w:val="baseline"/>
              </w:rPr>
            </w:pPr>
            <w:r>
              <w:rPr>
                <w:sz w:val="20"/>
                <w:szCs w:val="20"/>
              </w:rPr>
              <w:t>Gestión de alianzas y ecosistema</w:t>
            </w:r>
          </w:p>
        </w:tc>
        <w:tc>
          <w:tcPr>
            <w:tcW w:w="3192" w:type="dxa"/>
            <w:vAlign w:val="top"/>
          </w:tcPr>
          <w:p w14:paraId="445F1281">
            <w:pPr>
              <w:spacing w:before="80" w:after="80"/>
              <w:rPr>
                <w:sz w:val="20"/>
                <w:szCs w:val="20"/>
                <w:vertAlign w:val="baseline"/>
              </w:rPr>
            </w:pPr>
            <w:r>
              <w:rPr>
                <w:sz w:val="20"/>
                <w:szCs w:val="20"/>
              </w:rPr>
              <w:t>Identificación, negociación y mantenimiento de alianzas estratégicas con entidades públicas, gremios turísticos, medios digitales y operadores de turismo. Gestión de acuerdos de colaboración y cobeneficios.</w:t>
            </w:r>
          </w:p>
        </w:tc>
        <w:tc>
          <w:tcPr>
            <w:tcW w:w="3192" w:type="dxa"/>
            <w:vAlign w:val="top"/>
          </w:tcPr>
          <w:p w14:paraId="62B0E062">
            <w:pPr>
              <w:spacing w:before="80" w:after="80"/>
              <w:rPr>
                <w:sz w:val="20"/>
                <w:szCs w:val="20"/>
                <w:vertAlign w:val="baseline"/>
              </w:rPr>
            </w:pPr>
            <w:r>
              <w:rPr>
                <w:sz w:val="20"/>
                <w:szCs w:val="20"/>
              </w:rPr>
              <w:t>Red de aliados consolidada que amplia la oferta, la credibilidad institucional y el alcance comercial de la plataforma.</w:t>
            </w:r>
          </w:p>
        </w:tc>
      </w:tr>
    </w:tbl>
    <w:p w14:paraId="2F33E122">
      <w:pPr>
        <w:spacing w:line="240" w:lineRule="auto"/>
        <w:rPr>
          <w:rFonts w:hint="default"/>
          <w:i/>
          <w:iCs/>
          <w:sz w:val="16"/>
          <w:szCs w:val="16"/>
        </w:rPr>
      </w:pPr>
      <w:r>
        <w:rPr>
          <w:rFonts w:hint="default"/>
          <w:b/>
          <w:bCs/>
          <w:i/>
          <w:iCs/>
          <w:sz w:val="16"/>
          <w:szCs w:val="16"/>
          <w:lang w:val="es-ES"/>
        </w:rPr>
        <w:t>Nota.</w:t>
      </w:r>
      <w:r>
        <w:rPr>
          <w:rFonts w:hint="default"/>
          <w:i/>
          <w:iCs/>
          <w:sz w:val="16"/>
          <w:szCs w:val="16"/>
          <w:lang w:val="es-ES"/>
        </w:rPr>
        <w:t xml:space="preserve"> </w:t>
      </w:r>
      <w:r>
        <w:rPr>
          <w:rFonts w:hint="default"/>
          <w:i/>
          <w:iCs/>
          <w:sz w:val="16"/>
          <w:szCs w:val="16"/>
        </w:rPr>
        <w:t>Los procesos de soporte presentados en la Tabla 4 detallan las acciones de atención al usuario y la gestión estratégica de alianzas para fortalecer el ecosistema turístico y la satisfacción del cliente.</w:t>
      </w:r>
    </w:p>
    <w:p w14:paraId="79F58892">
      <w:pPr>
        <w:bidi w:val="0"/>
        <w:ind w:firstLine="708" w:firstLineChars="0"/>
        <w:rPr>
          <w:rFonts w:hint="default"/>
          <w:i/>
          <w:iCs/>
          <w:sz w:val="16"/>
          <w:szCs w:val="16"/>
        </w:rPr>
      </w:pPr>
      <w:r>
        <w:t>La gestión de alianzas, en particular, actúa como un multiplicador estratégico: cada acuerdo institucional con la Gobernación de Sucre, Fontur o la Cámara de Comercio no solo amplía la red de prestadores disponibles, sino que también legitima a Sincinaty como actor formal del ecosistema turístico regional, algo que ningún competidor externo puede replicar con rapidez (Durán, 2018).</w:t>
      </w:r>
    </w:p>
    <w:p w14:paraId="3FE433AF">
      <w:pPr>
        <w:spacing w:before="80" w:after="80"/>
        <w:rPr>
          <w:b/>
          <w:bCs/>
        </w:rPr>
      </w:pPr>
    </w:p>
    <w:p w14:paraId="34008E42">
      <w:pPr>
        <w:numPr>
          <w:ilvl w:val="0"/>
          <w:numId w:val="1"/>
        </w:numPr>
        <w:spacing w:before="80" w:after="80"/>
        <w:ind w:left="425" w:leftChars="0" w:hanging="425" w:firstLineChars="0"/>
        <w:jc w:val="center"/>
        <w:outlineLvl w:val="0"/>
        <w:rPr>
          <w:b/>
          <w:bCs/>
        </w:rPr>
      </w:pPr>
      <w:bookmarkStart w:id="29" w:name="_Toc2900"/>
      <w:bookmarkStart w:id="30" w:name="_Toc30798"/>
      <w:bookmarkStart w:id="31" w:name="_Toc28108"/>
      <w:r>
        <w:rPr>
          <w:b/>
          <w:bCs/>
        </w:rPr>
        <w:t>Capacidades de Negocio</w:t>
      </w:r>
      <w:bookmarkEnd w:id="29"/>
      <w:bookmarkEnd w:id="30"/>
      <w:bookmarkEnd w:id="31"/>
    </w:p>
    <w:p w14:paraId="7E1F0FC7">
      <w:pPr>
        <w:bidi w:val="0"/>
        <w:ind w:firstLine="708" w:firstLineChars="0"/>
      </w:pPr>
      <w:r>
        <w:t>Las capacidades de negocio definen qué debe saber hacer bien Sincinaty para operar, crecer y diferenciarse sostenidamente en el mercado. A diferencia de los procesos, que describen actividades concretas, las capacidades representan habilidades organizacionales acumuladas que la empresa desarrolla con el tiempo y que son difíciles de transferir o imitar (Reyes-Castillo &amp; Sierra-García, 2022).</w:t>
      </w:r>
    </w:p>
    <w:p w14:paraId="13DC7D86">
      <w:pPr>
        <w:bidi w:val="0"/>
        <w:ind w:firstLine="708" w:firstLineChars="0"/>
      </w:pPr>
      <w:r>
        <w:t>Se identifican seis capacidades organizadas en tres niveles de prioridad. El primer nivel agrupa las capacidades fundacionales, sin las cuales la plataforma no puede existir: la curaduría de información local y la gestión de prestadores. El segundo nivel corresponde a las capacidades que permiten escalar y monetizar: personalización y gestión de transacciones. El tercer nivel reúne las capacidades que consolidan la posición competitiva a largo plazo: reputación del ecosistema y gestión de alianzas estratégicas. Esta jerarquía no implica que unas sean prescindibles, sino que existe un orden lógico de madurez: sin las del primer nivel, las del segundo no pueden desplegarse; sin las del segundo, las del tercero carecen de base.</w:t>
      </w:r>
    </w:p>
    <w:p w14:paraId="5E17B69D">
      <w:pPr>
        <w:pStyle w:val="11"/>
        <w:spacing w:line="240" w:lineRule="auto"/>
        <w:rPr>
          <w:rFonts w:hint="default" w:ascii="Times New Roman" w:hAnsi="Times New Roman" w:cs="Times New Roman"/>
          <w:b/>
          <w:bCs/>
          <w:sz w:val="16"/>
          <w:szCs w:val="16"/>
          <w:lang w:val="es-ES"/>
        </w:rPr>
      </w:pPr>
      <w:r>
        <w:rPr>
          <w:rFonts w:hint="default" w:ascii="Times New Roman" w:hAnsi="Times New Roman" w:cs="Times New Roman"/>
          <w:b/>
          <w:bCs/>
          <w:sz w:val="16"/>
          <w:szCs w:val="16"/>
        </w:rPr>
        <w:t xml:space="preserve">Tabla </w:t>
      </w:r>
      <w:r>
        <w:rPr>
          <w:rFonts w:hint="default" w:ascii="Times New Roman" w:hAnsi="Times New Roman" w:cs="Times New Roman"/>
          <w:b/>
          <w:bCs/>
          <w:sz w:val="16"/>
          <w:szCs w:val="16"/>
          <w:lang w:val="es-ES"/>
        </w:rPr>
        <w:t xml:space="preserve">5. </w:t>
      </w:r>
    </w:p>
    <w:p w14:paraId="59DCE18F">
      <w:pPr>
        <w:pStyle w:val="11"/>
        <w:spacing w:line="240" w:lineRule="auto"/>
        <w:rPr>
          <w:rFonts w:hint="default" w:ascii="Times New Roman" w:hAnsi="Times New Roman" w:cs="Times New Roman"/>
          <w:sz w:val="16"/>
          <w:szCs w:val="16"/>
          <w:lang w:val="es-ES"/>
        </w:rPr>
      </w:pPr>
      <w:r>
        <w:rPr>
          <w:rFonts w:hint="default" w:ascii="Times New Roman" w:hAnsi="Times New Roman" w:cs="Times New Roman"/>
          <w:sz w:val="16"/>
          <w:szCs w:val="16"/>
          <w:lang w:val="es-ES"/>
        </w:rPr>
        <w:t>Capacidades de negocio para la gestión de información turística en Sucre.</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14:paraId="6C73A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shd w:val="clear" w:color="auto" w:fill="DCE6F2" w:themeFill="accent1" w:themeFillTint="32"/>
            <w:vAlign w:val="top"/>
          </w:tcPr>
          <w:p w14:paraId="51746331">
            <w:pPr>
              <w:spacing w:before="80" w:after="80"/>
              <w:jc w:val="center"/>
              <w:rPr>
                <w:sz w:val="20"/>
                <w:szCs w:val="20"/>
                <w:vertAlign w:val="baseline"/>
              </w:rPr>
            </w:pPr>
            <w:r>
              <w:rPr>
                <w:rFonts w:eastAsia="Arial"/>
                <w:b/>
                <w:bCs/>
                <w:sz w:val="20"/>
                <w:szCs w:val="20"/>
              </w:rPr>
              <w:t>Capacidad</w:t>
            </w:r>
          </w:p>
        </w:tc>
        <w:tc>
          <w:tcPr>
            <w:tcW w:w="3192" w:type="dxa"/>
            <w:shd w:val="clear" w:color="auto" w:fill="DCE6F2" w:themeFill="accent1" w:themeFillTint="32"/>
            <w:vAlign w:val="top"/>
          </w:tcPr>
          <w:p w14:paraId="2887E0B1">
            <w:pPr>
              <w:spacing w:before="80" w:after="80"/>
              <w:jc w:val="center"/>
              <w:rPr>
                <w:sz w:val="20"/>
                <w:szCs w:val="20"/>
                <w:vertAlign w:val="baseline"/>
              </w:rPr>
            </w:pPr>
            <w:r>
              <w:rPr>
                <w:rFonts w:eastAsia="Arial"/>
                <w:b/>
                <w:bCs/>
                <w:sz w:val="20"/>
                <w:szCs w:val="20"/>
              </w:rPr>
              <w:t>Que implica</w:t>
            </w:r>
          </w:p>
        </w:tc>
        <w:tc>
          <w:tcPr>
            <w:tcW w:w="3192" w:type="dxa"/>
            <w:shd w:val="clear" w:color="auto" w:fill="DCE6F2" w:themeFill="accent1" w:themeFillTint="32"/>
            <w:vAlign w:val="top"/>
          </w:tcPr>
          <w:p w14:paraId="518E70AC">
            <w:pPr>
              <w:spacing w:before="80" w:after="80"/>
              <w:jc w:val="center"/>
              <w:rPr>
                <w:sz w:val="20"/>
                <w:szCs w:val="20"/>
                <w:vertAlign w:val="baseline"/>
              </w:rPr>
            </w:pPr>
            <w:r>
              <w:rPr>
                <w:rFonts w:hint="default" w:eastAsia="Arial"/>
                <w:b/>
                <w:bCs/>
                <w:sz w:val="20"/>
                <w:szCs w:val="20"/>
                <w:lang w:val="es-ES"/>
              </w:rPr>
              <w:t>¿</w:t>
            </w:r>
            <w:r>
              <w:rPr>
                <w:rFonts w:eastAsia="Arial"/>
                <w:b/>
                <w:bCs/>
                <w:sz w:val="20"/>
                <w:szCs w:val="20"/>
              </w:rPr>
              <w:t>Por qué es critica</w:t>
            </w:r>
            <w:r>
              <w:rPr>
                <w:rFonts w:hint="default" w:eastAsia="Arial"/>
                <w:b/>
                <w:bCs/>
                <w:sz w:val="20"/>
                <w:szCs w:val="20"/>
                <w:lang w:val="es-ES"/>
              </w:rPr>
              <w:t>?</w:t>
            </w:r>
          </w:p>
        </w:tc>
      </w:tr>
      <w:tr w14:paraId="1C565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top"/>
          </w:tcPr>
          <w:p w14:paraId="11F4A229">
            <w:pPr>
              <w:rPr>
                <w:sz w:val="20"/>
                <w:szCs w:val="20"/>
                <w:vertAlign w:val="baseline"/>
              </w:rPr>
            </w:pPr>
            <w:r>
              <w:rPr>
                <w:sz w:val="20"/>
                <w:szCs w:val="20"/>
              </w:rPr>
              <w:t>Gestión y curaduría de información turística de Sucre</w:t>
            </w:r>
          </w:p>
        </w:tc>
        <w:tc>
          <w:tcPr>
            <w:tcW w:w="3192" w:type="dxa"/>
            <w:vAlign w:val="top"/>
          </w:tcPr>
          <w:p w14:paraId="7B8CBE10">
            <w:pPr>
              <w:rPr>
                <w:sz w:val="20"/>
                <w:szCs w:val="20"/>
                <w:vertAlign w:val="baseline"/>
              </w:rPr>
            </w:pPr>
            <w:r>
              <w:rPr>
                <w:sz w:val="20"/>
                <w:szCs w:val="20"/>
              </w:rPr>
              <w:t>Capacidad de investigar, validar, estructurar y mantener actualizado el conocimiento sobre los atractivos, servicios y experiencias del departamento. Implica metodologías para levantamiento de datos, criterios editoriales y actualización continua.</w:t>
            </w:r>
          </w:p>
        </w:tc>
        <w:tc>
          <w:tcPr>
            <w:tcW w:w="3192" w:type="dxa"/>
            <w:vAlign w:val="top"/>
          </w:tcPr>
          <w:p w14:paraId="0143D1C0">
            <w:pPr>
              <w:jc w:val="center"/>
              <w:rPr>
                <w:sz w:val="20"/>
                <w:szCs w:val="20"/>
                <w:vertAlign w:val="baseline"/>
              </w:rPr>
            </w:pPr>
            <w:r>
              <w:rPr>
                <w:sz w:val="20"/>
                <w:szCs w:val="20"/>
              </w:rPr>
              <w:t>La diferenciación de Sincinaty frente a Google Maps o TripAdvisor reside en tener información profunda, localizada y curada sobre Sucre. Sin esta capacidad, la plataforma es genérica.</w:t>
            </w:r>
          </w:p>
        </w:tc>
      </w:tr>
      <w:tr w14:paraId="5E09B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top"/>
          </w:tcPr>
          <w:p w14:paraId="72B8C608">
            <w:pPr>
              <w:spacing w:before="80" w:after="80"/>
              <w:rPr>
                <w:sz w:val="20"/>
                <w:szCs w:val="20"/>
                <w:vertAlign w:val="baseline"/>
              </w:rPr>
            </w:pPr>
            <w:r>
              <w:rPr>
                <w:rFonts w:eastAsia="Arial"/>
                <w:sz w:val="20"/>
                <w:szCs w:val="20"/>
              </w:rPr>
              <w:t>Gestión de relaciones con prestadores de servicios</w:t>
            </w:r>
          </w:p>
        </w:tc>
        <w:tc>
          <w:tcPr>
            <w:tcW w:w="3192" w:type="dxa"/>
            <w:vAlign w:val="top"/>
          </w:tcPr>
          <w:p w14:paraId="14BBDF04">
            <w:pPr>
              <w:spacing w:before="80" w:after="80"/>
              <w:rPr>
                <w:sz w:val="20"/>
                <w:szCs w:val="20"/>
                <w:vertAlign w:val="baseline"/>
              </w:rPr>
            </w:pPr>
            <w:r>
              <w:rPr>
                <w:rFonts w:eastAsia="Arial"/>
                <w:sz w:val="20"/>
                <w:szCs w:val="20"/>
              </w:rPr>
              <w:t>Habilidad para identificar, atraer, registrar, capacitar y retener a prestadores de turismo local. Incluye gestión de contratos, control de calidad y soporte para que los proveedores maximicen su presencia en la plataforma.</w:t>
            </w:r>
          </w:p>
        </w:tc>
        <w:tc>
          <w:tcPr>
            <w:tcW w:w="3192" w:type="dxa"/>
            <w:vAlign w:val="top"/>
          </w:tcPr>
          <w:p w14:paraId="5E9499B9">
            <w:pPr>
              <w:rPr>
                <w:sz w:val="20"/>
                <w:szCs w:val="20"/>
                <w:vertAlign w:val="baseline"/>
              </w:rPr>
            </w:pPr>
            <w:r>
              <w:rPr>
                <w:rFonts w:eastAsia="Arial"/>
                <w:sz w:val="20"/>
                <w:szCs w:val="20"/>
              </w:rPr>
              <w:t>Sin prestadores de calidad, la oferta no tiene valor. Esta capacidad garantiza que la plataforma tenga contenido real, actualizado y confiable que el turista pueda reservar.</w:t>
            </w:r>
          </w:p>
        </w:tc>
      </w:tr>
      <w:tr w14:paraId="11AEC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top"/>
          </w:tcPr>
          <w:p w14:paraId="71DFEFC4">
            <w:pPr>
              <w:spacing w:before="80" w:after="80"/>
              <w:jc w:val="center"/>
              <w:rPr>
                <w:sz w:val="20"/>
                <w:szCs w:val="20"/>
                <w:vertAlign w:val="baseline"/>
              </w:rPr>
            </w:pPr>
            <w:r>
              <w:rPr>
                <w:rFonts w:eastAsia="Arial"/>
                <w:sz w:val="20"/>
                <w:szCs w:val="20"/>
              </w:rPr>
              <w:t>Personalización de la experiencia del usuario</w:t>
            </w:r>
          </w:p>
        </w:tc>
        <w:tc>
          <w:tcPr>
            <w:tcW w:w="3192" w:type="dxa"/>
            <w:vAlign w:val="top"/>
          </w:tcPr>
          <w:p w14:paraId="176B1E77">
            <w:pPr>
              <w:rPr>
                <w:sz w:val="20"/>
                <w:szCs w:val="20"/>
                <w:vertAlign w:val="baseline"/>
              </w:rPr>
            </w:pPr>
            <w:r>
              <w:rPr>
                <w:sz w:val="20"/>
                <w:szCs w:val="20"/>
              </w:rPr>
              <w:t>Capacidad de recopilar, interpretar y aplicar datos de comportamiento del usuario para presentarle recomendaciones relevantes y adaptadas a su perfil. Incluye diseño de perfiles de usuario, lógicas de recomendación y aprendizaje continuo.</w:t>
            </w:r>
          </w:p>
        </w:tc>
        <w:tc>
          <w:tcPr>
            <w:tcW w:w="3192" w:type="dxa"/>
            <w:vAlign w:val="top"/>
          </w:tcPr>
          <w:p w14:paraId="56F1B6B9">
            <w:pPr>
              <w:rPr>
                <w:sz w:val="20"/>
                <w:szCs w:val="20"/>
                <w:vertAlign w:val="baseline"/>
              </w:rPr>
            </w:pPr>
            <w:r>
              <w:rPr>
                <w:sz w:val="20"/>
                <w:szCs w:val="20"/>
              </w:rPr>
              <w:t>Es el núcleo de la propuesta de valor. Una plataforma que realmente entiende al turista y le ofrece lo que busca genera retención, conversión y diferenciación ante competidores genéricos.</w:t>
            </w:r>
          </w:p>
        </w:tc>
      </w:tr>
      <w:tr w14:paraId="2374C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top"/>
          </w:tcPr>
          <w:p w14:paraId="5C98F26A">
            <w:pPr>
              <w:rPr>
                <w:sz w:val="20"/>
                <w:szCs w:val="20"/>
                <w:vertAlign w:val="baseline"/>
              </w:rPr>
            </w:pPr>
            <w:r>
              <w:rPr>
                <w:sz w:val="20"/>
                <w:szCs w:val="20"/>
              </w:rPr>
              <w:t>Gestión de transacciones y pagos</w:t>
            </w:r>
          </w:p>
        </w:tc>
        <w:tc>
          <w:tcPr>
            <w:tcW w:w="3192" w:type="dxa"/>
            <w:vAlign w:val="top"/>
          </w:tcPr>
          <w:p w14:paraId="1727A0D9">
            <w:pPr>
              <w:rPr>
                <w:rFonts w:eastAsia="Arial"/>
                <w:sz w:val="20"/>
                <w:szCs w:val="20"/>
              </w:rPr>
            </w:pPr>
            <w:r>
              <w:rPr>
                <w:sz w:val="20"/>
                <w:szCs w:val="20"/>
              </w:rPr>
              <w:t>Capacidad de procesar reservas, pagos digitales, liquidaciones a prestadores y gestión de disputas con transparencia y seguridad. Incluye integración con pasarelas de pago, políticas comerciales y cumplimiento regulatorio.</w:t>
            </w:r>
          </w:p>
          <w:p w14:paraId="40F6FFC8">
            <w:pPr>
              <w:spacing w:before="80" w:after="80"/>
              <w:rPr>
                <w:sz w:val="20"/>
                <w:szCs w:val="20"/>
                <w:vertAlign w:val="baseline"/>
              </w:rPr>
            </w:pPr>
          </w:p>
        </w:tc>
        <w:tc>
          <w:tcPr>
            <w:tcW w:w="3192" w:type="dxa"/>
            <w:vAlign w:val="top"/>
          </w:tcPr>
          <w:p w14:paraId="7719AD80">
            <w:pPr>
              <w:rPr>
                <w:rFonts w:eastAsia="Arial"/>
                <w:sz w:val="20"/>
                <w:szCs w:val="20"/>
              </w:rPr>
            </w:pPr>
            <w:r>
              <w:rPr>
                <w:sz w:val="20"/>
                <w:szCs w:val="20"/>
              </w:rPr>
              <w:t>La confianza del turista para reservar depende de un proceso de pago seguro y claro. Sin esta capacidad el modelo de ingresos no escala.</w:t>
            </w:r>
          </w:p>
          <w:p w14:paraId="77E3055F">
            <w:pPr>
              <w:spacing w:before="80" w:after="80"/>
              <w:rPr>
                <w:sz w:val="20"/>
                <w:szCs w:val="20"/>
                <w:vertAlign w:val="baseline"/>
              </w:rPr>
            </w:pPr>
          </w:p>
        </w:tc>
      </w:tr>
      <w:tr w14:paraId="24382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top"/>
          </w:tcPr>
          <w:p w14:paraId="08A4406F">
            <w:pPr>
              <w:jc w:val="center"/>
              <w:rPr>
                <w:rFonts w:eastAsia="Arial"/>
                <w:sz w:val="20"/>
                <w:szCs w:val="20"/>
              </w:rPr>
            </w:pPr>
            <w:r>
              <w:rPr>
                <w:sz w:val="20"/>
                <w:szCs w:val="20"/>
              </w:rPr>
              <w:t>Construcción y gestión de la reputación del ecosistema</w:t>
            </w:r>
          </w:p>
          <w:p w14:paraId="436EC3D8">
            <w:pPr>
              <w:spacing w:before="80" w:after="80"/>
              <w:jc w:val="center"/>
              <w:rPr>
                <w:sz w:val="20"/>
                <w:szCs w:val="20"/>
                <w:vertAlign w:val="baseline"/>
              </w:rPr>
            </w:pPr>
          </w:p>
        </w:tc>
        <w:tc>
          <w:tcPr>
            <w:tcW w:w="3192" w:type="dxa"/>
            <w:vAlign w:val="top"/>
          </w:tcPr>
          <w:p w14:paraId="08C149E4">
            <w:pPr>
              <w:rPr>
                <w:rFonts w:eastAsia="Arial"/>
                <w:sz w:val="20"/>
                <w:szCs w:val="20"/>
              </w:rPr>
            </w:pPr>
            <w:r>
              <w:rPr>
                <w:sz w:val="20"/>
                <w:szCs w:val="20"/>
              </w:rPr>
              <w:t>Capacidad de moderar reseñas, detectar contenido fraudulento, analizar indicadores de satisfacción y retroalimentar a los prestadores. Implica políticas de comunidad, herramientas de moderación y ciclos de mejora continua.</w:t>
            </w:r>
          </w:p>
          <w:p w14:paraId="342B0D27">
            <w:pPr>
              <w:spacing w:before="80" w:after="80"/>
              <w:rPr>
                <w:sz w:val="20"/>
                <w:szCs w:val="20"/>
                <w:vertAlign w:val="baseline"/>
              </w:rPr>
            </w:pPr>
          </w:p>
        </w:tc>
        <w:tc>
          <w:tcPr>
            <w:tcW w:w="3192" w:type="dxa"/>
            <w:vAlign w:val="top"/>
          </w:tcPr>
          <w:p w14:paraId="67C23EC3">
            <w:pPr>
              <w:rPr>
                <w:rFonts w:eastAsia="Arial"/>
                <w:sz w:val="20"/>
                <w:szCs w:val="20"/>
              </w:rPr>
            </w:pPr>
            <w:r>
              <w:rPr>
                <w:sz w:val="20"/>
                <w:szCs w:val="20"/>
              </w:rPr>
              <w:t>La confianza del usuario es el activo más valioso de la plataforma. En un mercado turístico local, la reputación digital puede impulsar o hundir la adopción masiva.</w:t>
            </w:r>
          </w:p>
          <w:p w14:paraId="3B109409">
            <w:pPr>
              <w:spacing w:before="80" w:after="80"/>
              <w:rPr>
                <w:sz w:val="20"/>
                <w:szCs w:val="20"/>
                <w:vertAlign w:val="baseline"/>
              </w:rPr>
            </w:pPr>
          </w:p>
        </w:tc>
      </w:tr>
      <w:tr w14:paraId="12C3A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top"/>
          </w:tcPr>
          <w:p w14:paraId="0A8CB2A1">
            <w:pPr>
              <w:jc w:val="center"/>
              <w:rPr>
                <w:sz w:val="20"/>
                <w:szCs w:val="20"/>
                <w:vertAlign w:val="baseline"/>
              </w:rPr>
            </w:pPr>
            <w:r>
              <w:rPr>
                <w:sz w:val="20"/>
                <w:szCs w:val="20"/>
              </w:rPr>
              <w:t>Gestión de alianzas estratégicas e institucionales</w:t>
            </w:r>
          </w:p>
        </w:tc>
        <w:tc>
          <w:tcPr>
            <w:tcW w:w="3192" w:type="dxa"/>
            <w:vAlign w:val="top"/>
          </w:tcPr>
          <w:p w14:paraId="587F4D2A">
            <w:pPr>
              <w:rPr>
                <w:rFonts w:eastAsia="Arial"/>
                <w:sz w:val="20"/>
                <w:szCs w:val="20"/>
              </w:rPr>
            </w:pPr>
            <w:r>
              <w:rPr>
                <w:sz w:val="20"/>
                <w:szCs w:val="20"/>
              </w:rPr>
              <w:t>Habilidad para identificar, negociar y mantener acuerdos con entidades públicas (Gobernación, alcaldías), gremios (Procantur, Cámara de Comercio) y aliados privados que potencien la plataforma.</w:t>
            </w:r>
          </w:p>
          <w:p w14:paraId="718761FD">
            <w:pPr>
              <w:ind w:firstLine="708" w:firstLineChars="0"/>
              <w:rPr>
                <w:sz w:val="20"/>
                <w:szCs w:val="20"/>
                <w:vertAlign w:val="baseline"/>
              </w:rPr>
            </w:pPr>
          </w:p>
        </w:tc>
        <w:tc>
          <w:tcPr>
            <w:tcW w:w="3192" w:type="dxa"/>
            <w:vAlign w:val="top"/>
          </w:tcPr>
          <w:p w14:paraId="2CAA87A7">
            <w:pPr>
              <w:rPr>
                <w:rFonts w:eastAsia="Arial"/>
                <w:sz w:val="20"/>
                <w:szCs w:val="20"/>
              </w:rPr>
            </w:pPr>
            <w:r>
              <w:rPr>
                <w:sz w:val="20"/>
                <w:szCs w:val="20"/>
              </w:rPr>
              <w:t>El turismo en Sucre tiene una fuerte dimensión institucional. Las alianzas dan legitimidad, acceso a infraestructura pública y visibilidad que una startup no puede lograr solo con tecnología.</w:t>
            </w:r>
          </w:p>
          <w:p w14:paraId="68C4A8B2">
            <w:pPr>
              <w:rPr>
                <w:sz w:val="20"/>
                <w:szCs w:val="20"/>
                <w:vertAlign w:val="baseline"/>
              </w:rPr>
            </w:pPr>
          </w:p>
        </w:tc>
      </w:tr>
    </w:tbl>
    <w:p w14:paraId="63BFBC34">
      <w:pPr>
        <w:spacing w:line="240" w:lineRule="auto"/>
        <w:rPr>
          <w:rFonts w:hint="default"/>
          <w:sz w:val="16"/>
          <w:szCs w:val="16"/>
          <w:lang w:val="es-ES"/>
        </w:rPr>
      </w:pPr>
      <w:r>
        <w:rPr>
          <w:rFonts w:hint="default"/>
          <w:b/>
          <w:bCs/>
          <w:sz w:val="16"/>
          <w:szCs w:val="16"/>
          <w:lang w:val="es-ES"/>
        </w:rPr>
        <w:t>Nota.</w:t>
      </w:r>
      <w:r>
        <w:rPr>
          <w:rFonts w:hint="default"/>
          <w:sz w:val="16"/>
          <w:szCs w:val="16"/>
          <w:lang w:val="es-ES"/>
        </w:rPr>
        <w:t xml:space="preserve"> La tabla describe las habilidades organizacionales esenciales de Sincinaty, enfocándose en la diferenciación competitiva mediante la gestión de información detallada y actualizada de la región.</w:t>
      </w:r>
    </w:p>
    <w:p w14:paraId="4A438ADE">
      <w:pPr>
        <w:bidi w:val="0"/>
        <w:ind w:firstLine="708" w:firstLineChars="0"/>
        <w:rPr>
          <w:rFonts w:hint="default"/>
          <w:sz w:val="16"/>
          <w:szCs w:val="16"/>
          <w:lang w:val="es-ES"/>
        </w:rPr>
      </w:pPr>
      <w:r>
        <w:t>Desde la perspectiva de la escalabilidad, las capacidades del nivel 1 son las que más tiempo requieren para construirse, pero también las que crean la barrera de entrada más alta para competidores externos. Una plataforma global puede replicar la tecnología de personalización o integrar una pasarela de pagos en semanas; no puede, en cambio, replicar años de relaciones con prestadores locales ni el conocimiento contextual acumulado sobre el turismo en Sucre (Porter, 2008; BOC Group, 2023).</w:t>
      </w:r>
    </w:p>
    <w:p w14:paraId="61B5C62D">
      <w:pPr>
        <w:pStyle w:val="2"/>
        <w:numPr>
          <w:ilvl w:val="0"/>
          <w:numId w:val="1"/>
        </w:numPr>
        <w:bidi w:val="0"/>
      </w:pPr>
      <w:bookmarkStart w:id="32" w:name="_Toc22898"/>
      <w:bookmarkStart w:id="33" w:name="_Toc19467"/>
      <w:bookmarkStart w:id="34" w:name="_Toc25679"/>
      <w:r>
        <w:t>Alineación con la Estrategia de Negocio</w:t>
      </w:r>
      <w:bookmarkEnd w:id="32"/>
      <w:bookmarkEnd w:id="33"/>
      <w:bookmarkEnd w:id="34"/>
    </w:p>
    <w:p w14:paraId="4E8C9569">
      <w:pPr>
        <w:ind w:firstLine="708" w:firstLineChars="0"/>
        <w:rPr>
          <w:rFonts w:cs="Times New Roman"/>
          <w:szCs w:val="24"/>
        </w:rPr>
      </w:pPr>
      <w:r>
        <w:rPr>
          <w:rFonts w:cs="Times New Roman"/>
          <w:szCs w:val="24"/>
        </w:rPr>
        <w:t>La estrategia de Sincinaty se fundamenta en una ventaja competitiva clara: ser la plataforma turística que mejor conoce y articula la oferta específica del departamento de Sucre, combinando inteligencia de datos para personalizar experiencias, un ecosistema de prestadores verificados y un sistema de reputación comunitaria que genera confianza. Esta sección explica cómo el modelo operativo, los actores, los procesos y las capacidades soportan dicha estrategia.</w:t>
      </w:r>
    </w:p>
    <w:p w14:paraId="024CCD9E">
      <w:pPr>
        <w:pStyle w:val="3"/>
        <w:numPr>
          <w:ilvl w:val="1"/>
          <w:numId w:val="1"/>
        </w:numPr>
        <w:bidi w:val="0"/>
        <w:ind w:left="850" w:leftChars="0" w:hanging="453" w:firstLineChars="0"/>
      </w:pPr>
      <w:bookmarkStart w:id="35" w:name="_Toc4830"/>
      <w:bookmarkStart w:id="36" w:name="_Toc15847"/>
      <w:bookmarkStart w:id="37" w:name="_Toc4458"/>
      <w:r>
        <w:t>El modelo operativo como motor de la propuesta de valor</w:t>
      </w:r>
      <w:bookmarkEnd w:id="35"/>
      <w:bookmarkEnd w:id="36"/>
      <w:bookmarkEnd w:id="37"/>
    </w:p>
    <w:p w14:paraId="5778CC29">
      <w:pPr>
        <w:ind w:firstLine="708" w:firstLineChars="0"/>
        <w:rPr>
          <w:rFonts w:cs="Times New Roman"/>
          <w:szCs w:val="24"/>
        </w:rPr>
      </w:pPr>
      <w:r>
        <w:rPr>
          <w:rFonts w:cs="Times New Roman"/>
          <w:szCs w:val="24"/>
        </w:rPr>
        <w:t>El flujo operativo de Sincinaty —captación, interacción, transacción, entrega de valor— no es simplemente un recorrido de usuario: es el mecanismo por el cual la empresa cumple su promesa de convertir la oferta turística fragmentada de Sucre en experiencias integradas y personalizadas. Cada fase está diseñada para reducir la fricción que hoy enfrenta el turista: dificultad para encontrar información confiable, imposibilidad de reservar desde un solo lugar y desconocimiento de la oferta local auténtica.</w:t>
      </w:r>
    </w:p>
    <w:p w14:paraId="503D2FB7">
      <w:pPr>
        <w:rPr>
          <w:rFonts w:cs="Times New Roman"/>
          <w:szCs w:val="24"/>
        </w:rPr>
      </w:pPr>
      <w:r>
        <w:rPr>
          <w:rFonts w:cs="Times New Roman"/>
          <w:szCs w:val="24"/>
        </w:rPr>
        <w:t>Esto diferencia a Sincinaty de plataformas genéricas como TripAdvisor o Google Maps, que no tienen un foco territorial profundo ni una relación directa con los prestadores locales de Sucre.</w:t>
      </w:r>
    </w:p>
    <w:p w14:paraId="565C62C2">
      <w:pPr>
        <w:pStyle w:val="3"/>
        <w:numPr>
          <w:ilvl w:val="1"/>
          <w:numId w:val="1"/>
        </w:numPr>
        <w:bidi w:val="0"/>
        <w:ind w:left="850" w:leftChars="0" w:hanging="453" w:firstLineChars="0"/>
      </w:pPr>
      <w:bookmarkStart w:id="38" w:name="_Toc6217"/>
      <w:bookmarkStart w:id="39" w:name="_Toc1266"/>
      <w:bookmarkStart w:id="40" w:name="_Toc8931"/>
      <w:r>
        <w:t>Los actores como red de valor</w:t>
      </w:r>
      <w:bookmarkEnd w:id="38"/>
      <w:bookmarkEnd w:id="39"/>
      <w:bookmarkEnd w:id="40"/>
    </w:p>
    <w:p w14:paraId="3145A02B">
      <w:pPr>
        <w:ind w:firstLine="708" w:firstLineChars="0"/>
        <w:rPr>
          <w:rFonts w:cs="Times New Roman"/>
          <w:szCs w:val="24"/>
        </w:rPr>
      </w:pPr>
      <w:r>
        <w:rPr>
          <w:rFonts w:cs="Times New Roman"/>
          <w:szCs w:val="24"/>
        </w:rPr>
        <w:t>La arquitectura de actores de Sincinaty crea un ecosistema en el que todos ganan: el turista obtiene experiencias mejor organizadas, el prestador local amplía su mercado y mejora su visibilidad, las instituciones públicas ven potenciada la economía turística del departamento y la empresa genera ingresos sostenibles. Esta red de valor es difícil de replicar por competidores externos porque requiere relaciones locales sólidas construidas en el tiempo.</w:t>
      </w:r>
    </w:p>
    <w:p w14:paraId="571E567B">
      <w:pPr>
        <w:pStyle w:val="3"/>
        <w:numPr>
          <w:ilvl w:val="1"/>
          <w:numId w:val="1"/>
        </w:numPr>
        <w:bidi w:val="0"/>
        <w:ind w:left="850" w:leftChars="0" w:hanging="453" w:firstLineChars="0"/>
      </w:pPr>
      <w:bookmarkStart w:id="41" w:name="_Toc27080"/>
      <w:bookmarkStart w:id="42" w:name="_Toc3910"/>
      <w:bookmarkStart w:id="43" w:name="_Toc21838"/>
      <w:r>
        <w:t>Los procesos como garantía de calidad y escala</w:t>
      </w:r>
      <w:bookmarkEnd w:id="41"/>
      <w:bookmarkEnd w:id="42"/>
      <w:bookmarkEnd w:id="43"/>
    </w:p>
    <w:p w14:paraId="41E883C0">
      <w:pPr>
        <w:ind w:firstLine="708" w:firstLineChars="0"/>
        <w:rPr>
          <w:rFonts w:cs="Times New Roman"/>
          <w:szCs w:val="24"/>
        </w:rPr>
      </w:pPr>
      <w:r>
        <w:rPr>
          <w:rFonts w:cs="Times New Roman"/>
          <w:szCs w:val="24"/>
        </w:rPr>
        <w:t>Los seis procesos identificados —gestión de prestadores, gestión de contenido, reservas, reseñas, atención al usuario y gestión de alianzas— operan como engranajes interdependientes. Ningún proceso es accesorio: la calidad del contenido depende de la gestión de prestadores; la confianza del turista depende del sistema de reseñas; el crecimiento depende de las alianzas institucionales. Juntos, estos procesos permiten que la empresa escale sin perder calidad.</w:t>
      </w:r>
    </w:p>
    <w:p w14:paraId="10133924">
      <w:pPr>
        <w:pStyle w:val="3"/>
        <w:numPr>
          <w:ilvl w:val="1"/>
          <w:numId w:val="1"/>
        </w:numPr>
        <w:bidi w:val="0"/>
        <w:ind w:left="850" w:leftChars="0" w:hanging="453" w:firstLineChars="0"/>
      </w:pPr>
      <w:bookmarkStart w:id="44" w:name="_Toc20339"/>
      <w:bookmarkStart w:id="45" w:name="_Toc748"/>
      <w:bookmarkStart w:id="46" w:name="_Toc309"/>
      <w:r>
        <w:t>Las capacidades como base de diferenciación sostenible</w:t>
      </w:r>
      <w:bookmarkEnd w:id="44"/>
      <w:bookmarkEnd w:id="45"/>
      <w:bookmarkEnd w:id="46"/>
    </w:p>
    <w:p w14:paraId="4C83CC21">
      <w:pPr>
        <w:ind w:firstLine="708" w:firstLineChars="0"/>
        <w:rPr>
          <w:rFonts w:cs="Times New Roman"/>
          <w:szCs w:val="24"/>
        </w:rPr>
      </w:pPr>
      <w:r>
        <w:rPr>
          <w:rFonts w:cs="Times New Roman"/>
          <w:szCs w:val="24"/>
        </w:rPr>
        <w:t>Las seis capacidades de negocio definidas —curaduría de información local, gestión de prestadores, personalización, transacciones, reputación y alianzas— son la infraestructura organizacional que hace posible que la estrategia se ejecute en el largo plazo. En particular, la capacidad de gestión y curaduría de información turística de Sucre es el activo más difícil de imitar por un competidor externo: requiere años de conocimiento territorial, relaciones locales y contexto cultural que una plataforma global no puede desarrollar rápidamente.</w:t>
      </w:r>
    </w:p>
    <w:p w14:paraId="691C5D4D">
      <w:pPr>
        <w:rPr>
          <w:b/>
          <w:bCs/>
        </w:rPr>
      </w:pPr>
      <w:r>
        <w:rPr>
          <w:rFonts w:cs="Times New Roman"/>
          <w:szCs w:val="24"/>
        </w:rPr>
        <w:t>En síntesis, la arquitectura de negocio de Sincinaty no es solo un mapa de cómo funciona la empresa: es la traducción operacional de una estrategia que apuesta por la profundidad local, la confianza del usuario y la articulación de un ecosistema de valor en el que todos los actores se benefician del crecimiento del turismo en el departamento de Sucre.</w:t>
      </w:r>
      <w:bookmarkStart w:id="47" w:name="_Toc48655942"/>
      <w:bookmarkStart w:id="48" w:name="_Toc8575"/>
      <w:bookmarkStart w:id="49" w:name="_Toc6498"/>
      <w:bookmarkStart w:id="50" w:name="_Toc5870"/>
    </w:p>
    <w:p w14:paraId="506B4E8E">
      <w:pPr>
        <w:pStyle w:val="11"/>
        <w:spacing w:line="240" w:lineRule="auto"/>
        <w:rPr>
          <w:rFonts w:hint="default" w:ascii="Times New Roman" w:hAnsi="Times New Roman" w:cs="Times New Roman"/>
          <w:sz w:val="16"/>
          <w:szCs w:val="16"/>
          <w:lang w:val="es-ES"/>
        </w:rPr>
      </w:pPr>
      <w:r>
        <w:rPr>
          <w:rFonts w:hint="default" w:ascii="Times New Roman" w:hAnsi="Times New Roman" w:cs="Times New Roman"/>
          <w:b/>
          <w:bCs/>
          <w:sz w:val="16"/>
          <w:szCs w:val="16"/>
        </w:rPr>
        <w:t xml:space="preserve">Tabla </w:t>
      </w:r>
      <w:r>
        <w:rPr>
          <w:rFonts w:hint="default" w:ascii="Times New Roman" w:hAnsi="Times New Roman" w:cs="Times New Roman"/>
          <w:b/>
          <w:bCs/>
          <w:sz w:val="16"/>
          <w:szCs w:val="16"/>
          <w:lang w:val="es-ES"/>
        </w:rPr>
        <w:t>6.</w:t>
      </w:r>
      <w:r>
        <w:rPr>
          <w:rFonts w:hint="default" w:ascii="Times New Roman" w:hAnsi="Times New Roman" w:cs="Times New Roman"/>
          <w:sz w:val="16"/>
          <w:szCs w:val="16"/>
          <w:lang w:val="es-ES"/>
        </w:rPr>
        <w:t xml:space="preserve"> </w:t>
      </w:r>
    </w:p>
    <w:p w14:paraId="5A2E23B9">
      <w:pPr>
        <w:pStyle w:val="11"/>
        <w:spacing w:line="240" w:lineRule="auto"/>
        <w:rPr>
          <w:rFonts w:hint="default" w:ascii="Times New Roman" w:hAnsi="Times New Roman" w:cs="Times New Roman"/>
          <w:sz w:val="16"/>
          <w:szCs w:val="16"/>
          <w:lang w:val="es-ES"/>
        </w:rPr>
      </w:pPr>
      <w:r>
        <w:rPr>
          <w:rFonts w:hint="default" w:ascii="Times New Roman" w:hAnsi="Times New Roman" w:cs="Times New Roman"/>
          <w:sz w:val="16"/>
          <w:szCs w:val="16"/>
          <w:lang w:val="es-ES"/>
        </w:rPr>
        <w:t>Alineación de los elementos de arquitectura con la estrategia de negocio.</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14:paraId="43F67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shd w:val="clear" w:color="auto" w:fill="DCE6F2" w:themeFill="accent1" w:themeFillTint="32"/>
            <w:vAlign w:val="top"/>
          </w:tcPr>
          <w:p w14:paraId="0AD08F64">
            <w:pPr>
              <w:jc w:val="center"/>
              <w:rPr>
                <w:sz w:val="20"/>
                <w:szCs w:val="20"/>
                <w:vertAlign w:val="baseline"/>
                <w:lang w:val="es-ES"/>
              </w:rPr>
            </w:pPr>
            <w:r>
              <w:rPr>
                <w:rFonts w:cs="Times New Roman"/>
                <w:b/>
                <w:bCs/>
                <w:sz w:val="20"/>
                <w:szCs w:val="20"/>
                <w:lang w:val="es-ES"/>
              </w:rPr>
              <w:t>Elemento de arquitectura</w:t>
            </w:r>
          </w:p>
        </w:tc>
        <w:tc>
          <w:tcPr>
            <w:tcW w:w="3192" w:type="dxa"/>
            <w:shd w:val="clear" w:color="auto" w:fill="DCE6F2" w:themeFill="accent1" w:themeFillTint="32"/>
            <w:vAlign w:val="top"/>
          </w:tcPr>
          <w:p w14:paraId="53819598">
            <w:pPr>
              <w:jc w:val="center"/>
              <w:rPr>
                <w:sz w:val="20"/>
                <w:szCs w:val="20"/>
                <w:vertAlign w:val="baseline"/>
                <w:lang w:val="es-ES"/>
              </w:rPr>
            </w:pPr>
            <w:r>
              <w:rPr>
                <w:rFonts w:cs="Times New Roman"/>
                <w:b/>
                <w:bCs/>
                <w:sz w:val="20"/>
                <w:szCs w:val="20"/>
                <w:lang w:val="es-ES"/>
              </w:rPr>
              <w:t>Como soporta la estrategia</w:t>
            </w:r>
          </w:p>
        </w:tc>
        <w:tc>
          <w:tcPr>
            <w:tcW w:w="3192" w:type="dxa"/>
            <w:shd w:val="clear" w:color="auto" w:fill="DCE6F2" w:themeFill="accent1" w:themeFillTint="32"/>
            <w:vAlign w:val="top"/>
          </w:tcPr>
          <w:p w14:paraId="71AC585A">
            <w:pPr>
              <w:jc w:val="center"/>
              <w:rPr>
                <w:sz w:val="20"/>
                <w:szCs w:val="20"/>
                <w:vertAlign w:val="baseline"/>
                <w:lang w:val="es-ES"/>
              </w:rPr>
            </w:pPr>
            <w:r>
              <w:rPr>
                <w:rFonts w:cs="Times New Roman"/>
                <w:b/>
                <w:bCs/>
                <w:sz w:val="20"/>
                <w:szCs w:val="20"/>
                <w:lang w:val="es-ES"/>
              </w:rPr>
              <w:t>Objetivo estratégico que cumple</w:t>
            </w:r>
          </w:p>
        </w:tc>
      </w:tr>
      <w:tr w14:paraId="560E8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top"/>
          </w:tcPr>
          <w:p w14:paraId="2C075F82">
            <w:pPr>
              <w:rPr>
                <w:sz w:val="20"/>
                <w:szCs w:val="20"/>
                <w:vertAlign w:val="baseline"/>
                <w:lang w:val="es-ES"/>
              </w:rPr>
            </w:pPr>
            <w:r>
              <w:rPr>
                <w:sz w:val="20"/>
                <w:szCs w:val="20"/>
              </w:rPr>
              <w:t>Modelo operativo (4 fases)</w:t>
            </w:r>
          </w:p>
        </w:tc>
        <w:tc>
          <w:tcPr>
            <w:tcW w:w="3192" w:type="dxa"/>
            <w:vAlign w:val="top"/>
          </w:tcPr>
          <w:p w14:paraId="6B79110A">
            <w:pPr>
              <w:rPr>
                <w:sz w:val="20"/>
                <w:szCs w:val="20"/>
                <w:vertAlign w:val="baseline"/>
                <w:lang w:val="es-ES"/>
              </w:rPr>
            </w:pPr>
            <w:r>
              <w:rPr>
                <w:sz w:val="20"/>
                <w:szCs w:val="20"/>
              </w:rPr>
              <w:t>Convierte la oferta fragmentada de Sucre en experiencias completas e integradas.</w:t>
            </w:r>
          </w:p>
        </w:tc>
        <w:tc>
          <w:tcPr>
            <w:tcW w:w="3192" w:type="dxa"/>
            <w:vAlign w:val="top"/>
          </w:tcPr>
          <w:p w14:paraId="05F2C6F4">
            <w:pPr>
              <w:rPr>
                <w:sz w:val="20"/>
                <w:szCs w:val="20"/>
                <w:vertAlign w:val="baseline"/>
                <w:lang w:val="es-ES"/>
              </w:rPr>
            </w:pPr>
            <w:r>
              <w:rPr>
                <w:sz w:val="20"/>
                <w:szCs w:val="20"/>
              </w:rPr>
              <w:t>Propuesta de valor diferenciada frente a plataformas genéricas.</w:t>
            </w:r>
          </w:p>
        </w:tc>
      </w:tr>
      <w:tr w14:paraId="12130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top"/>
          </w:tcPr>
          <w:p w14:paraId="60CB708C">
            <w:pPr>
              <w:rPr>
                <w:sz w:val="20"/>
                <w:szCs w:val="20"/>
                <w:vertAlign w:val="baseline"/>
                <w:lang w:val="es-ES"/>
              </w:rPr>
            </w:pPr>
            <w:r>
              <w:rPr>
                <w:sz w:val="20"/>
                <w:szCs w:val="20"/>
              </w:rPr>
              <w:t>Red de actores (7 roles)</w:t>
            </w:r>
          </w:p>
        </w:tc>
        <w:tc>
          <w:tcPr>
            <w:tcW w:w="3192" w:type="dxa"/>
            <w:vAlign w:val="top"/>
          </w:tcPr>
          <w:p w14:paraId="78B67692">
            <w:pPr>
              <w:rPr>
                <w:sz w:val="20"/>
                <w:szCs w:val="20"/>
                <w:vertAlign w:val="baseline"/>
                <w:lang w:val="es-ES"/>
              </w:rPr>
            </w:pPr>
            <w:r>
              <w:rPr>
                <w:sz w:val="20"/>
                <w:szCs w:val="20"/>
              </w:rPr>
              <w:t>Construye un ecosistema local difícil de replicar por competidores externos.</w:t>
            </w:r>
          </w:p>
        </w:tc>
        <w:tc>
          <w:tcPr>
            <w:tcW w:w="3192" w:type="dxa"/>
            <w:vAlign w:val="top"/>
          </w:tcPr>
          <w:p w14:paraId="409C911C">
            <w:pPr>
              <w:rPr>
                <w:sz w:val="20"/>
                <w:szCs w:val="20"/>
                <w:vertAlign w:val="baseline"/>
                <w:lang w:val="es-ES"/>
              </w:rPr>
            </w:pPr>
            <w:r>
              <w:rPr>
                <w:sz w:val="20"/>
                <w:szCs w:val="20"/>
              </w:rPr>
              <w:t>Barrera de entrada y ventaja competitiva territorial.</w:t>
            </w:r>
          </w:p>
        </w:tc>
      </w:tr>
      <w:tr w14:paraId="16CA6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top"/>
          </w:tcPr>
          <w:p w14:paraId="5BB5DE04">
            <w:pPr>
              <w:rPr>
                <w:sz w:val="20"/>
                <w:szCs w:val="20"/>
                <w:vertAlign w:val="baseline"/>
                <w:lang w:val="es-ES"/>
              </w:rPr>
            </w:pPr>
            <w:r>
              <w:rPr>
                <w:sz w:val="20"/>
                <w:szCs w:val="20"/>
              </w:rPr>
              <w:t>Procesos de gestión de contenido y prestadores</w:t>
            </w:r>
          </w:p>
        </w:tc>
        <w:tc>
          <w:tcPr>
            <w:tcW w:w="3192" w:type="dxa"/>
            <w:vAlign w:val="top"/>
          </w:tcPr>
          <w:p w14:paraId="55310E9A">
            <w:pPr>
              <w:rPr>
                <w:sz w:val="20"/>
                <w:szCs w:val="20"/>
                <w:vertAlign w:val="baseline"/>
                <w:lang w:val="es-ES"/>
              </w:rPr>
            </w:pPr>
            <w:r>
              <w:rPr>
                <w:sz w:val="20"/>
                <w:szCs w:val="20"/>
              </w:rPr>
              <w:t>Garantiza la calidad y actualización continua de la oferta publicada.</w:t>
            </w:r>
          </w:p>
        </w:tc>
        <w:tc>
          <w:tcPr>
            <w:tcW w:w="3192" w:type="dxa"/>
            <w:vAlign w:val="top"/>
          </w:tcPr>
          <w:p w14:paraId="08F13003">
            <w:pPr>
              <w:rPr>
                <w:rFonts w:eastAsia="Arial"/>
                <w:sz w:val="20"/>
                <w:szCs w:val="20"/>
              </w:rPr>
            </w:pPr>
            <w:r>
              <w:rPr>
                <w:sz w:val="20"/>
                <w:szCs w:val="20"/>
              </w:rPr>
              <w:t>Confianza y retención de usuarios.</w:t>
            </w:r>
          </w:p>
          <w:p w14:paraId="16062FEA">
            <w:pPr>
              <w:rPr>
                <w:sz w:val="20"/>
                <w:szCs w:val="20"/>
                <w:vertAlign w:val="baseline"/>
                <w:lang w:val="es-ES"/>
              </w:rPr>
            </w:pPr>
          </w:p>
        </w:tc>
      </w:tr>
      <w:tr w14:paraId="7390E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top"/>
          </w:tcPr>
          <w:p w14:paraId="17707520">
            <w:pPr>
              <w:rPr>
                <w:sz w:val="20"/>
                <w:szCs w:val="20"/>
                <w:vertAlign w:val="baseline"/>
                <w:lang w:val="es-ES"/>
              </w:rPr>
            </w:pPr>
            <w:r>
              <w:rPr>
                <w:sz w:val="20"/>
                <w:szCs w:val="20"/>
              </w:rPr>
              <w:t>Proceso de reservas y transacciones</w:t>
            </w:r>
          </w:p>
        </w:tc>
        <w:tc>
          <w:tcPr>
            <w:tcW w:w="3192" w:type="dxa"/>
            <w:vAlign w:val="top"/>
          </w:tcPr>
          <w:p w14:paraId="3EA57074">
            <w:pPr>
              <w:rPr>
                <w:sz w:val="20"/>
                <w:szCs w:val="20"/>
                <w:vertAlign w:val="baseline"/>
                <w:lang w:val="es-ES"/>
              </w:rPr>
            </w:pPr>
            <w:r>
              <w:rPr>
                <w:sz w:val="20"/>
                <w:szCs w:val="20"/>
              </w:rPr>
              <w:t>Monetiza la plataforma de forma sostenible y transparente.</w:t>
            </w:r>
          </w:p>
        </w:tc>
        <w:tc>
          <w:tcPr>
            <w:tcW w:w="3192" w:type="dxa"/>
            <w:vAlign w:val="top"/>
          </w:tcPr>
          <w:p w14:paraId="2A8561CA">
            <w:pPr>
              <w:jc w:val="center"/>
              <w:rPr>
                <w:sz w:val="20"/>
                <w:szCs w:val="20"/>
                <w:vertAlign w:val="baseline"/>
                <w:lang w:val="es-ES"/>
              </w:rPr>
            </w:pPr>
            <w:r>
              <w:rPr>
                <w:sz w:val="20"/>
                <w:szCs w:val="20"/>
              </w:rPr>
              <w:t>Sostenibilidad financiera del modelo de negocio.</w:t>
            </w:r>
          </w:p>
        </w:tc>
      </w:tr>
      <w:tr w14:paraId="08D25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top"/>
          </w:tcPr>
          <w:p w14:paraId="6C754D23">
            <w:pPr>
              <w:rPr>
                <w:sz w:val="20"/>
                <w:szCs w:val="20"/>
                <w:vertAlign w:val="baseline"/>
                <w:lang w:val="es-ES"/>
              </w:rPr>
            </w:pPr>
            <w:r>
              <w:rPr>
                <w:sz w:val="20"/>
                <w:szCs w:val="20"/>
              </w:rPr>
              <w:t>Capacidad de personalización</w:t>
            </w:r>
          </w:p>
        </w:tc>
        <w:tc>
          <w:tcPr>
            <w:tcW w:w="3192" w:type="dxa"/>
            <w:vAlign w:val="top"/>
          </w:tcPr>
          <w:p w14:paraId="3EA3B084">
            <w:pPr>
              <w:rPr>
                <w:sz w:val="20"/>
                <w:szCs w:val="20"/>
                <w:vertAlign w:val="baseline"/>
                <w:lang w:val="es-ES"/>
              </w:rPr>
            </w:pPr>
            <w:r>
              <w:rPr>
                <w:sz w:val="20"/>
                <w:szCs w:val="20"/>
              </w:rPr>
              <w:t>Diferencia la experiencia del usuario respecto a buscadores genéricos.</w:t>
            </w:r>
          </w:p>
        </w:tc>
        <w:tc>
          <w:tcPr>
            <w:tcW w:w="3192" w:type="dxa"/>
            <w:vAlign w:val="top"/>
          </w:tcPr>
          <w:p w14:paraId="18B6F640">
            <w:pPr>
              <w:jc w:val="center"/>
              <w:rPr>
                <w:sz w:val="20"/>
                <w:szCs w:val="20"/>
                <w:vertAlign w:val="baseline"/>
                <w:lang w:val="es-ES"/>
              </w:rPr>
            </w:pPr>
            <w:r>
              <w:rPr>
                <w:sz w:val="20"/>
                <w:szCs w:val="20"/>
              </w:rPr>
              <w:t>Conversión y fidelización del turista.</w:t>
            </w:r>
          </w:p>
        </w:tc>
      </w:tr>
      <w:tr w14:paraId="70C0C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top"/>
          </w:tcPr>
          <w:p w14:paraId="1B9888E1">
            <w:pPr>
              <w:rPr>
                <w:sz w:val="20"/>
                <w:szCs w:val="20"/>
                <w:vertAlign w:val="baseline"/>
                <w:lang w:val="es-ES"/>
              </w:rPr>
            </w:pPr>
            <w:r>
              <w:rPr>
                <w:sz w:val="20"/>
                <w:szCs w:val="20"/>
              </w:rPr>
              <w:t>Capacidad de gestión de alianzas</w:t>
            </w:r>
          </w:p>
        </w:tc>
        <w:tc>
          <w:tcPr>
            <w:tcW w:w="3192" w:type="dxa"/>
            <w:vAlign w:val="top"/>
          </w:tcPr>
          <w:p w14:paraId="3E35545B">
            <w:pPr>
              <w:jc w:val="center"/>
              <w:rPr>
                <w:sz w:val="20"/>
                <w:szCs w:val="20"/>
                <w:vertAlign w:val="baseline"/>
                <w:lang w:val="es-ES"/>
              </w:rPr>
            </w:pPr>
            <w:r>
              <w:rPr>
                <w:sz w:val="20"/>
                <w:szCs w:val="20"/>
              </w:rPr>
              <w:t>Da legitimidad institucional y acceso a actores del ecosistema turístico de Sucre.</w:t>
            </w:r>
          </w:p>
        </w:tc>
        <w:tc>
          <w:tcPr>
            <w:tcW w:w="3192" w:type="dxa"/>
            <w:vAlign w:val="top"/>
          </w:tcPr>
          <w:p w14:paraId="56A54191">
            <w:pPr>
              <w:jc w:val="center"/>
              <w:rPr>
                <w:sz w:val="20"/>
                <w:szCs w:val="20"/>
                <w:vertAlign w:val="baseline"/>
                <w:lang w:val="es-ES"/>
              </w:rPr>
            </w:pPr>
            <w:r>
              <w:rPr>
                <w:sz w:val="20"/>
                <w:szCs w:val="20"/>
              </w:rPr>
              <w:t>Escala y posicionamiento como plataforma de referencia regional.</w:t>
            </w:r>
          </w:p>
        </w:tc>
      </w:tr>
    </w:tbl>
    <w:p w14:paraId="57E0EF64">
      <w:pPr>
        <w:spacing w:line="240" w:lineRule="auto"/>
        <w:rPr>
          <w:rFonts w:hint="default"/>
          <w:i/>
          <w:iCs/>
          <w:sz w:val="16"/>
          <w:szCs w:val="16"/>
          <w:lang w:val="es-ES"/>
        </w:rPr>
      </w:pPr>
      <w:r>
        <w:rPr>
          <w:rFonts w:hint="default"/>
          <w:b/>
          <w:bCs/>
          <w:i/>
          <w:iCs/>
          <w:sz w:val="16"/>
          <w:szCs w:val="16"/>
          <w:lang w:val="es-ES"/>
        </w:rPr>
        <w:t>Nota.</w:t>
      </w:r>
      <w:r>
        <w:rPr>
          <w:rFonts w:hint="default"/>
          <w:i/>
          <w:iCs/>
          <w:sz w:val="16"/>
          <w:szCs w:val="16"/>
          <w:lang w:val="es-ES"/>
        </w:rPr>
        <w:t xml:space="preserve"> La tabla presenta la relación directa entre los componentes técnicos de la arquitectura y el cumplimiento de los objetivos estratégicos, destacando la creación de valor y competitividad para el sector turístico de Sucre.</w:t>
      </w:r>
    </w:p>
    <w:p w14:paraId="059D3BB8">
      <w:pPr>
        <w:rPr>
          <w:rFonts w:hint="default"/>
          <w:i/>
          <w:iCs/>
          <w:sz w:val="16"/>
          <w:szCs w:val="16"/>
          <w:lang w:val="es-ES"/>
        </w:rPr>
      </w:pPr>
      <w:r>
        <w:rPr>
          <w:rFonts w:hint="default"/>
          <w:i/>
          <w:iCs/>
          <w:sz w:val="16"/>
          <w:szCs w:val="16"/>
          <w:lang w:val="es-ES"/>
        </w:rPr>
        <w:br w:type="page"/>
      </w:r>
    </w:p>
    <w:p w14:paraId="68EF765E">
      <w:pPr>
        <w:pStyle w:val="2"/>
        <w:numPr>
          <w:ilvl w:val="0"/>
          <w:numId w:val="1"/>
        </w:numPr>
        <w:bidi w:val="0"/>
        <w:rPr>
          <w:rFonts w:hint="default"/>
          <w:lang w:val="es-ES"/>
        </w:rPr>
      </w:pPr>
      <w:bookmarkStart w:id="51" w:name="_Toc31124"/>
      <w:bookmarkStart w:id="52" w:name="_Toc19545"/>
      <w:bookmarkStart w:id="53" w:name="_Toc13820"/>
      <w:r>
        <w:rPr>
          <w:rFonts w:hint="default"/>
          <w:lang w:val="es-ES"/>
        </w:rPr>
        <w:t>Conclusión</w:t>
      </w:r>
      <w:bookmarkEnd w:id="51"/>
      <w:bookmarkEnd w:id="52"/>
      <w:bookmarkEnd w:id="53"/>
      <w:r>
        <w:rPr>
          <w:rFonts w:hint="default"/>
          <w:lang w:val="es-ES"/>
        </w:rPr>
        <w:t xml:space="preserve"> </w:t>
      </w:r>
    </w:p>
    <w:p w14:paraId="3741B6CF">
      <w:pPr>
        <w:spacing w:before="80" w:after="100" w:line="276" w:lineRule="auto"/>
        <w:ind w:firstLine="708"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La arquitectura de negocio de Sincinaty presentada en este documento representa un paso decisivo en la transición de una idea de negocio a un modelo organizacional estructurado, coherente y ejecutable. A lo largo de los cinco componentes analizados —modelo operativo, actores clave, procesos principales, capacidades de negocio y alineación estratégica— queda evidenciado que Sincinaty no opera como una plataforma tecnológica genérica, sino como un ecosistema diseñado específicamente para las particularidades del turismo en el departamento de Sucre.</w:t>
      </w:r>
    </w:p>
    <w:p w14:paraId="4CF1EB02">
      <w:pPr>
        <w:spacing w:before="80" w:after="100" w:line="276" w:lineRule="auto"/>
        <w:ind w:firstLine="708"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El modelo operativo en cuatro fases (captación, interacción, transacción y entrega de valor) demuestra que la empresa ha identificado con precisión los puntos de fricción del turista y ha construido un flujo que los resuelve de manera integral. Cada fase agrega valor y prepara las condiciones para la siguiente, creando una experiencia coherente desde el primer contacto hasta la retroalimentación post-experiencia.</w:t>
      </w:r>
    </w:p>
    <w:p w14:paraId="7F839AF0">
      <w:pPr>
        <w:spacing w:before="80" w:after="100" w:line="276" w:lineRule="auto"/>
        <w:ind w:firstLine="708"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La identificación de siete actores con roles diferenciados revela que Sincinaty no puede operar de forma aislada: su valor depende de la orquestación de un ecosistema en el que turistas, prestadores, aliados institucionales y medios digitales se articulan sinérgicamente. Esta interdependencia es, al mismo tiempo, una fortaleza estructural y una responsabilidad de gestión permanente.</w:t>
      </w:r>
    </w:p>
    <w:p w14:paraId="44E861BA">
      <w:pPr>
        <w:spacing w:before="80" w:after="100" w:line="276" w:lineRule="auto"/>
        <w:ind w:firstLine="708"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Los seis procesos definidos —cuatro de operación central y dos de soporte— conforman la columna vertebral operativa de la empresa. Su correcto funcionamiento no es opcional: la calidad del contenido, la confiabilidad de las transacciones y la solidez de la reputación dependen de que estos procesos se ejecuten con rigor y continuidad. Cualquier debilidad en uno de ellos afecta directamente la propuesta de valor de toda la plataforma.</w:t>
      </w:r>
    </w:p>
    <w:p w14:paraId="5B56D004">
      <w:pPr>
        <w:spacing w:before="80" w:after="100" w:line="276" w:lineRule="auto"/>
        <w:ind w:firstLine="708"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Las capacidades de negocio identificadas, especialmente la gestión y curaduría de información turística local y la personalización de la experiencia del usuario, constituyen los activos organizacionales más difíciles de imitar por competidores externos. Desarrollarlas y profundizarlas en el tiempo es la garantía de una ventaja competitiva sostenible frente a plataformas globales que carecen del conocimiento territorial que Sincinaty puede construir.</w:t>
      </w:r>
    </w:p>
    <w:p w14:paraId="2D6C3714">
      <w:pPr>
        <w:spacing w:before="80" w:after="10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Finalmente, la alineación entre todos los elementos de la arquitectura y la estrategia competitiva de la empresa confirma que Sincinaty está diseñada para competir desde la especialización, la confianza y la profundidad local. Esta es una apuesta acertada en un mercado donde la diferenciación no vendrá de la tecnología por sí sola, sino de la capacidad de conectar de forma auténtica y eficiente a los viajeros con la riqueza turística, cultural y natural del departamento de Sucre.</w:t>
      </w:r>
    </w:p>
    <w:p w14:paraId="44301FBA">
      <w:pPr>
        <w:spacing w:before="80" w:after="100" w:line="276" w:lineRule="auto"/>
        <w:ind w:firstLine="708" w:firstLineChars="0"/>
        <w:jc w:val="both"/>
        <w:rPr>
          <w:rFonts w:hint="default" w:ascii="Times New Roman" w:hAnsi="Times New Roman" w:eastAsia="Arial" w:cs="Times New Roman"/>
          <w:color w:val="000000" w:themeColor="text1"/>
          <w:sz w:val="24"/>
          <w:szCs w:val="24"/>
          <w14:textFill>
            <w14:solidFill>
              <w14:schemeClr w14:val="tx1"/>
            </w14:solidFill>
          </w14:textFill>
        </w:rPr>
      </w:pPr>
      <w:r>
        <w:rPr>
          <w:rFonts w:hint="default" w:eastAsia="Arial" w:cs="Times New Roman"/>
          <w:color w:val="000000" w:themeColor="text1"/>
          <w:sz w:val="24"/>
          <w:szCs w:val="24"/>
          <w:lang w:val="es-ES"/>
          <w14:textFill>
            <w14:solidFill>
              <w14:schemeClr w14:val="tx1"/>
            </w14:solidFill>
          </w14:textFill>
        </w:rPr>
        <w:t>La presente investigación es</w:t>
      </w:r>
      <w:r>
        <w:rPr>
          <w:rFonts w:hint="default" w:ascii="Times New Roman" w:hAnsi="Times New Roman" w:eastAsia="Arial" w:cs="Times New Roman"/>
          <w:color w:val="000000" w:themeColor="text1"/>
          <w:sz w:val="24"/>
          <w:szCs w:val="24"/>
          <w14:textFill>
            <w14:solidFill>
              <w14:schemeClr w14:val="tx1"/>
            </w14:solidFill>
          </w14:textFill>
        </w:rPr>
        <w:t xml:space="preserve"> la base sobre la cual se desarrollarán las siguientes capas de la arquitectura empresarial, incorporando las dimensiones tecnológica, de datos y de aplicaciones necesarias para hacer realidad la visión de Sincinaty como plataforma turística de referencia en la región Caribe colombiana.</w:t>
      </w:r>
    </w:p>
    <w:p w14:paraId="721C88AB">
      <w:pPr>
        <w:rPr>
          <w:rFonts w:hint="default" w:ascii="Times New Roman" w:hAnsi="Times New Roman" w:eastAsia="Arial"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br w:type="page"/>
      </w:r>
    </w:p>
    <w:p w14:paraId="21FF6539">
      <w:pPr>
        <w:pStyle w:val="2"/>
        <w:numPr>
          <w:ilvl w:val="0"/>
          <w:numId w:val="1"/>
        </w:numPr>
        <w:bidi w:val="0"/>
        <w:rPr>
          <w:lang w:val="es-ES"/>
        </w:rPr>
      </w:pPr>
      <w:bookmarkStart w:id="54" w:name="_Toc22228"/>
      <w:bookmarkStart w:id="55" w:name="_Toc25376"/>
      <w:bookmarkStart w:id="56" w:name="_Toc2438"/>
      <w:r>
        <w:rPr>
          <w:lang w:val="es-ES"/>
        </w:rPr>
        <w:t>Referencias bibliográficas</w:t>
      </w:r>
      <w:bookmarkEnd w:id="47"/>
      <w:bookmarkEnd w:id="48"/>
      <w:bookmarkEnd w:id="49"/>
      <w:bookmarkEnd w:id="50"/>
      <w:bookmarkEnd w:id="54"/>
      <w:bookmarkEnd w:id="55"/>
      <w:bookmarkEnd w:id="56"/>
    </w:p>
    <w:p w14:paraId="7EBDDA0C">
      <w:pPr>
        <w:numPr>
          <w:ilvl w:val="0"/>
          <w:numId w:val="0"/>
        </w:num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 xml:space="preserve">Alcaldía de Sincelejo. (2023). </w:t>
      </w:r>
      <w:r>
        <w:rPr>
          <w:rFonts w:cs="Times New Roman"/>
          <w:i/>
          <w:iCs/>
          <w:color w:val="000000" w:themeColor="text1"/>
          <w14:textFill>
            <w14:solidFill>
              <w14:schemeClr w14:val="tx1"/>
            </w14:solidFill>
          </w14:textFill>
        </w:rPr>
        <w:t>Plan Sectorial de Turismo de Sincelejo 2023-2025</w:t>
      </w:r>
      <w:r>
        <w:rPr>
          <w:rFonts w:cs="Times New Roman"/>
          <w:color w:val="000000" w:themeColor="text1"/>
          <w14:textFill>
            <w14:solidFill>
              <w14:schemeClr w14:val="tx1"/>
            </w14:solidFill>
          </w14:textFill>
        </w:rPr>
        <w:t xml:space="preserve">. </w:t>
      </w:r>
      <w:r>
        <w:rPr>
          <w:rFonts w:hint="default" w:cs="Times New Roman"/>
          <w:color w:val="000000" w:themeColor="text1"/>
          <w:lang w:val="es-ES"/>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"https://www.alcaldiadesincelejo.gov.co/MiMunicipio/Prueba/PLAN%20SECTORIAL%20TURISMO%202023-2025.pdf" \t "_blank" </w:instrText>
      </w:r>
      <w:r>
        <w:rPr>
          <w:color w:val="000000" w:themeColor="text1"/>
          <w14:textFill>
            <w14:solidFill>
              <w14:schemeClr w14:val="tx1"/>
            </w14:solidFill>
          </w14:textFill>
        </w:rPr>
        <w:fldChar w:fldCharType="separate"/>
      </w:r>
      <w:r>
        <w:rPr>
          <w:rStyle w:val="21"/>
          <w:color w:val="000000" w:themeColor="text1"/>
          <w14:textFill>
            <w14:solidFill>
              <w14:schemeClr w14:val="tx1"/>
            </w14:solidFill>
          </w14:textFill>
        </w:rPr>
        <w:t>https://www.alcaldiadesincelejo.gov.co/MiMunicipio/Prueba/PLAN%20SECTORIAL%2</w:t>
      </w:r>
      <w:r>
        <w:rPr>
          <w:rStyle w:val="21"/>
          <w:rFonts w:hint="default"/>
          <w:color w:val="000000" w:themeColor="text1"/>
          <w:u w:val="none"/>
          <w:lang w:val="es-ES"/>
          <w14:textFill>
            <w14:solidFill>
              <w14:schemeClr w14:val="tx1"/>
            </w14:solidFill>
          </w14:textFill>
        </w:rPr>
        <w:tab/>
      </w:r>
      <w:r>
        <w:rPr>
          <w:rStyle w:val="21"/>
          <w:color w:val="000000" w:themeColor="text1"/>
          <w14:textFill>
            <w14:solidFill>
              <w14:schemeClr w14:val="tx1"/>
            </w14:solidFill>
          </w14:textFill>
        </w:rPr>
        <w:t>0TURISMO%202023-2025.pdf</w:t>
      </w:r>
      <w:r>
        <w:rPr>
          <w:rStyle w:val="21"/>
          <w:color w:val="000000" w:themeColor="text1"/>
          <w14:textFill>
            <w14:solidFill>
              <w14:schemeClr w14:val="tx1"/>
            </w14:solidFill>
          </w14:textFill>
        </w:rPr>
        <w:fldChar w:fldCharType="end"/>
      </w:r>
    </w:p>
    <w:p w14:paraId="5462E7C8">
      <w:pPr>
        <w:numPr>
          <w:ilvl w:val="0"/>
          <w:numId w:val="0"/>
        </w:num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 xml:space="preserve">BOC Group. (2023, 22 de agosto). </w:t>
      </w:r>
      <w:r>
        <w:rPr>
          <w:rFonts w:cs="Times New Roman"/>
          <w:i/>
          <w:iCs/>
          <w:color w:val="000000" w:themeColor="text1"/>
          <w14:textFill>
            <w14:solidFill>
              <w14:schemeClr w14:val="tx1"/>
            </w14:solidFill>
          </w14:textFill>
        </w:rPr>
        <w:t xml:space="preserve">Diseño de modelo operativo: El corazón de la Arquitectura </w:t>
      </w:r>
      <w:r>
        <w:rPr>
          <w:rFonts w:hint="default" w:cs="Times New Roman"/>
          <w:i/>
          <w:iCs/>
          <w:color w:val="000000" w:themeColor="text1"/>
          <w:lang w:val="es-ES"/>
          <w14:textFill>
            <w14:solidFill>
              <w14:schemeClr w14:val="tx1"/>
            </w14:solidFill>
          </w14:textFill>
        </w:rPr>
        <w:tab/>
      </w:r>
      <w:r>
        <w:rPr>
          <w:rFonts w:cs="Times New Roman"/>
          <w:i/>
          <w:iCs/>
          <w:color w:val="000000" w:themeColor="text1"/>
          <w14:textFill>
            <w14:solidFill>
              <w14:schemeClr w14:val="tx1"/>
            </w14:solidFill>
          </w14:textFill>
        </w:rPr>
        <w:t>de Negocio</w:t>
      </w:r>
      <w:r>
        <w:rPr>
          <w:rFonts w:cs="Times New Roman"/>
          <w:color w:val="000000" w:themeColor="text1"/>
          <w14:textFill>
            <w14:solidFill>
              <w14:schemeClr w14:val="tx1"/>
            </w14:solidFill>
          </w14:textFill>
        </w:rPr>
        <w:t xml:space="preserve">.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"https://www.boc-group.com/es/blog/ea/diseno-modelo-operativo/" \t "_blank" </w:instrText>
      </w:r>
      <w:r>
        <w:rPr>
          <w:color w:val="000000" w:themeColor="text1"/>
          <w14:textFill>
            <w14:solidFill>
              <w14:schemeClr w14:val="tx1"/>
            </w14:solidFill>
          </w14:textFill>
        </w:rPr>
        <w:fldChar w:fldCharType="separate"/>
      </w:r>
      <w:r>
        <w:rPr>
          <w:rStyle w:val="21"/>
          <w:color w:val="000000" w:themeColor="text1"/>
          <w14:textFill>
            <w14:solidFill>
              <w14:schemeClr w14:val="tx1"/>
            </w14:solidFill>
          </w14:textFill>
        </w:rPr>
        <w:t>https://www.boc-group.com/es/blog/ea/diseno-modelo-operativo/</w:t>
      </w:r>
      <w:r>
        <w:rPr>
          <w:rStyle w:val="21"/>
          <w:color w:val="000000" w:themeColor="text1"/>
          <w14:textFill>
            <w14:solidFill>
              <w14:schemeClr w14:val="tx1"/>
            </w14:solidFill>
          </w14:textFill>
        </w:rPr>
        <w:fldChar w:fldCharType="end"/>
      </w:r>
    </w:p>
    <w:p w14:paraId="7162D35F">
      <w:pPr>
        <w:numPr>
          <w:ilvl w:val="0"/>
          <w:numId w:val="0"/>
        </w:num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 xml:space="preserve">Durán, C. P. (2018). Gobernanza turística y desarrollo regional. </w:t>
      </w:r>
      <w:r>
        <w:rPr>
          <w:rFonts w:cs="Times New Roman"/>
          <w:i/>
          <w:iCs/>
          <w:color w:val="000000" w:themeColor="text1"/>
          <w14:textFill>
            <w14:solidFill>
              <w14:schemeClr w14:val="tx1"/>
            </w14:solidFill>
          </w14:textFill>
        </w:rPr>
        <w:t xml:space="preserve">Pasos: Revista de Turismo y </w:t>
      </w:r>
      <w:r>
        <w:rPr>
          <w:rFonts w:hint="default" w:cs="Times New Roman"/>
          <w:i/>
          <w:iCs/>
          <w:color w:val="000000" w:themeColor="text1"/>
          <w:lang w:val="es-ES"/>
          <w14:textFill>
            <w14:solidFill>
              <w14:schemeClr w14:val="tx1"/>
            </w14:solidFill>
          </w14:textFill>
        </w:rPr>
        <w:tab/>
      </w:r>
      <w:r>
        <w:rPr>
          <w:rFonts w:hint="default" w:cs="Times New Roman"/>
          <w:i/>
          <w:iCs/>
          <w:color w:val="000000" w:themeColor="text1"/>
          <w:lang w:val="es-ES"/>
          <w14:textFill>
            <w14:solidFill>
              <w14:schemeClr w14:val="tx1"/>
            </w14:solidFill>
          </w14:textFill>
        </w:rPr>
        <w:tab/>
      </w:r>
      <w:r>
        <w:rPr>
          <w:rFonts w:cs="Times New Roman"/>
          <w:i/>
          <w:iCs/>
          <w:color w:val="000000" w:themeColor="text1"/>
          <w14:textFill>
            <w14:solidFill>
              <w14:schemeClr w14:val="tx1"/>
            </w14:solidFill>
          </w14:textFill>
        </w:rPr>
        <w:t>Patrimonio Cultural</w:t>
      </w:r>
      <w:r>
        <w:rPr>
          <w:rFonts w:cs="Times New Roman"/>
          <w:color w:val="000000" w:themeColor="text1"/>
          <w14:textFill>
            <w14:solidFill>
              <w14:schemeClr w14:val="tx1"/>
            </w14:solidFill>
          </w14:textFill>
        </w:rPr>
        <w:t xml:space="preserve">, </w:t>
      </w:r>
      <w:r>
        <w:rPr>
          <w:rFonts w:cs="Times New Roman"/>
          <w:i/>
          <w:iCs/>
          <w:color w:val="000000" w:themeColor="text1"/>
          <w14:textFill>
            <w14:solidFill>
              <w14:schemeClr w14:val="tx1"/>
            </w14:solidFill>
          </w14:textFill>
        </w:rPr>
        <w:t>16</w:t>
      </w:r>
      <w:r>
        <w:rPr>
          <w:rFonts w:cs="Times New Roman"/>
          <w:color w:val="000000" w:themeColor="text1"/>
          <w14:textFill>
            <w14:solidFill>
              <w14:schemeClr w14:val="tx1"/>
            </w14:solidFill>
          </w14:textFill>
        </w:rPr>
        <w:t xml:space="preserve">(1), 26-65. </w:t>
      </w:r>
      <w:r>
        <w:rPr>
          <w:rFonts w:hint="default" w:cs="Times New Roman"/>
          <w:color w:val="000000" w:themeColor="text1"/>
          <w:lang w:val="es-ES"/>
          <w14:textFill>
            <w14:solidFill>
              <w14:schemeClr w14:val="tx1"/>
            </w14:solidFill>
          </w14:textFill>
        </w:rPr>
        <w:tab/>
      </w:r>
      <w:r>
        <w:rPr>
          <w:rFonts w:hint="default" w:cs="Times New Roman"/>
          <w:color w:val="000000" w:themeColor="text1"/>
          <w:lang w:val="es-ES"/>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"https://www.econstor.eu/bitstream/10419/213774/1/26-65-1-10-20180523.pdf" \t "_blank" </w:instrText>
      </w:r>
      <w:r>
        <w:rPr>
          <w:color w:val="000000" w:themeColor="text1"/>
          <w14:textFill>
            <w14:solidFill>
              <w14:schemeClr w14:val="tx1"/>
            </w14:solidFill>
          </w14:textFill>
        </w:rPr>
        <w:fldChar w:fldCharType="separate"/>
      </w:r>
      <w:r>
        <w:rPr>
          <w:rStyle w:val="21"/>
          <w:color w:val="000000" w:themeColor="text1"/>
          <w14:textFill>
            <w14:solidFill>
              <w14:schemeClr w14:val="tx1"/>
            </w14:solidFill>
          </w14:textFill>
        </w:rPr>
        <w:t>https://www.econstor.eu/bitstream/10419/213774/1/26-65-1-10-20180523.pdf</w:t>
      </w:r>
      <w:r>
        <w:rPr>
          <w:rStyle w:val="21"/>
          <w:color w:val="000000" w:themeColor="text1"/>
          <w14:textFill>
            <w14:solidFill>
              <w14:schemeClr w14:val="tx1"/>
            </w14:solidFill>
          </w14:textFill>
        </w:rPr>
        <w:fldChar w:fldCharType="end"/>
      </w:r>
    </w:p>
    <w:p w14:paraId="63B2837F">
      <w:pPr>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t xml:space="preserve">Fontur Colombia. (2022). </w:t>
      </w:r>
      <w:r>
        <w:rPr>
          <w:rStyle w:val="15"/>
          <w:color w:val="000000" w:themeColor="text1"/>
          <w14:textFill>
            <w14:solidFill>
              <w14:schemeClr w14:val="tx1"/>
            </w14:solidFill>
          </w14:textFill>
        </w:rPr>
        <w:t>Informe de turismo regional: Región Caribe.</w:t>
      </w:r>
      <w:r>
        <w:rPr>
          <w:color w:val="000000" w:themeColor="text1"/>
          <w14:textFill>
            <w14:solidFill>
              <w14:schemeClr w14:val="tx1"/>
            </w14:solidFill>
          </w14:textFill>
        </w:rPr>
        <w:t xml:space="preserve"> Fondo Nacional de </w:t>
      </w:r>
      <w:r>
        <w:rPr>
          <w:rFonts w:hint="default"/>
          <w:color w:val="000000" w:themeColor="text1"/>
          <w:lang w:val="es-ES"/>
          <w14:textFill>
            <w14:solidFill>
              <w14:schemeClr w14:val="tx1"/>
            </w14:solidFill>
          </w14:textFill>
        </w:rPr>
        <w:tab/>
      </w:r>
      <w:r>
        <w:rPr>
          <w:color w:val="000000" w:themeColor="text1"/>
          <w14:textFill>
            <w14:solidFill>
              <w14:schemeClr w14:val="tx1"/>
            </w14:solidFill>
          </w14:textFill>
        </w:rPr>
        <w:t xml:space="preserve">Turismo.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"https://fontur.com.co" </w:instrText>
      </w:r>
      <w:r>
        <w:rPr>
          <w:color w:val="000000" w:themeColor="text1"/>
          <w14:textFill>
            <w14:solidFill>
              <w14:schemeClr w14:val="tx1"/>
            </w14:solidFill>
          </w14:textFill>
        </w:rPr>
        <w:fldChar w:fldCharType="separate"/>
      </w:r>
      <w:r>
        <w:rPr>
          <w:rStyle w:val="21"/>
          <w:color w:val="000000" w:themeColor="text1"/>
          <w14:textFill>
            <w14:solidFill>
              <w14:schemeClr w14:val="tx1"/>
            </w14:solidFill>
          </w14:textFill>
        </w:rPr>
        <w:t>https://fontur.com.co</w:t>
      </w:r>
      <w:r>
        <w:rPr>
          <w:color w:val="000000" w:themeColor="text1"/>
          <w14:textFill>
            <w14:solidFill>
              <w14:schemeClr w14:val="tx1"/>
            </w14:solidFill>
          </w14:textFill>
        </w:rPr>
        <w:fldChar w:fldCharType="end"/>
      </w:r>
    </w:p>
    <w:p w14:paraId="12B600C5">
      <w:pPr>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t xml:space="preserve">Gobernación de Sucre. (2020). </w:t>
      </w:r>
      <w:r>
        <w:rPr>
          <w:rStyle w:val="15"/>
          <w:color w:val="000000" w:themeColor="text1"/>
          <w14:textFill>
            <w14:solidFill>
              <w14:schemeClr w14:val="tx1"/>
            </w14:solidFill>
          </w14:textFill>
        </w:rPr>
        <w:t>Plan de Desarrollo Departamental 2020-2023: Sucre Diferente.</w:t>
      </w:r>
      <w:r>
        <w:rPr>
          <w:color w:val="000000" w:themeColor="text1"/>
          <w14:textFill>
            <w14:solidFill>
              <w14:schemeClr w14:val="tx1"/>
            </w14:solidFill>
          </w14:textFill>
        </w:rPr>
        <w:t xml:space="preserve"> </w:t>
      </w:r>
      <w:r>
        <w:rPr>
          <w:rFonts w:hint="default"/>
          <w:color w:val="000000" w:themeColor="text1"/>
          <w:lang w:val="es-ES"/>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"https://www.sucre.gov.co" </w:instrText>
      </w:r>
      <w:r>
        <w:rPr>
          <w:color w:val="000000" w:themeColor="text1"/>
          <w14:textFill>
            <w14:solidFill>
              <w14:schemeClr w14:val="tx1"/>
            </w14:solidFill>
          </w14:textFill>
        </w:rPr>
        <w:fldChar w:fldCharType="separate"/>
      </w:r>
      <w:r>
        <w:rPr>
          <w:rStyle w:val="21"/>
          <w:color w:val="000000" w:themeColor="text1"/>
          <w14:textFill>
            <w14:solidFill>
              <w14:schemeClr w14:val="tx1"/>
            </w14:solidFill>
          </w14:textFill>
        </w:rPr>
        <w:t>https://www.sucre.gov.co</w:t>
      </w:r>
      <w:r>
        <w:rPr>
          <w:color w:val="000000" w:themeColor="text1"/>
          <w14:textFill>
            <w14:solidFill>
              <w14:schemeClr w14:val="tx1"/>
            </w14:solidFill>
          </w14:textFill>
        </w:rPr>
        <w:fldChar w:fldCharType="end"/>
      </w:r>
    </w:p>
    <w:p w14:paraId="310D191A">
      <w:pPr>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t xml:space="preserve">Ministerio de Comercio, Industria y Turismo. (2022). </w:t>
      </w:r>
      <w:r>
        <w:rPr>
          <w:rStyle w:val="15"/>
          <w:color w:val="000000" w:themeColor="text1"/>
          <w14:textFill>
            <w14:solidFill>
              <w14:schemeClr w14:val="tx1"/>
            </w14:solidFill>
          </w14:textFill>
        </w:rPr>
        <w:t xml:space="preserve">Plan Sectorial de Turismo 2022-2026: </w:t>
      </w:r>
      <w:r>
        <w:rPr>
          <w:rStyle w:val="15"/>
          <w:rFonts w:hint="default"/>
          <w:color w:val="000000" w:themeColor="text1"/>
          <w:lang w:val="es-ES"/>
          <w14:textFill>
            <w14:solidFill>
              <w14:schemeClr w14:val="tx1"/>
            </w14:solidFill>
          </w14:textFill>
        </w:rPr>
        <w:tab/>
      </w:r>
      <w:r>
        <w:rPr>
          <w:rStyle w:val="15"/>
          <w:color w:val="000000" w:themeColor="text1"/>
          <w14:textFill>
            <w14:solidFill>
              <w14:schemeClr w14:val="tx1"/>
            </w14:solidFill>
          </w14:textFill>
        </w:rPr>
        <w:t>Turismo: El propósito que nos une.</w:t>
      </w:r>
      <w:r>
        <w:rPr>
          <w:color w:val="000000" w:themeColor="text1"/>
          <w14:textFill>
            <w14:solidFill>
              <w14:schemeClr w14:val="tx1"/>
            </w14:solidFill>
          </w14:textFill>
        </w:rPr>
        <w:t xml:space="preserve"> Gobierno de Colombia. </w:t>
      </w:r>
      <w:r>
        <w:rPr>
          <w:rFonts w:hint="default"/>
          <w:color w:val="000000" w:themeColor="text1"/>
          <w:lang w:val="es-ES"/>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"https://www.mincit.gov.co/minturismo/calidad-y-desarrollo-sostenible/politicas-y-planes/plan-sectorial-de-turismo" </w:instrText>
      </w:r>
      <w:r>
        <w:rPr>
          <w:color w:val="000000" w:themeColor="text1"/>
          <w14:textFill>
            <w14:solidFill>
              <w14:schemeClr w14:val="tx1"/>
            </w14:solidFill>
          </w14:textFill>
        </w:rPr>
        <w:fldChar w:fldCharType="separate"/>
      </w:r>
      <w:r>
        <w:rPr>
          <w:rStyle w:val="21"/>
          <w:color w:val="000000" w:themeColor="text1"/>
          <w14:textFill>
            <w14:solidFill>
              <w14:schemeClr w14:val="tx1"/>
            </w14:solidFill>
          </w14:textFill>
        </w:rPr>
        <w:t>https://www.mincit.gov.co/minturismo/calidad-y-desarrollo-sostenible/politicas-y-</w:t>
      </w:r>
      <w:r>
        <w:rPr>
          <w:rStyle w:val="21"/>
          <w:rFonts w:hint="default"/>
          <w:color w:val="000000" w:themeColor="text1"/>
          <w:u w:val="none"/>
          <w:lang w:val="es-ES"/>
          <w14:textFill>
            <w14:solidFill>
              <w14:schemeClr w14:val="tx1"/>
            </w14:solidFill>
          </w14:textFill>
        </w:rPr>
        <w:tab/>
      </w:r>
      <w:r>
        <w:rPr>
          <w:rStyle w:val="21"/>
          <w:color w:val="000000" w:themeColor="text1"/>
          <w14:textFill>
            <w14:solidFill>
              <w14:schemeClr w14:val="tx1"/>
            </w14:solidFill>
          </w14:textFill>
        </w:rPr>
        <w:t>planes/plan-sectorial-de-turismo</w:t>
      </w:r>
      <w:r>
        <w:rPr>
          <w:color w:val="000000" w:themeColor="text1"/>
          <w14:textFill>
            <w14:solidFill>
              <w14:schemeClr w14:val="tx1"/>
            </w14:solidFill>
          </w14:textFill>
        </w:rPr>
        <w:fldChar w:fldCharType="end"/>
      </w:r>
    </w:p>
    <w:p w14:paraId="40D5FF71">
      <w:pPr>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t xml:space="preserve">Osterwalder, A., &amp; Pigneur, Y. (2010). </w:t>
      </w:r>
      <w:r>
        <w:rPr>
          <w:rStyle w:val="15"/>
          <w:color w:val="000000" w:themeColor="text1"/>
          <w14:textFill>
            <w14:solidFill>
              <w14:schemeClr w14:val="tx1"/>
            </w14:solidFill>
          </w14:textFill>
        </w:rPr>
        <w:t xml:space="preserve">Business model generation: A handbook for visionaries, </w:t>
      </w:r>
      <w:r>
        <w:rPr>
          <w:rStyle w:val="15"/>
          <w:rFonts w:hint="default"/>
          <w:color w:val="000000" w:themeColor="text1"/>
          <w:lang w:val="es-ES"/>
          <w14:textFill>
            <w14:solidFill>
              <w14:schemeClr w14:val="tx1"/>
            </w14:solidFill>
          </w14:textFill>
        </w:rPr>
        <w:tab/>
      </w:r>
      <w:r>
        <w:rPr>
          <w:rStyle w:val="15"/>
          <w:color w:val="000000" w:themeColor="text1"/>
          <w14:textFill>
            <w14:solidFill>
              <w14:schemeClr w14:val="tx1"/>
            </w14:solidFill>
          </w14:textFill>
        </w:rPr>
        <w:t>game changers, and challengers.</w:t>
      </w:r>
      <w:r>
        <w:rPr>
          <w:color w:val="000000" w:themeColor="text1"/>
          <w14:textFill>
            <w14:solidFill>
              <w14:schemeClr w14:val="tx1"/>
            </w14:solidFill>
          </w14:textFill>
        </w:rPr>
        <w:t xml:space="preserve"> Wiley.</w:t>
      </w:r>
    </w:p>
    <w:p w14:paraId="4787FF53">
      <w:pPr>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t xml:space="preserve">Porter, M. E. (2008). </w:t>
      </w:r>
      <w:r>
        <w:rPr>
          <w:rStyle w:val="15"/>
          <w:color w:val="000000" w:themeColor="text1"/>
          <w14:textFill>
            <w14:solidFill>
              <w14:schemeClr w14:val="tx1"/>
            </w14:solidFill>
          </w14:textFill>
        </w:rPr>
        <w:t>Competitive advantage: Creating and sustaining superior performance.</w:t>
      </w:r>
      <w:r>
        <w:rPr>
          <w:color w:val="000000" w:themeColor="text1"/>
          <w14:textFill>
            <w14:solidFill>
              <w14:schemeClr w14:val="tx1"/>
            </w14:solidFill>
          </w14:textFill>
        </w:rPr>
        <w:t xml:space="preserve"> </w:t>
      </w:r>
      <w:r>
        <w:rPr>
          <w:rFonts w:hint="default"/>
          <w:color w:val="000000" w:themeColor="text1"/>
          <w:lang w:val="es-ES"/>
          <w14:textFill>
            <w14:solidFill>
              <w14:schemeClr w14:val="tx1"/>
            </w14:solidFill>
          </w14:textFill>
        </w:rPr>
        <w:tab/>
      </w:r>
      <w:r>
        <w:rPr>
          <w:color w:val="000000" w:themeColor="text1"/>
          <w14:textFill>
            <w14:solidFill>
              <w14:schemeClr w14:val="tx1"/>
            </w14:solidFill>
          </w14:textFill>
        </w:rPr>
        <w:t>Free Press.</w:t>
      </w:r>
    </w:p>
    <w:p w14:paraId="7753DD0B">
      <w:pPr>
        <w:numPr>
          <w:ilvl w:val="0"/>
          <w:numId w:val="0"/>
        </w:numPr>
        <w:rPr>
          <w:rStyle w:val="21"/>
          <w:color w:val="000000" w:themeColor="text1"/>
          <w14:textFill>
            <w14:solidFill>
              <w14:schemeClr w14:val="tx1"/>
            </w14:solidFill>
          </w14:textFill>
        </w:rPr>
      </w:pPr>
      <w:r>
        <w:rPr>
          <w:rFonts w:cs="Times New Roman"/>
          <w:color w:val="000000" w:themeColor="text1"/>
          <w14:textFill>
            <w14:solidFill>
              <w14:schemeClr w14:val="tx1"/>
            </w14:solidFill>
          </w14:textFill>
        </w:rPr>
        <w:t xml:space="preserve">Reyes-Castillo, A. C., &amp; Sierra-García, L. F. (2022). </w:t>
      </w:r>
      <w:r>
        <w:rPr>
          <w:rFonts w:cs="Times New Roman"/>
          <w:i/>
          <w:iCs/>
          <w:color w:val="000000" w:themeColor="text1"/>
          <w14:textFill>
            <w14:solidFill>
              <w14:schemeClr w14:val="tx1"/>
            </w14:solidFill>
          </w14:textFill>
        </w:rPr>
        <w:t xml:space="preserve">Modelo de arquitectura de negocio para </w:t>
      </w:r>
      <w:r>
        <w:rPr>
          <w:rFonts w:hint="default" w:cs="Times New Roman"/>
          <w:i/>
          <w:iCs/>
          <w:color w:val="000000" w:themeColor="text1"/>
          <w:lang w:val="es-ES"/>
          <w14:textFill>
            <w14:solidFill>
              <w14:schemeClr w14:val="tx1"/>
            </w14:solidFill>
          </w14:textFill>
        </w:rPr>
        <w:tab/>
      </w:r>
      <w:r>
        <w:rPr>
          <w:rFonts w:hint="default" w:cs="Times New Roman"/>
          <w:i/>
          <w:iCs/>
          <w:color w:val="000000" w:themeColor="text1"/>
          <w:lang w:val="es-ES"/>
          <w14:textFill>
            <w14:solidFill>
              <w14:schemeClr w14:val="tx1"/>
            </w14:solidFill>
          </w14:textFill>
        </w:rPr>
        <w:tab/>
      </w:r>
      <w:r>
        <w:rPr>
          <w:rFonts w:cs="Times New Roman"/>
          <w:i/>
          <w:iCs/>
          <w:color w:val="000000" w:themeColor="text1"/>
          <w14:textFill>
            <w14:solidFill>
              <w14:schemeClr w14:val="tx1"/>
            </w14:solidFill>
          </w14:textFill>
        </w:rPr>
        <w:t>una empresa de servicios tecnológicos basado en el marco de trabajo TOGAF</w:t>
      </w:r>
      <w:r>
        <w:rPr>
          <w:rFonts w:cs="Times New Roman"/>
          <w:color w:val="000000" w:themeColor="text1"/>
          <w14:textFill>
            <w14:solidFill>
              <w14:schemeClr w14:val="tx1"/>
            </w14:solidFill>
          </w14:textFill>
        </w:rPr>
        <w:t xml:space="preserve"> [Tesis de </w:t>
      </w:r>
      <w:r>
        <w:rPr>
          <w:rFonts w:hint="default" w:cs="Times New Roman"/>
          <w:color w:val="000000" w:themeColor="text1"/>
          <w:lang w:val="es-ES"/>
          <w14:textFill>
            <w14:solidFill>
              <w14:schemeClr w14:val="tx1"/>
            </w14:solidFill>
          </w14:textFill>
        </w:rPr>
        <w:tab/>
      </w:r>
      <w:r>
        <w:rPr>
          <w:rFonts w:cs="Times New Roman"/>
          <w:color w:val="000000" w:themeColor="text1"/>
          <w14:textFill>
            <w14:solidFill>
              <w14:schemeClr w14:val="tx1"/>
            </w14:solidFill>
          </w14:textFill>
        </w:rPr>
        <w:t xml:space="preserve">especialización, Universidad Distrital Francisco José de Caldas]. Repositorio Institucional </w:t>
      </w:r>
      <w:r>
        <w:rPr>
          <w:rFonts w:hint="default" w:cs="Times New Roman"/>
          <w:color w:val="000000" w:themeColor="text1"/>
          <w:lang w:val="es-ES"/>
          <w14:textFill>
            <w14:solidFill>
              <w14:schemeClr w14:val="tx1"/>
            </w14:solidFill>
          </w14:textFill>
        </w:rPr>
        <w:tab/>
      </w:r>
      <w:r>
        <w:rPr>
          <w:rFonts w:cs="Times New Roman"/>
          <w:color w:val="000000" w:themeColor="text1"/>
          <w14:textFill>
            <w14:solidFill>
              <w14:schemeClr w14:val="tx1"/>
            </w14:solidFill>
          </w14:textFill>
        </w:rPr>
        <w:t xml:space="preserve">UD.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"https://repository.udistrital.edu.co/items/43a18c96-d40a-4bad-ae69-09a0d7ea5419" \t "_blank" </w:instrText>
      </w:r>
      <w:r>
        <w:rPr>
          <w:color w:val="000000" w:themeColor="text1"/>
          <w14:textFill>
            <w14:solidFill>
              <w14:schemeClr w14:val="tx1"/>
            </w14:solidFill>
          </w14:textFill>
        </w:rPr>
        <w:fldChar w:fldCharType="separate"/>
      </w:r>
      <w:r>
        <w:rPr>
          <w:rStyle w:val="21"/>
          <w:color w:val="000000" w:themeColor="text1"/>
          <w14:textFill>
            <w14:solidFill>
              <w14:schemeClr w14:val="tx1"/>
            </w14:solidFill>
          </w14:textFill>
        </w:rPr>
        <w:t>https://repository.udistrital.edu.co/items/43a18c96-d40a-4bad-ae69-09a0d7ea5419</w:t>
      </w:r>
      <w:r>
        <w:rPr>
          <w:rStyle w:val="21"/>
          <w:color w:val="000000" w:themeColor="text1"/>
          <w14:textFill>
            <w14:solidFill>
              <w14:schemeClr w14:val="tx1"/>
            </w14:solidFill>
          </w14:textFill>
        </w:rPr>
        <w:fldChar w:fldCharType="end"/>
      </w:r>
    </w:p>
    <w:p w14:paraId="0EE85DCD">
      <w:pPr>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t xml:space="preserve">The Open Group. (2018). </w:t>
      </w:r>
      <w:r>
        <w:rPr>
          <w:rStyle w:val="15"/>
          <w:color w:val="000000" w:themeColor="text1"/>
          <w14:textFill>
            <w14:solidFill>
              <w14:schemeClr w14:val="tx1"/>
            </w14:solidFill>
          </w14:textFill>
        </w:rPr>
        <w:t>TOGAF Standard, Version 9.2.</w:t>
      </w:r>
      <w:r>
        <w:rPr>
          <w:color w:val="000000" w:themeColor="text1"/>
          <w14:textFill>
            <w14:solidFill>
              <w14:schemeClr w14:val="tx1"/>
            </w14:solidFill>
          </w14:textFill>
        </w:rPr>
        <w:t xml:space="preserve"> The Open Group. </w:t>
      </w:r>
      <w:r>
        <w:rPr>
          <w:rFonts w:hint="default"/>
          <w:color w:val="000000" w:themeColor="text1"/>
          <w:lang w:val="es-ES"/>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"https://www.opengroup.org/togaf" </w:instrText>
      </w:r>
      <w:r>
        <w:rPr>
          <w:color w:val="000000" w:themeColor="text1"/>
          <w14:textFill>
            <w14:solidFill>
              <w14:schemeClr w14:val="tx1"/>
            </w14:solidFill>
          </w14:textFill>
        </w:rPr>
        <w:fldChar w:fldCharType="separate"/>
      </w:r>
      <w:r>
        <w:rPr>
          <w:rStyle w:val="21"/>
          <w:color w:val="000000" w:themeColor="text1"/>
          <w14:textFill>
            <w14:solidFill>
              <w14:schemeClr w14:val="tx1"/>
            </w14:solidFill>
          </w14:textFill>
        </w:rPr>
        <w:t>https://www.opengroup.org/togaf</w:t>
      </w:r>
      <w:r>
        <w:rPr>
          <w:color w:val="000000" w:themeColor="text1"/>
          <w14:textFill>
            <w14:solidFill>
              <w14:schemeClr w14:val="tx1"/>
            </w14:solidFill>
          </w14:textFill>
        </w:rPr>
        <w:fldChar w:fldCharType="end"/>
      </w:r>
    </w:p>
    <w:p w14:paraId="2A3B4A0B">
      <w:pPr>
        <w:numPr>
          <w:ilvl w:val="0"/>
          <w:numId w:val="0"/>
        </w:numPr>
        <w:rPr>
          <w:rStyle w:val="21"/>
          <w:color w:val="auto"/>
        </w:rPr>
      </w:pPr>
    </w:p>
    <w:p w14:paraId="5A6E9549">
      <w:pPr>
        <w:rPr>
          <w:rFonts w:cs="Times New Roman"/>
        </w:rPr>
      </w:pPr>
    </w:p>
    <w:sectPr>
      <w:headerReference r:id="rId5" w:type="default"/>
      <w:pgSz w:w="12240" w:h="15840"/>
      <w:pgMar w:top="1440" w:right="1440" w:bottom="1440" w:left="1440" w:header="680" w:footer="56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HIKNAF+TimesNewRoman,Bold">
    <w:altName w:val="Times New Roman"/>
    <w:panose1 w:val="00000000000000000000"/>
    <w:charset w:val="00"/>
    <w:family w:val="roman"/>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96BA6">
    <w:pPr>
      <w:pStyle w:val="20"/>
      <w:tabs>
        <w:tab w:val="left" w:pos="488"/>
        <w:tab w:val="right" w:pos="9356"/>
        <w:tab w:val="clear" w:pos="8838"/>
      </w:tabs>
      <w:rPr>
        <w:rFonts w:cs="Times New Roman"/>
      </w:rPr>
    </w:pPr>
  </w:p>
  <w:sdt>
    <w:sdtPr>
      <w:rPr>
        <w:rFonts w:cs="Times New Roman"/>
      </w:rPr>
      <w:id w:val="-1739240714"/>
    </w:sdtPr>
    <w:sdtEndPr>
      <w:rPr>
        <w:rFonts w:cs="Times New Roman"/>
      </w:rPr>
    </w:sdtEndPr>
    <w:sdtContent>
      <w:p w14:paraId="42F639BD">
        <w:pPr>
          <w:pStyle w:val="20"/>
          <w:tabs>
            <w:tab w:val="left" w:pos="488"/>
            <w:tab w:val="right" w:pos="9356"/>
            <w:tab w:val="clear" w:pos="8838"/>
          </w:tabs>
          <w:jc w:val="right"/>
          <w:rPr>
            <w:rFonts w:cs="Times New Roman"/>
          </w:rPr>
        </w:pPr>
        <w:r>
          <w:rPr>
            <w:rFonts w:cs="Times New Roman"/>
            <w:i/>
            <w:color w:val="404040" w:themeColor="text1" w:themeTint="BF"/>
            <w14:textFill>
              <w14:solidFill>
                <w14:schemeClr w14:val="tx1">
                  <w14:lumMod w14:val="75000"/>
                  <w14:lumOff w14:val="25000"/>
                </w14:schemeClr>
              </w14:solidFill>
            </w14:textFill>
          </w:rPr>
          <w:drawing>
            <wp:anchor distT="0" distB="0" distL="114300" distR="114300" simplePos="0" relativeHeight="251659264" behindDoc="0" locked="0" layoutInCell="1" allowOverlap="1">
              <wp:simplePos x="0" y="0"/>
              <wp:positionH relativeFrom="column">
                <wp:posOffset>4149090</wp:posOffset>
              </wp:positionH>
              <wp:positionV relativeFrom="paragraph">
                <wp:posOffset>71755</wp:posOffset>
              </wp:positionV>
              <wp:extent cx="1559560" cy="477520"/>
              <wp:effectExtent l="0" t="0" r="254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a:picLocks noChangeAspect="1" noChangeArrowheads="1"/>
                      </pic:cNvPicPr>
                    </pic:nvPicPr>
                    <pic:blipFill>
                      <a:blip r:embed="rId1">
                        <a:extLst>
                          <a:ext uri="{28A0092B-C50C-407E-A947-70E740481C1C}">
                            <a14:useLocalDpi xmlns:a14="http://schemas.microsoft.com/office/drawing/2010/main" val="0"/>
                          </a:ext>
                        </a:extLst>
                      </a:blip>
                      <a:srcRect l="61939" t="12795" r="4155" b="13597"/>
                      <a:stretch>
                        <a:fillRect/>
                      </a:stretch>
                    </pic:blipFill>
                    <pic:spPr>
                      <a:xfrm>
                        <a:off x="0" y="0"/>
                        <a:ext cx="1559560" cy="477520"/>
                      </a:xfrm>
                      <a:prstGeom prst="rect">
                        <a:avLst/>
                      </a:prstGeom>
                      <a:noFill/>
                      <a:ln>
                        <a:noFill/>
                      </a:ln>
                    </pic:spPr>
                  </pic:pic>
                </a:graphicData>
              </a:graphic>
            </wp:anchor>
          </w:drawing>
        </w: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es-ES"/>
          </w:rPr>
          <w:t>8</w:t>
        </w:r>
        <w:r>
          <w:rPr>
            <w:rFonts w:cs="Times New Roman"/>
          </w:rPr>
          <w:fldChar w:fldCharType="end"/>
        </w:r>
      </w:p>
      <w:tbl>
        <w:tblPr>
          <w:tblStyle w:val="26"/>
          <w:tblW w:w="3174" w:type="dxa"/>
          <w:tblInd w:w="-284" w:type="dxa"/>
          <w:tblBorders>
            <w:top w:val="none" w:color="auto" w:sz="0" w:space="0"/>
            <w:left w:val="none" w:color="auto" w:sz="0" w:space="0"/>
            <w:bottom w:val="single" w:color="585858" w:themeColor="text1" w:themeTint="A6" w:sz="4" w:space="0"/>
            <w:right w:val="none" w:color="auto" w:sz="0" w:space="0"/>
            <w:insideH w:val="single" w:color="585858" w:themeColor="text1" w:themeTint="A6" w:sz="4" w:space="0"/>
            <w:insideV w:val="single" w:color="585858" w:themeColor="text1" w:themeTint="A6" w:sz="4" w:space="0"/>
          </w:tblBorders>
          <w:tblLayout w:type="autofit"/>
          <w:tblCellMar>
            <w:top w:w="0" w:type="dxa"/>
            <w:left w:w="108" w:type="dxa"/>
            <w:bottom w:w="0" w:type="dxa"/>
            <w:right w:w="108" w:type="dxa"/>
          </w:tblCellMar>
        </w:tblPr>
        <w:tblGrid>
          <w:gridCol w:w="3174"/>
        </w:tblGrid>
        <w:tr w14:paraId="021023C9">
          <w:tblPrEx>
            <w:tblBorders>
              <w:top w:val="none" w:color="auto" w:sz="0" w:space="0"/>
              <w:left w:val="none" w:color="auto" w:sz="0" w:space="0"/>
              <w:bottom w:val="single" w:color="585858" w:themeColor="text1" w:themeTint="A6" w:sz="4" w:space="0"/>
              <w:right w:val="none" w:color="auto" w:sz="0" w:space="0"/>
              <w:insideH w:val="single" w:color="585858" w:themeColor="text1" w:themeTint="A6" w:sz="4" w:space="0"/>
              <w:insideV w:val="single" w:color="585858" w:themeColor="text1" w:themeTint="A6" w:sz="4" w:space="0"/>
            </w:tblBorders>
            <w:tblCellMar>
              <w:top w:w="0" w:type="dxa"/>
              <w:left w:w="108" w:type="dxa"/>
              <w:bottom w:w="0" w:type="dxa"/>
              <w:right w:w="108" w:type="dxa"/>
            </w:tblCellMar>
          </w:tblPrEx>
          <w:trPr>
            <w:trHeight w:val="709" w:hRule="atLeast"/>
          </w:trPr>
          <w:tc>
            <w:tcPr>
              <w:tcW w:w="3174" w:type="dxa"/>
            </w:tcPr>
            <w:p w14:paraId="7A5AA245">
              <w:pPr>
                <w:spacing w:after="0" w:line="240" w:lineRule="auto"/>
                <w:jc w:val="both"/>
                <w:rPr>
                  <w:rFonts w:cs="Times New Roman"/>
                  <w:i/>
                  <w:color w:val="404040" w:themeColor="text1" w:themeTint="BF"/>
                  <w14:textFill>
                    <w14:solidFill>
                      <w14:schemeClr w14:val="tx1">
                        <w14:lumMod w14:val="75000"/>
                        <w14:lumOff w14:val="25000"/>
                      </w14:schemeClr>
                    </w14:solidFill>
                  </w14:textFill>
                </w:rPr>
              </w:pPr>
              <w:r>
                <w:rPr>
                  <w:rFonts w:cs="Times New Roman"/>
                  <w:i/>
                  <w:color w:val="404040" w:themeColor="text1" w:themeTint="BF"/>
                  <w14:textFill>
                    <w14:solidFill>
                      <w14:schemeClr w14:val="tx1">
                        <w14:lumMod w14:val="75000"/>
                        <w14:lumOff w14:val="25000"/>
                      </w14:schemeClr>
                    </w14:solidFill>
                  </w14:textFill>
                </w:rPr>
                <w:t>Sincinaty</w:t>
              </w:r>
            </w:p>
          </w:tc>
        </w:tr>
      </w:tbl>
      <w:p w14:paraId="40398D18">
        <w:pPr>
          <w:pStyle w:val="20"/>
          <w:jc w:val="center"/>
          <w:rPr>
            <w:rFonts w:cs="Times New Roman"/>
          </w:rPr>
        </w:pPr>
      </w:p>
    </w:sdtContent>
  </w:sdt>
  <w:p w14:paraId="7AE6989A">
    <w:pPr>
      <w:pStyle w:val="20"/>
      <w:spacing w:line="360" w:lineRule="auto"/>
      <w:jc w:val="center"/>
      <w:rPr>
        <w:rFonts w:cs="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37F9F6"/>
    <w:multiLevelType w:val="multilevel"/>
    <w:tmpl w:val="C037F9F6"/>
    <w:lvl w:ilvl="0" w:tentative="0">
      <w:start w:val="1"/>
      <w:numFmt w:val="decimal"/>
      <w:lvlText w:val="%1."/>
      <w:lvlJc w:val="left"/>
      <w:pPr>
        <w:tabs>
          <w:tab w:val="left" w:pos="425"/>
        </w:tabs>
        <w:ind w:left="425" w:leftChars="0" w:hanging="425" w:firstLineChars="0"/>
      </w:pPr>
      <w:rPr>
        <w:rFonts w:hint="default"/>
        <w:b/>
        <w:bCs/>
      </w:rPr>
    </w:lvl>
    <w:lvl w:ilvl="1" w:tentative="0">
      <w:start w:val="1"/>
      <w:numFmt w:val="decimal"/>
      <w:lvlText w:val="%1.%2."/>
      <w:lvlJc w:val="left"/>
      <w:pPr>
        <w:tabs>
          <w:tab w:val="left" w:pos="850"/>
        </w:tabs>
        <w:ind w:left="850" w:leftChars="0" w:hanging="453" w:firstLineChars="0"/>
      </w:pPr>
      <w:rPr>
        <w:rFonts w:hint="default"/>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B7F"/>
    <w:rsid w:val="00000BF1"/>
    <w:rsid w:val="00004ED0"/>
    <w:rsid w:val="00014B36"/>
    <w:rsid w:val="00015029"/>
    <w:rsid w:val="00025511"/>
    <w:rsid w:val="00026125"/>
    <w:rsid w:val="00030340"/>
    <w:rsid w:val="0003398B"/>
    <w:rsid w:val="00036358"/>
    <w:rsid w:val="00042198"/>
    <w:rsid w:val="000421D2"/>
    <w:rsid w:val="000469A1"/>
    <w:rsid w:val="00047297"/>
    <w:rsid w:val="0004790B"/>
    <w:rsid w:val="00051345"/>
    <w:rsid w:val="000520DF"/>
    <w:rsid w:val="000530FD"/>
    <w:rsid w:val="00057211"/>
    <w:rsid w:val="00057670"/>
    <w:rsid w:val="0006597A"/>
    <w:rsid w:val="00066268"/>
    <w:rsid w:val="00072654"/>
    <w:rsid w:val="000766D5"/>
    <w:rsid w:val="00082DF3"/>
    <w:rsid w:val="0008339D"/>
    <w:rsid w:val="00087569"/>
    <w:rsid w:val="0009533A"/>
    <w:rsid w:val="00096076"/>
    <w:rsid w:val="000963A0"/>
    <w:rsid w:val="000A4F87"/>
    <w:rsid w:val="000A7E9A"/>
    <w:rsid w:val="000B3F03"/>
    <w:rsid w:val="000B7F36"/>
    <w:rsid w:val="000C6E2E"/>
    <w:rsid w:val="000D167E"/>
    <w:rsid w:val="000D2EC6"/>
    <w:rsid w:val="000E24F2"/>
    <w:rsid w:val="000E4EB5"/>
    <w:rsid w:val="000E676C"/>
    <w:rsid w:val="000F3EAA"/>
    <w:rsid w:val="000F734E"/>
    <w:rsid w:val="00104D02"/>
    <w:rsid w:val="00107146"/>
    <w:rsid w:val="00107E00"/>
    <w:rsid w:val="001137F0"/>
    <w:rsid w:val="00134C81"/>
    <w:rsid w:val="00134D25"/>
    <w:rsid w:val="001378D5"/>
    <w:rsid w:val="00141F85"/>
    <w:rsid w:val="00142973"/>
    <w:rsid w:val="00143285"/>
    <w:rsid w:val="00150963"/>
    <w:rsid w:val="00151A45"/>
    <w:rsid w:val="001540AE"/>
    <w:rsid w:val="00161945"/>
    <w:rsid w:val="00161B8C"/>
    <w:rsid w:val="0016302C"/>
    <w:rsid w:val="00163D39"/>
    <w:rsid w:val="00163E4F"/>
    <w:rsid w:val="001666C8"/>
    <w:rsid w:val="0017081F"/>
    <w:rsid w:val="00180DC6"/>
    <w:rsid w:val="00182C7A"/>
    <w:rsid w:val="001832EA"/>
    <w:rsid w:val="00185D17"/>
    <w:rsid w:val="0019160E"/>
    <w:rsid w:val="00193541"/>
    <w:rsid w:val="0019363D"/>
    <w:rsid w:val="00195EE7"/>
    <w:rsid w:val="00197D42"/>
    <w:rsid w:val="001A2AED"/>
    <w:rsid w:val="001A3689"/>
    <w:rsid w:val="001A6110"/>
    <w:rsid w:val="001A6CB0"/>
    <w:rsid w:val="001B74D7"/>
    <w:rsid w:val="001D3DB5"/>
    <w:rsid w:val="001E001B"/>
    <w:rsid w:val="001E0350"/>
    <w:rsid w:val="001E2208"/>
    <w:rsid w:val="001E79C7"/>
    <w:rsid w:val="001F149A"/>
    <w:rsid w:val="001F206C"/>
    <w:rsid w:val="001F3355"/>
    <w:rsid w:val="001F3902"/>
    <w:rsid w:val="001F3A72"/>
    <w:rsid w:val="001F3D82"/>
    <w:rsid w:val="001F4B20"/>
    <w:rsid w:val="001F6ECB"/>
    <w:rsid w:val="002019C6"/>
    <w:rsid w:val="00203137"/>
    <w:rsid w:val="00205D6C"/>
    <w:rsid w:val="00213D61"/>
    <w:rsid w:val="00213EE4"/>
    <w:rsid w:val="002168DC"/>
    <w:rsid w:val="00220C5B"/>
    <w:rsid w:val="002228F5"/>
    <w:rsid w:val="00224E66"/>
    <w:rsid w:val="002254F0"/>
    <w:rsid w:val="00227D4B"/>
    <w:rsid w:val="002308D7"/>
    <w:rsid w:val="002327B1"/>
    <w:rsid w:val="00233FC5"/>
    <w:rsid w:val="002364DD"/>
    <w:rsid w:val="0024153F"/>
    <w:rsid w:val="00241C03"/>
    <w:rsid w:val="00247BD0"/>
    <w:rsid w:val="00250157"/>
    <w:rsid w:val="00253E8C"/>
    <w:rsid w:val="00254D2C"/>
    <w:rsid w:val="00256BE3"/>
    <w:rsid w:val="002629EA"/>
    <w:rsid w:val="00263D1C"/>
    <w:rsid w:val="00267D3B"/>
    <w:rsid w:val="00271086"/>
    <w:rsid w:val="00273123"/>
    <w:rsid w:val="002754E8"/>
    <w:rsid w:val="00275C4E"/>
    <w:rsid w:val="0028054B"/>
    <w:rsid w:val="00284220"/>
    <w:rsid w:val="00291620"/>
    <w:rsid w:val="00295456"/>
    <w:rsid w:val="00296BBB"/>
    <w:rsid w:val="002B2A23"/>
    <w:rsid w:val="002B7A0E"/>
    <w:rsid w:val="002C0712"/>
    <w:rsid w:val="002C2333"/>
    <w:rsid w:val="002C5A1E"/>
    <w:rsid w:val="002C7433"/>
    <w:rsid w:val="002C7BA4"/>
    <w:rsid w:val="002D2C51"/>
    <w:rsid w:val="002D65DD"/>
    <w:rsid w:val="002E0B89"/>
    <w:rsid w:val="002E1A5B"/>
    <w:rsid w:val="002E7432"/>
    <w:rsid w:val="002F10D8"/>
    <w:rsid w:val="002F1B64"/>
    <w:rsid w:val="002F43B5"/>
    <w:rsid w:val="002F686B"/>
    <w:rsid w:val="00302E99"/>
    <w:rsid w:val="003157D7"/>
    <w:rsid w:val="00320B09"/>
    <w:rsid w:val="00321759"/>
    <w:rsid w:val="00323D9C"/>
    <w:rsid w:val="003248C2"/>
    <w:rsid w:val="00340018"/>
    <w:rsid w:val="0034013E"/>
    <w:rsid w:val="00351A1E"/>
    <w:rsid w:val="00352821"/>
    <w:rsid w:val="003531C4"/>
    <w:rsid w:val="0035669F"/>
    <w:rsid w:val="0037416F"/>
    <w:rsid w:val="00381763"/>
    <w:rsid w:val="00383698"/>
    <w:rsid w:val="00393EE5"/>
    <w:rsid w:val="003951C2"/>
    <w:rsid w:val="003A4033"/>
    <w:rsid w:val="003A4902"/>
    <w:rsid w:val="003A5FF8"/>
    <w:rsid w:val="003A7115"/>
    <w:rsid w:val="003A7FC6"/>
    <w:rsid w:val="003B2050"/>
    <w:rsid w:val="003B22F2"/>
    <w:rsid w:val="003C0EB5"/>
    <w:rsid w:val="003C18DE"/>
    <w:rsid w:val="003C2917"/>
    <w:rsid w:val="003C32C0"/>
    <w:rsid w:val="003C4E08"/>
    <w:rsid w:val="003C521F"/>
    <w:rsid w:val="003C7CEE"/>
    <w:rsid w:val="003C7F74"/>
    <w:rsid w:val="003E11F7"/>
    <w:rsid w:val="003E2845"/>
    <w:rsid w:val="003E78D5"/>
    <w:rsid w:val="003F0DDA"/>
    <w:rsid w:val="003F315B"/>
    <w:rsid w:val="004026AF"/>
    <w:rsid w:val="00416818"/>
    <w:rsid w:val="004173D6"/>
    <w:rsid w:val="004175BB"/>
    <w:rsid w:val="00417F4B"/>
    <w:rsid w:val="0042385F"/>
    <w:rsid w:val="00424C59"/>
    <w:rsid w:val="004362CB"/>
    <w:rsid w:val="00447067"/>
    <w:rsid w:val="00450B8B"/>
    <w:rsid w:val="00453E3B"/>
    <w:rsid w:val="00457A82"/>
    <w:rsid w:val="004601D4"/>
    <w:rsid w:val="00470986"/>
    <w:rsid w:val="00472F38"/>
    <w:rsid w:val="00474452"/>
    <w:rsid w:val="00474F30"/>
    <w:rsid w:val="00482E79"/>
    <w:rsid w:val="0048343D"/>
    <w:rsid w:val="00485CF0"/>
    <w:rsid w:val="00494FDD"/>
    <w:rsid w:val="00496E54"/>
    <w:rsid w:val="004A743E"/>
    <w:rsid w:val="004B1480"/>
    <w:rsid w:val="004B2CA4"/>
    <w:rsid w:val="004B68BF"/>
    <w:rsid w:val="004B75B8"/>
    <w:rsid w:val="004C0DDC"/>
    <w:rsid w:val="004C2D4A"/>
    <w:rsid w:val="004C5A2E"/>
    <w:rsid w:val="004C69AF"/>
    <w:rsid w:val="004D08B2"/>
    <w:rsid w:val="004D45B9"/>
    <w:rsid w:val="004E1BD7"/>
    <w:rsid w:val="004E4046"/>
    <w:rsid w:val="004E64F9"/>
    <w:rsid w:val="004F47DB"/>
    <w:rsid w:val="004F47F2"/>
    <w:rsid w:val="004F6064"/>
    <w:rsid w:val="004F6CE8"/>
    <w:rsid w:val="004F7935"/>
    <w:rsid w:val="00501593"/>
    <w:rsid w:val="005070EB"/>
    <w:rsid w:val="00510632"/>
    <w:rsid w:val="0051279A"/>
    <w:rsid w:val="00520A61"/>
    <w:rsid w:val="005213E5"/>
    <w:rsid w:val="005269DE"/>
    <w:rsid w:val="0053134C"/>
    <w:rsid w:val="00533F7C"/>
    <w:rsid w:val="00534CA8"/>
    <w:rsid w:val="00536E6F"/>
    <w:rsid w:val="00540AE3"/>
    <w:rsid w:val="00543C70"/>
    <w:rsid w:val="0055002B"/>
    <w:rsid w:val="0055022F"/>
    <w:rsid w:val="0055228A"/>
    <w:rsid w:val="00555D8B"/>
    <w:rsid w:val="00555E04"/>
    <w:rsid w:val="00560D4C"/>
    <w:rsid w:val="00561E36"/>
    <w:rsid w:val="005646EE"/>
    <w:rsid w:val="00567C62"/>
    <w:rsid w:val="0057087F"/>
    <w:rsid w:val="005777AB"/>
    <w:rsid w:val="00582EFB"/>
    <w:rsid w:val="00587A8A"/>
    <w:rsid w:val="005930C0"/>
    <w:rsid w:val="005A0C04"/>
    <w:rsid w:val="005A7ABC"/>
    <w:rsid w:val="005B0CF0"/>
    <w:rsid w:val="005B4483"/>
    <w:rsid w:val="005B512C"/>
    <w:rsid w:val="005C2D00"/>
    <w:rsid w:val="005C3ADC"/>
    <w:rsid w:val="005C4736"/>
    <w:rsid w:val="005D13C8"/>
    <w:rsid w:val="005D192C"/>
    <w:rsid w:val="005D2C8E"/>
    <w:rsid w:val="005D6B12"/>
    <w:rsid w:val="005E2A53"/>
    <w:rsid w:val="005E2CE7"/>
    <w:rsid w:val="005E751A"/>
    <w:rsid w:val="00606249"/>
    <w:rsid w:val="00620022"/>
    <w:rsid w:val="00642567"/>
    <w:rsid w:val="00644E81"/>
    <w:rsid w:val="0064530C"/>
    <w:rsid w:val="006468DD"/>
    <w:rsid w:val="0064735D"/>
    <w:rsid w:val="006520EE"/>
    <w:rsid w:val="00653C1A"/>
    <w:rsid w:val="00654BF2"/>
    <w:rsid w:val="00661629"/>
    <w:rsid w:val="0066256D"/>
    <w:rsid w:val="00662A49"/>
    <w:rsid w:val="00663A86"/>
    <w:rsid w:val="00670346"/>
    <w:rsid w:val="00673E38"/>
    <w:rsid w:val="00674229"/>
    <w:rsid w:val="006769BA"/>
    <w:rsid w:val="00684F41"/>
    <w:rsid w:val="0069166C"/>
    <w:rsid w:val="00693040"/>
    <w:rsid w:val="0069586B"/>
    <w:rsid w:val="006A049C"/>
    <w:rsid w:val="006A1675"/>
    <w:rsid w:val="006A3F3F"/>
    <w:rsid w:val="006A64D3"/>
    <w:rsid w:val="006A7DE6"/>
    <w:rsid w:val="006B5C54"/>
    <w:rsid w:val="006C206A"/>
    <w:rsid w:val="006C63E4"/>
    <w:rsid w:val="006D10C9"/>
    <w:rsid w:val="006D3C38"/>
    <w:rsid w:val="006E002C"/>
    <w:rsid w:val="006E2D3F"/>
    <w:rsid w:val="006E3A8A"/>
    <w:rsid w:val="006E64E1"/>
    <w:rsid w:val="006F4706"/>
    <w:rsid w:val="006F7FC2"/>
    <w:rsid w:val="00706BB2"/>
    <w:rsid w:val="00707DE3"/>
    <w:rsid w:val="00711F98"/>
    <w:rsid w:val="00716F35"/>
    <w:rsid w:val="00720C3E"/>
    <w:rsid w:val="00721EDC"/>
    <w:rsid w:val="007266C1"/>
    <w:rsid w:val="007278E5"/>
    <w:rsid w:val="0073020C"/>
    <w:rsid w:val="00735571"/>
    <w:rsid w:val="007436D2"/>
    <w:rsid w:val="0074634C"/>
    <w:rsid w:val="00746599"/>
    <w:rsid w:val="00764114"/>
    <w:rsid w:val="00766661"/>
    <w:rsid w:val="00767878"/>
    <w:rsid w:val="0077059A"/>
    <w:rsid w:val="00772144"/>
    <w:rsid w:val="00772808"/>
    <w:rsid w:val="00773B74"/>
    <w:rsid w:val="00774BDB"/>
    <w:rsid w:val="00776E3A"/>
    <w:rsid w:val="007835E2"/>
    <w:rsid w:val="0078382B"/>
    <w:rsid w:val="00783C24"/>
    <w:rsid w:val="0078753E"/>
    <w:rsid w:val="00791F81"/>
    <w:rsid w:val="00794E63"/>
    <w:rsid w:val="007A1348"/>
    <w:rsid w:val="007A28A2"/>
    <w:rsid w:val="007A433A"/>
    <w:rsid w:val="007B69CC"/>
    <w:rsid w:val="007B7DDE"/>
    <w:rsid w:val="007C6590"/>
    <w:rsid w:val="007D0BE4"/>
    <w:rsid w:val="007D0D04"/>
    <w:rsid w:val="007D21A7"/>
    <w:rsid w:val="007E01A0"/>
    <w:rsid w:val="007E3B8F"/>
    <w:rsid w:val="007F51CD"/>
    <w:rsid w:val="007F71CC"/>
    <w:rsid w:val="008034E2"/>
    <w:rsid w:val="00813C75"/>
    <w:rsid w:val="008140A7"/>
    <w:rsid w:val="00814A41"/>
    <w:rsid w:val="00821C46"/>
    <w:rsid w:val="00821EFB"/>
    <w:rsid w:val="00824751"/>
    <w:rsid w:val="0082478D"/>
    <w:rsid w:val="00835253"/>
    <w:rsid w:val="00842475"/>
    <w:rsid w:val="008432AC"/>
    <w:rsid w:val="00846357"/>
    <w:rsid w:val="00846417"/>
    <w:rsid w:val="008647C7"/>
    <w:rsid w:val="00864E08"/>
    <w:rsid w:val="00870D1F"/>
    <w:rsid w:val="008775D2"/>
    <w:rsid w:val="0088025C"/>
    <w:rsid w:val="00880D2C"/>
    <w:rsid w:val="0088176B"/>
    <w:rsid w:val="00886961"/>
    <w:rsid w:val="0089232E"/>
    <w:rsid w:val="0089569B"/>
    <w:rsid w:val="008A7089"/>
    <w:rsid w:val="008B0D4E"/>
    <w:rsid w:val="008B5D82"/>
    <w:rsid w:val="008B65E9"/>
    <w:rsid w:val="008B7C7B"/>
    <w:rsid w:val="008C0727"/>
    <w:rsid w:val="008D3088"/>
    <w:rsid w:val="008D4921"/>
    <w:rsid w:val="008E07DD"/>
    <w:rsid w:val="008E5DB0"/>
    <w:rsid w:val="008F7096"/>
    <w:rsid w:val="0090094F"/>
    <w:rsid w:val="00910211"/>
    <w:rsid w:val="009105E4"/>
    <w:rsid w:val="009219A9"/>
    <w:rsid w:val="00922811"/>
    <w:rsid w:val="009259D6"/>
    <w:rsid w:val="00934DA8"/>
    <w:rsid w:val="00940532"/>
    <w:rsid w:val="0094207F"/>
    <w:rsid w:val="009469C7"/>
    <w:rsid w:val="0095473D"/>
    <w:rsid w:val="00960093"/>
    <w:rsid w:val="00961628"/>
    <w:rsid w:val="00965EDF"/>
    <w:rsid w:val="00971244"/>
    <w:rsid w:val="00973875"/>
    <w:rsid w:val="00975E09"/>
    <w:rsid w:val="00976264"/>
    <w:rsid w:val="00976CB2"/>
    <w:rsid w:val="00980B64"/>
    <w:rsid w:val="009831C1"/>
    <w:rsid w:val="009832B7"/>
    <w:rsid w:val="009842B6"/>
    <w:rsid w:val="00984FC2"/>
    <w:rsid w:val="00985004"/>
    <w:rsid w:val="00990306"/>
    <w:rsid w:val="00990A12"/>
    <w:rsid w:val="009912F9"/>
    <w:rsid w:val="009931FA"/>
    <w:rsid w:val="009A326A"/>
    <w:rsid w:val="009B0024"/>
    <w:rsid w:val="009B05E2"/>
    <w:rsid w:val="009B0D22"/>
    <w:rsid w:val="009B5A62"/>
    <w:rsid w:val="009B5D37"/>
    <w:rsid w:val="009C28DF"/>
    <w:rsid w:val="009C4AE4"/>
    <w:rsid w:val="009C5FDD"/>
    <w:rsid w:val="009C62B0"/>
    <w:rsid w:val="009D3AAE"/>
    <w:rsid w:val="009D5648"/>
    <w:rsid w:val="009E032E"/>
    <w:rsid w:val="009F1430"/>
    <w:rsid w:val="009F2EF0"/>
    <w:rsid w:val="009F4ADC"/>
    <w:rsid w:val="009F6169"/>
    <w:rsid w:val="009F7D4D"/>
    <w:rsid w:val="009F7D60"/>
    <w:rsid w:val="00A03F2F"/>
    <w:rsid w:val="00A054CE"/>
    <w:rsid w:val="00A13B1C"/>
    <w:rsid w:val="00A1517A"/>
    <w:rsid w:val="00A165C3"/>
    <w:rsid w:val="00A2303E"/>
    <w:rsid w:val="00A26AB0"/>
    <w:rsid w:val="00A30C7B"/>
    <w:rsid w:val="00A36DC5"/>
    <w:rsid w:val="00A416DD"/>
    <w:rsid w:val="00A467C1"/>
    <w:rsid w:val="00A47B00"/>
    <w:rsid w:val="00A47D63"/>
    <w:rsid w:val="00A555E0"/>
    <w:rsid w:val="00A64510"/>
    <w:rsid w:val="00A7222C"/>
    <w:rsid w:val="00A75043"/>
    <w:rsid w:val="00A80011"/>
    <w:rsid w:val="00A80654"/>
    <w:rsid w:val="00A815DA"/>
    <w:rsid w:val="00A81A69"/>
    <w:rsid w:val="00A81B2F"/>
    <w:rsid w:val="00A940BB"/>
    <w:rsid w:val="00A97C23"/>
    <w:rsid w:val="00AA62DD"/>
    <w:rsid w:val="00AB50EF"/>
    <w:rsid w:val="00AC061C"/>
    <w:rsid w:val="00AC0C4D"/>
    <w:rsid w:val="00AC1903"/>
    <w:rsid w:val="00AC486D"/>
    <w:rsid w:val="00AC48D7"/>
    <w:rsid w:val="00AC7F9C"/>
    <w:rsid w:val="00AE1366"/>
    <w:rsid w:val="00AE2A76"/>
    <w:rsid w:val="00AE39AE"/>
    <w:rsid w:val="00AE3EF9"/>
    <w:rsid w:val="00AE6DFB"/>
    <w:rsid w:val="00AE7979"/>
    <w:rsid w:val="00AF0CF8"/>
    <w:rsid w:val="00AF5D48"/>
    <w:rsid w:val="00B0785C"/>
    <w:rsid w:val="00B10ACE"/>
    <w:rsid w:val="00B116BF"/>
    <w:rsid w:val="00B11CA0"/>
    <w:rsid w:val="00B125C7"/>
    <w:rsid w:val="00B25015"/>
    <w:rsid w:val="00B27902"/>
    <w:rsid w:val="00B30FFB"/>
    <w:rsid w:val="00B3672D"/>
    <w:rsid w:val="00B404D2"/>
    <w:rsid w:val="00B45627"/>
    <w:rsid w:val="00B52C3D"/>
    <w:rsid w:val="00B568E8"/>
    <w:rsid w:val="00B60075"/>
    <w:rsid w:val="00B71E11"/>
    <w:rsid w:val="00B76BD9"/>
    <w:rsid w:val="00B770B1"/>
    <w:rsid w:val="00B820A6"/>
    <w:rsid w:val="00B83D8D"/>
    <w:rsid w:val="00B8743E"/>
    <w:rsid w:val="00B91B1C"/>
    <w:rsid w:val="00B91DDE"/>
    <w:rsid w:val="00B94297"/>
    <w:rsid w:val="00B950E2"/>
    <w:rsid w:val="00B95FD6"/>
    <w:rsid w:val="00BA18FC"/>
    <w:rsid w:val="00BB3304"/>
    <w:rsid w:val="00BB4915"/>
    <w:rsid w:val="00BB5558"/>
    <w:rsid w:val="00BB69D0"/>
    <w:rsid w:val="00BC0559"/>
    <w:rsid w:val="00BC201C"/>
    <w:rsid w:val="00BD61FD"/>
    <w:rsid w:val="00BE0890"/>
    <w:rsid w:val="00BE4828"/>
    <w:rsid w:val="00BE70A0"/>
    <w:rsid w:val="00BF6EA3"/>
    <w:rsid w:val="00C033F6"/>
    <w:rsid w:val="00C03BAD"/>
    <w:rsid w:val="00C13D38"/>
    <w:rsid w:val="00C20655"/>
    <w:rsid w:val="00C2183A"/>
    <w:rsid w:val="00C22AD9"/>
    <w:rsid w:val="00C22ADE"/>
    <w:rsid w:val="00C237A2"/>
    <w:rsid w:val="00C3577D"/>
    <w:rsid w:val="00C40836"/>
    <w:rsid w:val="00C438B3"/>
    <w:rsid w:val="00C45B7F"/>
    <w:rsid w:val="00C45FBF"/>
    <w:rsid w:val="00C575C8"/>
    <w:rsid w:val="00C64287"/>
    <w:rsid w:val="00C64A66"/>
    <w:rsid w:val="00C6525D"/>
    <w:rsid w:val="00C67323"/>
    <w:rsid w:val="00C773F4"/>
    <w:rsid w:val="00C80975"/>
    <w:rsid w:val="00C8335A"/>
    <w:rsid w:val="00C833FF"/>
    <w:rsid w:val="00CA0074"/>
    <w:rsid w:val="00CA1E74"/>
    <w:rsid w:val="00CA475C"/>
    <w:rsid w:val="00CA6A28"/>
    <w:rsid w:val="00CC0E8C"/>
    <w:rsid w:val="00CD2231"/>
    <w:rsid w:val="00CD3CB1"/>
    <w:rsid w:val="00CD3D20"/>
    <w:rsid w:val="00CD7099"/>
    <w:rsid w:val="00CE1E99"/>
    <w:rsid w:val="00CE3016"/>
    <w:rsid w:val="00CE313B"/>
    <w:rsid w:val="00CE3E69"/>
    <w:rsid w:val="00CE7F64"/>
    <w:rsid w:val="00CF267B"/>
    <w:rsid w:val="00CF444F"/>
    <w:rsid w:val="00D05384"/>
    <w:rsid w:val="00D05469"/>
    <w:rsid w:val="00D073FB"/>
    <w:rsid w:val="00D34D8B"/>
    <w:rsid w:val="00D35418"/>
    <w:rsid w:val="00D3552B"/>
    <w:rsid w:val="00D40356"/>
    <w:rsid w:val="00D427D4"/>
    <w:rsid w:val="00D456B1"/>
    <w:rsid w:val="00D52212"/>
    <w:rsid w:val="00D542D7"/>
    <w:rsid w:val="00D61899"/>
    <w:rsid w:val="00D639AE"/>
    <w:rsid w:val="00D64455"/>
    <w:rsid w:val="00D67608"/>
    <w:rsid w:val="00D67E3A"/>
    <w:rsid w:val="00D728BA"/>
    <w:rsid w:val="00D74D64"/>
    <w:rsid w:val="00D75F2C"/>
    <w:rsid w:val="00D832D9"/>
    <w:rsid w:val="00D859DD"/>
    <w:rsid w:val="00D90560"/>
    <w:rsid w:val="00D92510"/>
    <w:rsid w:val="00D92F36"/>
    <w:rsid w:val="00D93BBF"/>
    <w:rsid w:val="00DB2C2F"/>
    <w:rsid w:val="00DB46FE"/>
    <w:rsid w:val="00DB4AAE"/>
    <w:rsid w:val="00DB633F"/>
    <w:rsid w:val="00DC12FC"/>
    <w:rsid w:val="00DC2FB6"/>
    <w:rsid w:val="00DC36EA"/>
    <w:rsid w:val="00DC3BBE"/>
    <w:rsid w:val="00DD144E"/>
    <w:rsid w:val="00DD77D6"/>
    <w:rsid w:val="00DD7F10"/>
    <w:rsid w:val="00DE4E71"/>
    <w:rsid w:val="00DE7141"/>
    <w:rsid w:val="00DF25C6"/>
    <w:rsid w:val="00DF2655"/>
    <w:rsid w:val="00DF2923"/>
    <w:rsid w:val="00DF2C49"/>
    <w:rsid w:val="00DF3C67"/>
    <w:rsid w:val="00E006E4"/>
    <w:rsid w:val="00E013CF"/>
    <w:rsid w:val="00E17C10"/>
    <w:rsid w:val="00E26204"/>
    <w:rsid w:val="00E266EE"/>
    <w:rsid w:val="00E30190"/>
    <w:rsid w:val="00E33969"/>
    <w:rsid w:val="00E363D8"/>
    <w:rsid w:val="00E367F6"/>
    <w:rsid w:val="00E43B7F"/>
    <w:rsid w:val="00E523E6"/>
    <w:rsid w:val="00E55290"/>
    <w:rsid w:val="00E60039"/>
    <w:rsid w:val="00E66B34"/>
    <w:rsid w:val="00E67938"/>
    <w:rsid w:val="00E71CF1"/>
    <w:rsid w:val="00E769A4"/>
    <w:rsid w:val="00E774D6"/>
    <w:rsid w:val="00E80613"/>
    <w:rsid w:val="00E8317E"/>
    <w:rsid w:val="00E856F6"/>
    <w:rsid w:val="00E86E16"/>
    <w:rsid w:val="00E86EC0"/>
    <w:rsid w:val="00E9510B"/>
    <w:rsid w:val="00E976CC"/>
    <w:rsid w:val="00EA0203"/>
    <w:rsid w:val="00EA1CB1"/>
    <w:rsid w:val="00EA1FFC"/>
    <w:rsid w:val="00EA428A"/>
    <w:rsid w:val="00EA65CE"/>
    <w:rsid w:val="00EB385E"/>
    <w:rsid w:val="00ED1729"/>
    <w:rsid w:val="00ED37A2"/>
    <w:rsid w:val="00EE2E4E"/>
    <w:rsid w:val="00EE7CEB"/>
    <w:rsid w:val="00EF227A"/>
    <w:rsid w:val="00EF5D5E"/>
    <w:rsid w:val="00F02896"/>
    <w:rsid w:val="00F051CF"/>
    <w:rsid w:val="00F0613C"/>
    <w:rsid w:val="00F075FA"/>
    <w:rsid w:val="00F10A1A"/>
    <w:rsid w:val="00F11204"/>
    <w:rsid w:val="00F16E32"/>
    <w:rsid w:val="00F2717E"/>
    <w:rsid w:val="00F273CF"/>
    <w:rsid w:val="00F3119B"/>
    <w:rsid w:val="00F33261"/>
    <w:rsid w:val="00F33737"/>
    <w:rsid w:val="00F416D7"/>
    <w:rsid w:val="00F561EB"/>
    <w:rsid w:val="00F57CE7"/>
    <w:rsid w:val="00F6028C"/>
    <w:rsid w:val="00F60821"/>
    <w:rsid w:val="00F63850"/>
    <w:rsid w:val="00F700E1"/>
    <w:rsid w:val="00F7194D"/>
    <w:rsid w:val="00F75302"/>
    <w:rsid w:val="00F75975"/>
    <w:rsid w:val="00F77524"/>
    <w:rsid w:val="00F77A04"/>
    <w:rsid w:val="00F83FAE"/>
    <w:rsid w:val="00F87242"/>
    <w:rsid w:val="00F923C8"/>
    <w:rsid w:val="00F92A84"/>
    <w:rsid w:val="00F93D8D"/>
    <w:rsid w:val="00F94F95"/>
    <w:rsid w:val="00FA06C2"/>
    <w:rsid w:val="00FA1E02"/>
    <w:rsid w:val="00FB24EC"/>
    <w:rsid w:val="00FB52E5"/>
    <w:rsid w:val="00FC2027"/>
    <w:rsid w:val="00FC387E"/>
    <w:rsid w:val="00FC7E67"/>
    <w:rsid w:val="00FD2201"/>
    <w:rsid w:val="00FD6E59"/>
    <w:rsid w:val="00FE5B97"/>
    <w:rsid w:val="00FF0012"/>
    <w:rsid w:val="00FF1A19"/>
    <w:rsid w:val="00FF1C15"/>
    <w:rsid w:val="15AA2ADB"/>
    <w:rsid w:val="1797584E"/>
    <w:rsid w:val="19231D27"/>
    <w:rsid w:val="19740CDA"/>
    <w:rsid w:val="1D44273D"/>
    <w:rsid w:val="201E3366"/>
    <w:rsid w:val="24036476"/>
    <w:rsid w:val="2E7400A6"/>
    <w:rsid w:val="32FD5B5A"/>
    <w:rsid w:val="33FB0929"/>
    <w:rsid w:val="34B83986"/>
    <w:rsid w:val="471665E3"/>
    <w:rsid w:val="4B0774F7"/>
    <w:rsid w:val="53917196"/>
    <w:rsid w:val="5FE97F49"/>
    <w:rsid w:val="6ABF09D7"/>
    <w:rsid w:val="6FD72B12"/>
    <w:rsid w:val="72E4478C"/>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uiPriority="39" w:name="toc 6"/>
    <w:lsdException w:uiPriority="39" w:name="toc 7"/>
    <w:lsdException w:uiPriority="39" w:name="toc 8"/>
    <w:lsdException w:uiPriority="39" w:name="toc 9"/>
    <w:lsdException w:uiPriority="99" w:name="Normal Indent"/>
    <w:lsdException w:qFormat="1" w:unhideWhenUsed="0"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qFormat="1" w:unhideWhenUsed="0"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iPriority="0" w:semiHidden="0"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jc w:val="both"/>
    </w:pPr>
    <w:rPr>
      <w:rFonts w:ascii="Times New Roman" w:hAnsi="Times New Roman" w:eastAsiaTheme="minorEastAsia" w:cstheme="minorBidi"/>
      <w:sz w:val="24"/>
      <w:szCs w:val="22"/>
      <w:lang w:val="es-CO" w:eastAsia="es-CO" w:bidi="ar-SA"/>
    </w:rPr>
  </w:style>
  <w:style w:type="paragraph" w:styleId="2">
    <w:name w:val="heading 1"/>
    <w:basedOn w:val="1"/>
    <w:next w:val="1"/>
    <w:link w:val="50"/>
    <w:qFormat/>
    <w:uiPriority w:val="9"/>
    <w:pPr>
      <w:keepNext/>
      <w:keepLines/>
      <w:spacing w:before="240" w:after="0"/>
      <w:jc w:val="center"/>
      <w:outlineLvl w:val="0"/>
    </w:pPr>
    <w:rPr>
      <w:rFonts w:eastAsiaTheme="majorEastAsia" w:cstheme="majorBidi"/>
      <w:b/>
      <w:color w:val="000000" w:themeColor="text1"/>
      <w:szCs w:val="32"/>
      <w14:textFill>
        <w14:solidFill>
          <w14:schemeClr w14:val="tx1"/>
        </w14:solidFill>
      </w14:textFill>
    </w:rPr>
  </w:style>
  <w:style w:type="paragraph" w:styleId="3">
    <w:name w:val="heading 2"/>
    <w:basedOn w:val="1"/>
    <w:next w:val="1"/>
    <w:link w:val="52"/>
    <w:unhideWhenUsed/>
    <w:qFormat/>
    <w:uiPriority w:val="9"/>
    <w:pPr>
      <w:keepNext/>
      <w:keepLines/>
      <w:spacing w:before="40" w:after="0"/>
      <w:jc w:val="left"/>
      <w:outlineLvl w:val="1"/>
    </w:pPr>
    <w:rPr>
      <w:rFonts w:eastAsiaTheme="majorEastAsia" w:cstheme="majorBidi"/>
      <w:b/>
      <w:color w:val="000000" w:themeColor="text1"/>
      <w:szCs w:val="26"/>
      <w14:textFill>
        <w14:solidFill>
          <w14:schemeClr w14:val="tx1"/>
        </w14:solidFill>
      </w14:textFill>
    </w:rPr>
  </w:style>
  <w:style w:type="paragraph" w:styleId="4">
    <w:name w:val="heading 3"/>
    <w:basedOn w:val="1"/>
    <w:link w:val="37"/>
    <w:qFormat/>
    <w:uiPriority w:val="9"/>
    <w:pPr>
      <w:spacing w:before="100" w:beforeAutospacing="1" w:after="100" w:afterAutospacing="1" w:line="240" w:lineRule="auto"/>
      <w:outlineLvl w:val="2"/>
    </w:pPr>
    <w:rPr>
      <w:rFonts w:eastAsia="Times New Roman" w:cs="Times New Roman"/>
      <w:b/>
      <w:bCs/>
      <w:sz w:val="27"/>
      <w:szCs w:val="27"/>
      <w:lang w:val="es-ES" w:eastAsia="es-ES"/>
    </w:rPr>
  </w:style>
  <w:style w:type="paragraph" w:styleId="5">
    <w:name w:val="heading 4"/>
    <w:basedOn w:val="1"/>
    <w:next w:val="1"/>
    <w:link w:val="53"/>
    <w:unhideWhenUsed/>
    <w:qFormat/>
    <w:uiPriority w:val="9"/>
    <w:pPr>
      <w:keepNext/>
      <w:keepLines/>
      <w:spacing w:before="40" w:after="0"/>
      <w:outlineLvl w:val="3"/>
    </w:pPr>
    <w:rPr>
      <w:rFonts w:asciiTheme="majorHAnsi" w:hAnsiTheme="majorHAnsi" w:eastAsiaTheme="majorEastAsia" w:cstheme="majorBidi"/>
      <w:i/>
      <w:iCs/>
      <w:color w:val="376092" w:themeColor="accent1" w:themeShade="BF"/>
    </w:rPr>
  </w:style>
  <w:style w:type="paragraph" w:styleId="6">
    <w:name w:val="heading 5"/>
    <w:basedOn w:val="1"/>
    <w:next w:val="1"/>
    <w:link w:val="54"/>
    <w:unhideWhenUsed/>
    <w:qFormat/>
    <w:uiPriority w:val="9"/>
    <w:pPr>
      <w:keepNext/>
      <w:keepLines/>
      <w:spacing w:before="40" w:after="0"/>
      <w:outlineLvl w:val="4"/>
    </w:pPr>
    <w:rPr>
      <w:rFonts w:asciiTheme="majorHAnsi" w:hAnsiTheme="majorHAnsi" w:eastAsiaTheme="majorEastAsia" w:cstheme="majorBidi"/>
      <w:color w:val="376092" w:themeColor="accent1" w:themeShade="BF"/>
    </w:rPr>
  </w:style>
  <w:style w:type="character" w:default="1" w:styleId="7">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46"/>
    <w:semiHidden/>
    <w:unhideWhenUsed/>
    <w:qFormat/>
    <w:uiPriority w:val="99"/>
    <w:pPr>
      <w:spacing w:after="0" w:line="240" w:lineRule="auto"/>
    </w:pPr>
    <w:rPr>
      <w:rFonts w:ascii="Tahoma" w:hAnsi="Tahoma" w:eastAsia="Times New Roman" w:cs="Tahoma"/>
      <w:sz w:val="16"/>
      <w:szCs w:val="16"/>
    </w:rPr>
  </w:style>
  <w:style w:type="paragraph" w:styleId="10">
    <w:name w:val="Body Text 3"/>
    <w:basedOn w:val="1"/>
    <w:link w:val="49"/>
    <w:unhideWhenUsed/>
    <w:qFormat/>
    <w:uiPriority w:val="0"/>
    <w:pPr>
      <w:suppressAutoHyphens/>
      <w:spacing w:after="120" w:line="240" w:lineRule="auto"/>
    </w:pPr>
    <w:rPr>
      <w:rFonts w:eastAsia="Times New Roman" w:cs="Calibri"/>
      <w:sz w:val="16"/>
      <w:szCs w:val="16"/>
      <w:lang w:eastAsia="ar-SA"/>
    </w:rPr>
  </w:style>
  <w:style w:type="paragraph" w:styleId="11">
    <w:name w:val="caption"/>
    <w:basedOn w:val="1"/>
    <w:next w:val="1"/>
    <w:semiHidden/>
    <w:unhideWhenUsed/>
    <w:qFormat/>
    <w:uiPriority w:val="35"/>
    <w:rPr>
      <w:rFonts w:ascii="Arial" w:hAnsi="Arial" w:eastAsia="SimHei" w:cs="Arial"/>
      <w:sz w:val="20"/>
    </w:rPr>
  </w:style>
  <w:style w:type="character" w:styleId="12">
    <w:name w:val="annotation reference"/>
    <w:semiHidden/>
    <w:unhideWhenUsed/>
    <w:qFormat/>
    <w:uiPriority w:val="99"/>
    <w:rPr>
      <w:sz w:val="16"/>
      <w:szCs w:val="16"/>
    </w:rPr>
  </w:style>
  <w:style w:type="paragraph" w:styleId="13">
    <w:name w:val="annotation text"/>
    <w:basedOn w:val="1"/>
    <w:link w:val="44"/>
    <w:semiHidden/>
    <w:unhideWhenUsed/>
    <w:qFormat/>
    <w:uiPriority w:val="99"/>
    <w:rPr>
      <w:rFonts w:ascii="Calibri" w:hAnsi="Calibri" w:eastAsia="Times New Roman" w:cs="Times New Roman"/>
      <w:sz w:val="20"/>
      <w:szCs w:val="20"/>
    </w:rPr>
  </w:style>
  <w:style w:type="paragraph" w:styleId="14">
    <w:name w:val="annotation subject"/>
    <w:basedOn w:val="13"/>
    <w:next w:val="13"/>
    <w:link w:val="45"/>
    <w:semiHidden/>
    <w:unhideWhenUsed/>
    <w:qFormat/>
    <w:uiPriority w:val="99"/>
    <w:rPr>
      <w:b/>
      <w:bCs/>
    </w:rPr>
  </w:style>
  <w:style w:type="character" w:styleId="15">
    <w:name w:val="Emphasis"/>
    <w:basedOn w:val="7"/>
    <w:qFormat/>
    <w:uiPriority w:val="20"/>
    <w:rPr>
      <w:i/>
      <w:iCs/>
    </w:rPr>
  </w:style>
  <w:style w:type="paragraph" w:styleId="16">
    <w:name w:val="endnote text"/>
    <w:basedOn w:val="1"/>
    <w:link w:val="41"/>
    <w:semiHidden/>
    <w:qFormat/>
    <w:uiPriority w:val="99"/>
    <w:pPr>
      <w:suppressAutoHyphens/>
      <w:spacing w:after="0" w:line="360" w:lineRule="auto"/>
    </w:pPr>
    <w:rPr>
      <w:rFonts w:ascii="Arial" w:hAnsi="Arial" w:eastAsia="Times New Roman" w:cs="Arial"/>
      <w:sz w:val="20"/>
      <w:szCs w:val="20"/>
      <w:lang w:eastAsia="ar-SA"/>
    </w:rPr>
  </w:style>
  <w:style w:type="paragraph" w:styleId="17">
    <w:name w:val="footer"/>
    <w:basedOn w:val="1"/>
    <w:link w:val="33"/>
    <w:unhideWhenUsed/>
    <w:qFormat/>
    <w:uiPriority w:val="99"/>
    <w:pPr>
      <w:tabs>
        <w:tab w:val="center" w:pos="4419"/>
        <w:tab w:val="right" w:pos="8838"/>
      </w:tabs>
      <w:spacing w:after="0" w:line="240" w:lineRule="auto"/>
    </w:pPr>
  </w:style>
  <w:style w:type="character" w:styleId="18">
    <w:name w:val="footnote reference"/>
    <w:basedOn w:val="7"/>
    <w:semiHidden/>
    <w:unhideWhenUsed/>
    <w:qFormat/>
    <w:uiPriority w:val="99"/>
    <w:rPr>
      <w:vertAlign w:val="superscript"/>
    </w:rPr>
  </w:style>
  <w:style w:type="paragraph" w:styleId="19">
    <w:name w:val="footnote text"/>
    <w:basedOn w:val="1"/>
    <w:link w:val="40"/>
    <w:semiHidden/>
    <w:qFormat/>
    <w:uiPriority w:val="99"/>
    <w:pPr>
      <w:suppressAutoHyphens/>
      <w:spacing w:after="0" w:line="360" w:lineRule="auto"/>
    </w:pPr>
    <w:rPr>
      <w:rFonts w:ascii="Arial" w:hAnsi="Arial" w:eastAsia="Times New Roman" w:cs="Arial"/>
      <w:sz w:val="20"/>
      <w:szCs w:val="20"/>
      <w:lang w:eastAsia="ar-SA"/>
    </w:rPr>
  </w:style>
  <w:style w:type="paragraph" w:styleId="20">
    <w:name w:val="header"/>
    <w:basedOn w:val="1"/>
    <w:link w:val="32"/>
    <w:unhideWhenUsed/>
    <w:qFormat/>
    <w:uiPriority w:val="99"/>
    <w:pPr>
      <w:tabs>
        <w:tab w:val="center" w:pos="4419"/>
        <w:tab w:val="right" w:pos="8838"/>
      </w:tabs>
      <w:spacing w:after="0" w:line="240" w:lineRule="auto"/>
    </w:pPr>
  </w:style>
  <w:style w:type="character" w:styleId="21">
    <w:name w:val="Hyperlink"/>
    <w:qFormat/>
    <w:uiPriority w:val="99"/>
    <w:rPr>
      <w:rFonts w:cs="Times New Roman"/>
      <w:color w:val="0000FF"/>
      <w:u w:val="single"/>
    </w:rPr>
  </w:style>
  <w:style w:type="paragraph" w:styleId="22">
    <w:name w:val="Normal (Web)"/>
    <w:basedOn w:val="1"/>
    <w:semiHidden/>
    <w:unhideWhenUsed/>
    <w:qFormat/>
    <w:uiPriority w:val="99"/>
    <w:pPr>
      <w:spacing w:before="100" w:beforeAutospacing="1" w:after="100" w:afterAutospacing="1" w:line="240" w:lineRule="auto"/>
    </w:pPr>
    <w:rPr>
      <w:rFonts w:eastAsia="Times New Roman" w:cs="Times New Roman"/>
      <w:szCs w:val="24"/>
      <w:lang w:eastAsia="es-ES"/>
    </w:rPr>
  </w:style>
  <w:style w:type="character" w:styleId="23">
    <w:name w:val="page number"/>
    <w:basedOn w:val="7"/>
    <w:qFormat/>
    <w:uiPriority w:val="0"/>
  </w:style>
  <w:style w:type="paragraph" w:styleId="24">
    <w:name w:val="Plain Text"/>
    <w:basedOn w:val="1"/>
    <w:link w:val="43"/>
    <w:qFormat/>
    <w:uiPriority w:val="0"/>
    <w:pPr>
      <w:spacing w:after="0" w:line="240" w:lineRule="auto"/>
    </w:pPr>
    <w:rPr>
      <w:rFonts w:ascii="Courier New" w:hAnsi="Courier New" w:eastAsia="Times New Roman" w:cs="Times New Roman"/>
      <w:sz w:val="20"/>
      <w:szCs w:val="20"/>
      <w:lang w:val="es-ES" w:eastAsia="es-ES"/>
    </w:rPr>
  </w:style>
  <w:style w:type="character" w:styleId="25">
    <w:name w:val="Strong"/>
    <w:basedOn w:val="7"/>
    <w:qFormat/>
    <w:uiPriority w:val="22"/>
    <w:rPr>
      <w:b/>
      <w:bCs/>
    </w:rPr>
  </w:style>
  <w:style w:type="table" w:styleId="26">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7">
    <w:name w:val="toc 1"/>
    <w:basedOn w:val="1"/>
    <w:next w:val="1"/>
    <w:autoRedefine/>
    <w:unhideWhenUsed/>
    <w:qFormat/>
    <w:uiPriority w:val="39"/>
    <w:pPr>
      <w:spacing w:after="100"/>
    </w:pPr>
  </w:style>
  <w:style w:type="paragraph" w:styleId="28">
    <w:name w:val="toc 2"/>
    <w:basedOn w:val="1"/>
    <w:next w:val="1"/>
    <w:autoRedefine/>
    <w:unhideWhenUsed/>
    <w:qFormat/>
    <w:uiPriority w:val="39"/>
    <w:pPr>
      <w:tabs>
        <w:tab w:val="right" w:leader="dot" w:pos="9350"/>
      </w:tabs>
      <w:spacing w:after="100"/>
    </w:pPr>
  </w:style>
  <w:style w:type="paragraph" w:styleId="29">
    <w:name w:val="toc 3"/>
    <w:basedOn w:val="1"/>
    <w:next w:val="1"/>
    <w:autoRedefine/>
    <w:unhideWhenUsed/>
    <w:qFormat/>
    <w:uiPriority w:val="39"/>
    <w:pPr>
      <w:tabs>
        <w:tab w:val="right" w:leader="dot" w:pos="9350"/>
      </w:tabs>
      <w:spacing w:after="100"/>
    </w:pPr>
  </w:style>
  <w:style w:type="paragraph" w:styleId="30">
    <w:name w:val="toc 4"/>
    <w:basedOn w:val="1"/>
    <w:next w:val="1"/>
    <w:autoRedefine/>
    <w:unhideWhenUsed/>
    <w:qFormat/>
    <w:uiPriority w:val="39"/>
    <w:pPr>
      <w:tabs>
        <w:tab w:val="right" w:leader="dot" w:pos="9350"/>
      </w:tabs>
      <w:spacing w:after="100"/>
      <w:ind w:firstLine="709"/>
    </w:pPr>
  </w:style>
  <w:style w:type="paragraph" w:styleId="31">
    <w:name w:val="toc 5"/>
    <w:basedOn w:val="1"/>
    <w:next w:val="1"/>
    <w:autoRedefine/>
    <w:unhideWhenUsed/>
    <w:qFormat/>
    <w:uiPriority w:val="39"/>
    <w:pPr>
      <w:tabs>
        <w:tab w:val="right" w:leader="dot" w:pos="9350"/>
      </w:tabs>
      <w:spacing w:after="100"/>
      <w:ind w:firstLine="709"/>
    </w:pPr>
  </w:style>
  <w:style w:type="character" w:customStyle="1" w:styleId="32">
    <w:name w:val="Encabezado Car"/>
    <w:basedOn w:val="7"/>
    <w:link w:val="20"/>
    <w:qFormat/>
    <w:uiPriority w:val="99"/>
  </w:style>
  <w:style w:type="character" w:customStyle="1" w:styleId="33">
    <w:name w:val="Pie de página Car"/>
    <w:basedOn w:val="7"/>
    <w:link w:val="17"/>
    <w:qFormat/>
    <w:uiPriority w:val="99"/>
  </w:style>
  <w:style w:type="paragraph" w:styleId="34">
    <w:name w:val="List Paragraph"/>
    <w:basedOn w:val="1"/>
    <w:qFormat/>
    <w:uiPriority w:val="99"/>
    <w:pPr>
      <w:ind w:left="720"/>
      <w:contextualSpacing/>
    </w:pPr>
  </w:style>
  <w:style w:type="paragraph" w:customStyle="1" w:styleId="35">
    <w:name w:val="Default"/>
    <w:qFormat/>
    <w:uiPriority w:val="0"/>
    <w:pPr>
      <w:autoSpaceDE w:val="0"/>
      <w:autoSpaceDN w:val="0"/>
      <w:adjustRightInd w:val="0"/>
    </w:pPr>
    <w:rPr>
      <w:rFonts w:ascii="Arial" w:hAnsi="Arial" w:eastAsia="Calibri" w:cs="Arial"/>
      <w:color w:val="000000"/>
      <w:sz w:val="24"/>
      <w:szCs w:val="24"/>
      <w:lang w:val="es-CO" w:eastAsia="es-ES" w:bidi="ar-SA"/>
    </w:rPr>
  </w:style>
  <w:style w:type="character" w:customStyle="1" w:styleId="36">
    <w:name w:val="apple-converted-space"/>
    <w:basedOn w:val="7"/>
    <w:qFormat/>
    <w:uiPriority w:val="0"/>
  </w:style>
  <w:style w:type="character" w:customStyle="1" w:styleId="37">
    <w:name w:val="Título 3 Car"/>
    <w:basedOn w:val="7"/>
    <w:link w:val="4"/>
    <w:qFormat/>
    <w:uiPriority w:val="9"/>
    <w:rPr>
      <w:rFonts w:ascii="Times New Roman" w:hAnsi="Times New Roman" w:eastAsia="Times New Roman" w:cs="Times New Roman"/>
      <w:b/>
      <w:bCs/>
      <w:sz w:val="27"/>
      <w:szCs w:val="27"/>
      <w:lang w:val="es-ES" w:eastAsia="es-ES"/>
    </w:rPr>
  </w:style>
  <w:style w:type="character" w:customStyle="1" w:styleId="38">
    <w:name w:val="Símbolo de nota al pie"/>
    <w:qFormat/>
    <w:uiPriority w:val="99"/>
    <w:rPr>
      <w:rFonts w:cs="Times New Roman"/>
      <w:vertAlign w:val="superscript"/>
    </w:rPr>
  </w:style>
  <w:style w:type="character" w:customStyle="1" w:styleId="39">
    <w:name w:val="Símbolo de nota final"/>
    <w:qFormat/>
    <w:uiPriority w:val="99"/>
    <w:rPr>
      <w:rFonts w:cs="Times New Roman"/>
      <w:vertAlign w:val="superscript"/>
    </w:rPr>
  </w:style>
  <w:style w:type="character" w:customStyle="1" w:styleId="40">
    <w:name w:val="Texto nota pie Car"/>
    <w:basedOn w:val="7"/>
    <w:link w:val="19"/>
    <w:semiHidden/>
    <w:qFormat/>
    <w:uiPriority w:val="99"/>
    <w:rPr>
      <w:rFonts w:ascii="Arial" w:hAnsi="Arial" w:eastAsia="Times New Roman" w:cs="Arial"/>
      <w:sz w:val="20"/>
      <w:szCs w:val="20"/>
      <w:lang w:eastAsia="ar-SA"/>
    </w:rPr>
  </w:style>
  <w:style w:type="character" w:customStyle="1" w:styleId="41">
    <w:name w:val="Texto nota al final Car"/>
    <w:basedOn w:val="7"/>
    <w:link w:val="16"/>
    <w:semiHidden/>
    <w:qFormat/>
    <w:uiPriority w:val="99"/>
    <w:rPr>
      <w:rFonts w:ascii="Arial" w:hAnsi="Arial" w:eastAsia="Times New Roman" w:cs="Arial"/>
      <w:sz w:val="20"/>
      <w:szCs w:val="20"/>
      <w:lang w:eastAsia="ar-SA"/>
    </w:rPr>
  </w:style>
  <w:style w:type="table" w:customStyle="1" w:styleId="42">
    <w:name w:val="Tabla con cuadrícula1"/>
    <w:basedOn w:val="8"/>
    <w:qFormat/>
    <w:uiPriority w:val="59"/>
    <w:rPr>
      <w:rFonts w:ascii="Calibri" w:hAnsi="Calibri" w:eastAsia="Times New Roman"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43">
    <w:name w:val="Texto sin formato Car"/>
    <w:basedOn w:val="7"/>
    <w:link w:val="24"/>
    <w:qFormat/>
    <w:uiPriority w:val="0"/>
    <w:rPr>
      <w:rFonts w:ascii="Courier New" w:hAnsi="Courier New" w:eastAsia="Times New Roman" w:cs="Times New Roman"/>
      <w:sz w:val="20"/>
      <w:szCs w:val="20"/>
      <w:lang w:val="es-ES" w:eastAsia="es-ES"/>
    </w:rPr>
  </w:style>
  <w:style w:type="character" w:customStyle="1" w:styleId="44">
    <w:name w:val="Texto comentario Car"/>
    <w:basedOn w:val="7"/>
    <w:link w:val="13"/>
    <w:semiHidden/>
    <w:qFormat/>
    <w:uiPriority w:val="99"/>
    <w:rPr>
      <w:rFonts w:ascii="Calibri" w:hAnsi="Calibri" w:eastAsia="Times New Roman" w:cs="Times New Roman"/>
      <w:sz w:val="20"/>
      <w:szCs w:val="20"/>
    </w:rPr>
  </w:style>
  <w:style w:type="character" w:customStyle="1" w:styleId="45">
    <w:name w:val="Asunto del comentario Car"/>
    <w:basedOn w:val="44"/>
    <w:link w:val="14"/>
    <w:semiHidden/>
    <w:qFormat/>
    <w:uiPriority w:val="99"/>
    <w:rPr>
      <w:rFonts w:ascii="Calibri" w:hAnsi="Calibri" w:eastAsia="Times New Roman" w:cs="Times New Roman"/>
      <w:b/>
      <w:bCs/>
      <w:sz w:val="20"/>
      <w:szCs w:val="20"/>
    </w:rPr>
  </w:style>
  <w:style w:type="character" w:customStyle="1" w:styleId="46">
    <w:name w:val="Texto de globo Car"/>
    <w:basedOn w:val="7"/>
    <w:link w:val="9"/>
    <w:semiHidden/>
    <w:qFormat/>
    <w:uiPriority w:val="99"/>
    <w:rPr>
      <w:rFonts w:ascii="Tahoma" w:hAnsi="Tahoma" w:eastAsia="Times New Roman" w:cs="Tahoma"/>
      <w:sz w:val="16"/>
      <w:szCs w:val="16"/>
    </w:rPr>
  </w:style>
  <w:style w:type="character" w:customStyle="1" w:styleId="47">
    <w:name w:val="resdate"/>
    <w:basedOn w:val="7"/>
    <w:qFormat/>
    <w:uiPriority w:val="0"/>
  </w:style>
  <w:style w:type="paragraph" w:customStyle="1" w:styleId="48">
    <w:name w:val="Author"/>
    <w:basedOn w:val="35"/>
    <w:next w:val="35"/>
    <w:qFormat/>
    <w:uiPriority w:val="99"/>
    <w:rPr>
      <w:rFonts w:ascii="HIKNAF+TimesNewRoman,Bold" w:hAnsi="HIKNAF+TimesNewRoman,Bold" w:eastAsia="Times New Roman" w:cs="Times New Roman"/>
      <w:color w:val="auto"/>
      <w:lang w:val="es-ES"/>
    </w:rPr>
  </w:style>
  <w:style w:type="character" w:customStyle="1" w:styleId="49">
    <w:name w:val="Texto independiente 3 Car"/>
    <w:basedOn w:val="7"/>
    <w:link w:val="10"/>
    <w:qFormat/>
    <w:uiPriority w:val="0"/>
    <w:rPr>
      <w:rFonts w:ascii="Times New Roman" w:hAnsi="Times New Roman" w:eastAsia="Times New Roman" w:cs="Calibri"/>
      <w:sz w:val="16"/>
      <w:szCs w:val="16"/>
      <w:lang w:eastAsia="ar-SA"/>
    </w:rPr>
  </w:style>
  <w:style w:type="character" w:customStyle="1" w:styleId="50">
    <w:name w:val="Título 1 Car"/>
    <w:basedOn w:val="7"/>
    <w:link w:val="2"/>
    <w:qFormat/>
    <w:uiPriority w:val="9"/>
    <w:rPr>
      <w:rFonts w:ascii="Times New Roman" w:hAnsi="Times New Roman" w:eastAsiaTheme="majorEastAsia" w:cstheme="majorBidi"/>
      <w:b/>
      <w:color w:val="000000" w:themeColor="text1"/>
      <w:sz w:val="24"/>
      <w:szCs w:val="32"/>
      <w:lang w:eastAsia="es-CO"/>
      <w14:textFill>
        <w14:solidFill>
          <w14:schemeClr w14:val="tx1"/>
        </w14:solidFill>
      </w14:textFill>
    </w:rPr>
  </w:style>
  <w:style w:type="paragraph" w:customStyle="1" w:styleId="51">
    <w:name w:val="Título TDC1"/>
    <w:basedOn w:val="2"/>
    <w:next w:val="1"/>
    <w:unhideWhenUsed/>
    <w:qFormat/>
    <w:uiPriority w:val="39"/>
    <w:pPr>
      <w:spacing w:line="259" w:lineRule="auto"/>
      <w:outlineLvl w:val="9"/>
    </w:pPr>
    <w:rPr>
      <w:lang w:val="es-ES" w:eastAsia="es-ES"/>
    </w:rPr>
  </w:style>
  <w:style w:type="character" w:customStyle="1" w:styleId="52">
    <w:name w:val="Título 2 Car"/>
    <w:basedOn w:val="7"/>
    <w:link w:val="3"/>
    <w:qFormat/>
    <w:uiPriority w:val="9"/>
    <w:rPr>
      <w:rFonts w:ascii="Times New Roman" w:hAnsi="Times New Roman" w:eastAsiaTheme="majorEastAsia" w:cstheme="majorBidi"/>
      <w:b/>
      <w:color w:val="000000" w:themeColor="text1"/>
      <w:sz w:val="24"/>
      <w:szCs w:val="26"/>
      <w:lang w:eastAsia="es-CO"/>
      <w14:textFill>
        <w14:solidFill>
          <w14:schemeClr w14:val="tx1"/>
        </w14:solidFill>
      </w14:textFill>
    </w:rPr>
  </w:style>
  <w:style w:type="character" w:customStyle="1" w:styleId="53">
    <w:name w:val="Título 4 Car"/>
    <w:basedOn w:val="7"/>
    <w:link w:val="5"/>
    <w:qFormat/>
    <w:uiPriority w:val="9"/>
    <w:rPr>
      <w:rFonts w:asciiTheme="majorHAnsi" w:hAnsiTheme="majorHAnsi" w:eastAsiaTheme="majorEastAsia" w:cstheme="majorBidi"/>
      <w:i/>
      <w:iCs/>
      <w:color w:val="376092" w:themeColor="accent1" w:themeShade="BF"/>
      <w:lang w:eastAsia="es-CO"/>
    </w:rPr>
  </w:style>
  <w:style w:type="character" w:customStyle="1" w:styleId="54">
    <w:name w:val="Título 5 Car"/>
    <w:basedOn w:val="7"/>
    <w:link w:val="6"/>
    <w:qFormat/>
    <w:uiPriority w:val="9"/>
    <w:rPr>
      <w:rFonts w:asciiTheme="majorHAnsi" w:hAnsiTheme="majorHAnsi" w:eastAsiaTheme="majorEastAsia" w:cstheme="majorBidi"/>
      <w:color w:val="376092" w:themeColor="accent1" w:themeShade="BF"/>
      <w:lang w:eastAsia="es-CO"/>
    </w:rPr>
  </w:style>
  <w:style w:type="paragraph" w:customStyle="1" w:styleId="55">
    <w:name w:val="Bibliografía1"/>
    <w:basedOn w:val="1"/>
    <w:next w:val="1"/>
    <w:unhideWhenUsed/>
    <w:qFormat/>
    <w:uiPriority w:val="37"/>
  </w:style>
  <w:style w:type="paragraph" w:customStyle="1" w:styleId="56">
    <w:name w:val="WPSOffice手动目录 1"/>
    <w:qFormat/>
    <w:uiPriority w:val="0"/>
    <w:rPr>
      <w:rFonts w:asciiTheme="minorHAnsi" w:hAnsiTheme="minorHAnsi" w:eastAsiaTheme="minorHAnsi" w:cstheme="minorBidi"/>
      <w:lang w:val="es-CO" w:eastAsia="es-CO" w:bidi="ar-SA"/>
    </w:rPr>
  </w:style>
  <w:style w:type="paragraph" w:customStyle="1" w:styleId="57">
    <w:name w:val="WPSOffice手动目录 2"/>
    <w:qFormat/>
    <w:uiPriority w:val="0"/>
    <w:pPr>
      <w:ind w:left="200" w:leftChars="200"/>
    </w:pPr>
    <w:rPr>
      <w:rFonts w:asciiTheme="minorHAnsi" w:hAnsiTheme="minorHAnsi" w:eastAsiaTheme="minorHAnsi" w:cstheme="minorBidi"/>
      <w:lang w:val="es-CO" w:eastAsia="es-CO" w:bidi="ar-SA"/>
    </w:rPr>
  </w:style>
  <w:style w:type="character" w:customStyle="1" w:styleId="58">
    <w:name w:val="Unresolved Mention"/>
    <w:basedOn w:val="7"/>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Cómss</b:Tag>
    <b:SourceType>DocumentFromInternetSite</b:SourceType>
    <b:Guid>{E8D75399-0AF9-4AD8-8A36-112C78475AF4}</b:Guid>
    <b:Title>¿Cómo elaborar la introducción en un trabajo de investigación ?</b:Title>
    <b:Year>s.f.</b:Year>
    <b:URL>http://www.unap.cl/prontus_unap/site/artic/20150505/asocfile/20150505105202/como_elaborar_una_introduccion_1.pdf</b:URL>
    <b:RefOrder>1</b:RefOrder>
  </b:Source>
  <b:Source>
    <b:Tag>Cha17</b:Tag>
    <b:SourceType>Book</b:SourceType>
    <b:Guid>{AFAA5EF7-2345-4AE8-9962-4ABE1F708C6F}</b:Guid>
    <b:Title>Metodología para la elaboración de tesis y otras opciones de titulación</b:Title>
    <b:Year>2017</b:Year>
    <b:Publisher>Trillas</b:Publisher>
    <b:Author>
      <b:Author>
        <b:NameList>
          <b:Person>
            <b:Last>Chavarría</b:Last>
            <b:First>Marcela</b:First>
          </b:Person>
          <b:Person>
            <b:Last>Villalobos</b:Last>
            <b:First>Marveya</b:First>
          </b:Person>
        </b:NameList>
      </b:Author>
    </b:Author>
    <b:RefOrder>2</b:RefOrder>
  </b:Source>
  <b:Source>
    <b:Tag>Sil09</b:Tag>
    <b:SourceType>Book</b:SourceType>
    <b:Guid>{E7119625-67FA-43A6-8310-757F450ABC78}</b:Guid>
    <b:Title>Cómo escribir mejores textos académicos: guía práctica</b:Title>
    <b:Year>2009</b:Year>
    <b:Publisher>Manual Moderno</b:Publisher>
    <b:Author>
      <b:Author>
        <b:NameList>
          <b:Person>
            <b:Last>Silvia</b:Last>
            <b:First>Paul J</b:First>
          </b:Person>
        </b:NameList>
      </b:Author>
    </b:Author>
    <b:RefOrder>3</b:RefOrder>
  </b:Source>
  <b:Source>
    <b:Tag>Ecu19</b:Tag>
    <b:SourceType>ArticleInAPeriodical</b:SourceType>
    <b:Guid>{2D170D2B-033B-4CEB-8824-3B55CAED67D1}</b:Guid>
    <b:Title>Ecuador cerró 2018 con una pobreza del 23,2 % y una pobreza extrema de 8,4 %Ecuador pobreza</b:Title>
    <b:Year>2019</b:Year>
    <b:PeriodicalTitle>EFE News Service</b:PeriodicalTitle>
    <b:Month>Jan</b:Month>
    <b:URL>https://search-proquest-com.ezproxy.cecar.edu.co:2443/docview/2167332955/89081D4992F9404EPQ/7?accountid=34487</b:URL>
    <b:RefOrder>4</b:RefOrder>
  </b:Source>
  <b:Source>
    <b:Tag>Pin05</b:Tag>
    <b:SourceType>ArticleInAPeriodical</b:SourceType>
    <b:Guid>{F38C4D5B-456F-4453-8F9D-7675809CFBD7}</b:Guid>
    <b:Title>"La Aglobalización de la pobreza, la pobreza de la globalización": el reto inaplazable</b:Title>
    <b:PeriodicalTitle>El Cotidiano</b:PeriodicalTitle>
    <b:Year>2005</b:Year>
    <b:Month>enero-febrero</b:Month>
    <b:Author>
      <b:Author>
        <b:NameList>
          <b:Person>
            <b:Last>Pinilla-García</b:Last>
            <b:First>Alfonso</b:First>
          </b:Person>
        </b:NameList>
      </b:Author>
    </b:Author>
    <b:URL>https://search-proquest-com.ezproxy.cecar.edu.co:2443/docview/199595729/412866A18E1A4C71PQ/1?accountid=34487</b:URL>
    <b:RefOrder>5</b:RefOrder>
  </b:Source>
  <b:Source>
    <b:Tag>Cue20</b:Tag>
    <b:SourceType>Book</b:SourceType>
    <b:Guid>{E2BDFA59-FB2A-486A-8BC4-55FDE4CDC70F}</b:Guid>
    <b:Title>Economía</b:Title>
    <b:Year>2020</b:Year>
    <b:Publisher>McGraw-Hill</b:Publisher>
    <b:Author>
      <b:Author>
        <b:NameList>
          <b:Person>
            <b:Last>Cuevas</b:Last>
            <b:First>Homero</b:First>
          </b:Person>
        </b:NameList>
      </b:Author>
    </b:Author>
    <b:Volume>1</b:Volume>
    <b:RefOrder>6</b:RefOrder>
  </b:Source>
  <b:Source>
    <b:Tag>Gómsf</b:Tag>
    <b:SourceType>DocumentFromInternetSite</b:SourceType>
    <b:Guid>{47358E4F-7CE8-4329-9897-4C22DB522FBB}</b:Guid>
    <b:Title>Economía</b:Title>
    <b:Year>s.f.</b:Year>
    <b:InternetSiteTitle>Economipedia</b:InternetSiteTitle>
    <b:URL>https://economipedia.com/definiciones/economia.html</b:URL>
    <b:Author>
      <b:Author>
        <b:NameList>
          <b:Person>
            <b:Last>Gómez</b:Last>
            <b:First>Pedro</b:First>
          </b:Person>
        </b:NameList>
      </b:Author>
    </b:Author>
    <b:RefOrder>7</b:RefOrder>
  </b:Source>
  <b:Source>
    <b:Tag>Consf</b:Tag>
    <b:SourceType>DocumentFromInternetSite</b:SourceType>
    <b:Guid>{28EDBED4-685C-43DA-A5DB-8BDDCB3529DF}</b:Guid>
    <b:Title>Constitución Política de Colombia, 1886</b:Title>
    <b:InternetSiteTitle>http://americo.usal.es/</b:InternetSiteTitle>
    <b:Year>s.f.</b:Year>
    <b:URL>http://americo.usal.es/oir/legislatina/normasyreglamentos/constituciones/colombia1886.pdf</b:URL>
    <b:RefOrder>8</b:RefOrder>
  </b:Source>
  <b:Source>
    <b:Tag>Pal20</b:Tag>
    <b:SourceType>JournalArticle</b:SourceType>
    <b:Guid>{9210460C-9EBB-446A-8A74-28A19081118B}</b:Guid>
    <b:Title>El derecho penal en Colombia</b:Title>
    <b:Year>2020</b:Year>
    <b:Month>junio-julio</b:Month>
    <b:JournalName>Opinión Jurídica Colombiana</b:JournalName>
    <b:Pages>55-70</b:Pages>
    <b:Author>
      <b:Author>
        <b:NameList>
          <b:Person>
            <b:Last>Palencia-Gómez</b:Last>
            <b:Middle>Carlos</b:Middle>
            <b:First>Luis</b:First>
          </b:Person>
        </b:NameList>
      </b:Author>
    </b:Author>
    <b:Publisher>Universidad de Valencia</b:Publisher>
    <b:Volume>50</b:Volume>
    <b:Issue>25</b:Issue>
    <b:DOI>http/9999999.55555</b:DOI>
    <b:RefOrder>9</b:RefOrder>
  </b:Source>
  <b:Source>
    <b:Tag>Góm19</b:Tag>
    <b:SourceType>Book</b:SourceType>
    <b:Guid>{B8B39DA4-642D-414D-A53E-382132F10558}</b:Guid>
    <b:Title>El año de la conciliación</b:Title>
    <b:Year>2019</b:Year>
    <b:Publisher>Leyer</b:Publisher>
    <b:Author>
      <b:Author>
        <b:NameList>
          <b:Person>
            <b:Last>Gómez</b:Last>
            <b:First>Juan</b:First>
          </b:Person>
          <b:Person>
            <b:Last>Pérez</b:Last>
            <b:First>Jorge</b:First>
          </b:Person>
        </b:NameList>
      </b:Author>
    </b:Author>
    <b:Volume>5</b:Volume>
    <b:Edition>5a</b:Edition>
    <b:RefOrder>10</b:RefOrder>
  </b:Source>
</b:Sources>
</file>

<file path=customXml/itemProps1.xml><?xml version="1.0" encoding="utf-8"?>
<ds:datastoreItem xmlns:ds="http://schemas.openxmlformats.org/officeDocument/2006/customXml" ds:itemID="{85BB0A30-5727-4BE2-8EEA-D30906E73899}">
  <ds:schemaRefs/>
</ds:datastoreItem>
</file>

<file path=docProps/app.xml><?xml version="1.0" encoding="utf-8"?>
<Properties xmlns="http://schemas.openxmlformats.org/officeDocument/2006/extended-properties" xmlns:vt="http://schemas.openxmlformats.org/officeDocument/2006/docPropsVTypes">
  <Template>Normal.dotm</Template>
  <Pages>15</Pages>
  <Words>2665</Words>
  <Characters>14658</Characters>
  <Lines>122</Lines>
  <Paragraphs>34</Paragraphs>
  <TotalTime>0</TotalTime>
  <ScaleCrop>false</ScaleCrop>
  <LinksUpToDate>false</LinksUpToDate>
  <CharactersWithSpaces>17289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2022-02-12T15:13:00Z</dcterms:created>
  <dc:creator>Nora Visbal</dc:creator>
  <cp:lastModifiedBy>JORLUIS ISSAC PARRA AMELL</cp:lastModifiedBy>
  <cp:lastPrinted>2015-08-19T16:57:00Z</cp:lastPrinted>
  <dcterms:modified xsi:type="dcterms:W3CDTF">2026-04-13T04:16:30Z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B21D2F641E0C48DC968C8B65AB05E0C1_12</vt:lpwstr>
  </property>
</Properties>
</file>