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F3A23">
      <w:pPr>
        <w:spacing w:after="0" w:line="360" w:lineRule="auto"/>
        <w:ind w:firstLine="567"/>
        <w:contextualSpacing/>
        <w:jc w:val="center"/>
        <w:rPr>
          <w:rFonts w:cs="Times New Roman"/>
          <w:szCs w:val="24"/>
        </w:rPr>
      </w:pPr>
      <w:r>
        <w:rPr>
          <w:rFonts w:cs="Times New Roman"/>
          <w:szCs w:val="24"/>
        </w:rPr>
        <w:t>Taller – Arquitectura de Sistemas de Información y Arquitectura Tecnológica</w:t>
      </w:r>
    </w:p>
    <w:p w14:paraId="6534244C">
      <w:pPr>
        <w:spacing w:after="0" w:line="360" w:lineRule="auto"/>
        <w:ind w:firstLine="567"/>
        <w:contextualSpacing/>
        <w:jc w:val="center"/>
        <w:rPr>
          <w:rFonts w:cs="Times New Roman"/>
          <w:szCs w:val="24"/>
        </w:rPr>
      </w:pPr>
      <w:r>
        <w:rPr>
          <w:rFonts w:cs="Times New Roman"/>
          <w:szCs w:val="24"/>
        </w:rPr>
        <w:t>Arquitectura de Sistemas de Información</w:t>
      </w:r>
    </w:p>
    <w:p w14:paraId="22CA3E57">
      <w:pPr>
        <w:spacing w:after="0" w:line="360" w:lineRule="auto"/>
        <w:ind w:firstLine="567"/>
        <w:contextualSpacing/>
        <w:jc w:val="center"/>
        <w:rPr>
          <w:rFonts w:cs="Times New Roman"/>
          <w:szCs w:val="24"/>
          <w:lang w:val="es-ES"/>
        </w:rPr>
      </w:pPr>
      <w:r>
        <w:rPr>
          <w:rFonts w:cs="Times New Roman"/>
          <w:szCs w:val="24"/>
          <w:lang w:val="es-ES"/>
        </w:rPr>
        <w:t>Plataforma Digital de Turismo del Departamento de Sucre</w:t>
      </w:r>
    </w:p>
    <w:p w14:paraId="1B30DF71">
      <w:pPr>
        <w:spacing w:after="0" w:line="360" w:lineRule="auto"/>
        <w:ind w:firstLine="567"/>
        <w:contextualSpacing/>
        <w:jc w:val="center"/>
        <w:rPr>
          <w:rFonts w:cs="Times New Roman"/>
          <w:szCs w:val="24"/>
        </w:rPr>
      </w:pPr>
      <w:r>
        <w:rPr>
          <w:rFonts w:cs="Times New Roman"/>
          <w:szCs w:val="24"/>
        </w:rPr>
        <w:t>Sincinaty</w:t>
      </w:r>
    </w:p>
    <w:p w14:paraId="3CF8BF4D">
      <w:pPr>
        <w:spacing w:after="0" w:line="360" w:lineRule="auto"/>
        <w:ind w:firstLine="567"/>
        <w:contextualSpacing/>
        <w:jc w:val="center"/>
        <w:rPr>
          <w:rFonts w:cs="Times New Roman"/>
          <w:szCs w:val="24"/>
        </w:rPr>
      </w:pPr>
    </w:p>
    <w:p w14:paraId="2DCFD13A">
      <w:pPr>
        <w:spacing w:after="0" w:line="360" w:lineRule="auto"/>
        <w:ind w:firstLine="567"/>
        <w:contextualSpacing/>
        <w:jc w:val="center"/>
        <w:rPr>
          <w:rFonts w:cs="Times New Roman"/>
          <w:szCs w:val="24"/>
        </w:rPr>
      </w:pPr>
    </w:p>
    <w:p w14:paraId="189A7943">
      <w:pPr>
        <w:spacing w:after="0" w:line="360" w:lineRule="auto"/>
        <w:ind w:firstLine="567"/>
        <w:contextualSpacing/>
        <w:jc w:val="center"/>
        <w:rPr>
          <w:rFonts w:cs="Times New Roman"/>
          <w:szCs w:val="24"/>
          <w:lang w:val="es-ES"/>
        </w:rPr>
      </w:pPr>
      <w:r>
        <w:rPr>
          <w:rFonts w:cs="Times New Roman"/>
          <w:szCs w:val="24"/>
          <w:lang w:val="es-ES"/>
        </w:rPr>
        <w:t xml:space="preserve">Nombres y apellidos </w:t>
      </w:r>
    </w:p>
    <w:p w14:paraId="780E3054">
      <w:pPr>
        <w:spacing w:after="0" w:line="360" w:lineRule="auto"/>
        <w:ind w:firstLine="567"/>
        <w:contextualSpacing/>
        <w:jc w:val="center"/>
        <w:rPr>
          <w:rFonts w:cs="Times New Roman"/>
          <w:szCs w:val="24"/>
          <w:lang w:val="es-ES"/>
        </w:rPr>
      </w:pPr>
      <w:r>
        <w:rPr>
          <w:rFonts w:cs="Times New Roman"/>
          <w:szCs w:val="24"/>
          <w:lang w:val="es-ES"/>
        </w:rPr>
        <w:t>Amaurys Castro De Arco</w:t>
      </w:r>
    </w:p>
    <w:p w14:paraId="71701807">
      <w:pPr>
        <w:spacing w:after="0" w:line="360" w:lineRule="auto"/>
        <w:ind w:firstLine="567"/>
        <w:contextualSpacing/>
        <w:jc w:val="center"/>
        <w:rPr>
          <w:rFonts w:cs="Times New Roman"/>
          <w:szCs w:val="24"/>
          <w:lang w:val="es-ES"/>
        </w:rPr>
      </w:pPr>
      <w:r>
        <w:rPr>
          <w:rFonts w:cs="Times New Roman"/>
          <w:szCs w:val="24"/>
          <w:lang w:val="es-ES"/>
        </w:rPr>
        <w:t>Daniel Jiménez Salcedo</w:t>
      </w:r>
    </w:p>
    <w:p w14:paraId="1584499D">
      <w:pPr>
        <w:spacing w:after="0" w:line="360" w:lineRule="auto"/>
        <w:ind w:firstLine="567"/>
        <w:contextualSpacing/>
        <w:jc w:val="center"/>
        <w:rPr>
          <w:rFonts w:cs="Times New Roman"/>
          <w:szCs w:val="24"/>
          <w:lang w:val="es-ES"/>
        </w:rPr>
      </w:pPr>
      <w:r>
        <w:rPr>
          <w:rFonts w:cs="Times New Roman"/>
          <w:szCs w:val="24"/>
          <w:lang w:val="es-ES"/>
        </w:rPr>
        <w:t>Sofia Marcela Suancha Contreras</w:t>
      </w:r>
    </w:p>
    <w:p w14:paraId="719DBADB">
      <w:pPr>
        <w:spacing w:after="0" w:line="360" w:lineRule="auto"/>
        <w:ind w:firstLine="567"/>
        <w:contextualSpacing/>
        <w:jc w:val="center"/>
        <w:rPr>
          <w:rFonts w:cs="Times New Roman"/>
          <w:szCs w:val="24"/>
          <w:lang w:val="es-ES"/>
        </w:rPr>
      </w:pPr>
      <w:r>
        <w:rPr>
          <w:rFonts w:cs="Times New Roman"/>
          <w:szCs w:val="24"/>
          <w:lang w:val="es-ES"/>
        </w:rPr>
        <w:t>Jorluis Parra Amell</w:t>
      </w:r>
    </w:p>
    <w:p w14:paraId="18FCE5A7">
      <w:pPr>
        <w:spacing w:after="0" w:line="360" w:lineRule="auto"/>
        <w:ind w:firstLine="567"/>
        <w:contextualSpacing/>
        <w:jc w:val="center"/>
        <w:rPr>
          <w:rFonts w:cs="Times New Roman"/>
          <w:szCs w:val="24"/>
          <w:lang w:val="es-ES"/>
        </w:rPr>
      </w:pPr>
      <w:r>
        <w:rPr>
          <w:rFonts w:cs="Times New Roman"/>
          <w:szCs w:val="24"/>
          <w:lang w:val="es-ES"/>
        </w:rPr>
        <w:t xml:space="preserve">Eder Luis Zapa Centanaro </w:t>
      </w:r>
    </w:p>
    <w:p w14:paraId="792AB4FC">
      <w:pPr>
        <w:spacing w:after="0" w:line="360" w:lineRule="auto"/>
        <w:ind w:firstLine="567"/>
        <w:contextualSpacing/>
        <w:jc w:val="center"/>
        <w:rPr>
          <w:rFonts w:cs="Times New Roman"/>
          <w:szCs w:val="24"/>
          <w:lang w:val="es-ES"/>
        </w:rPr>
      </w:pPr>
    </w:p>
    <w:p w14:paraId="1DA0F783">
      <w:pPr>
        <w:spacing w:after="0" w:line="360" w:lineRule="auto"/>
        <w:ind w:firstLine="567"/>
        <w:contextualSpacing/>
        <w:jc w:val="center"/>
        <w:rPr>
          <w:rFonts w:cs="Times New Roman"/>
          <w:szCs w:val="24"/>
          <w:lang w:val="es-ES"/>
        </w:rPr>
      </w:pPr>
    </w:p>
    <w:p w14:paraId="434411DD">
      <w:pPr>
        <w:spacing w:after="0" w:line="360" w:lineRule="auto"/>
        <w:ind w:firstLine="567"/>
        <w:contextualSpacing/>
        <w:jc w:val="center"/>
        <w:rPr>
          <w:rFonts w:cs="Times New Roman"/>
          <w:szCs w:val="24"/>
          <w:lang w:val="es-ES"/>
        </w:rPr>
      </w:pPr>
    </w:p>
    <w:p w14:paraId="256E2ABF">
      <w:pPr>
        <w:spacing w:after="0" w:line="360" w:lineRule="auto"/>
        <w:contextualSpacing/>
        <w:jc w:val="center"/>
        <w:rPr>
          <w:rFonts w:cs="Times New Roman"/>
          <w:szCs w:val="24"/>
        </w:rPr>
      </w:pPr>
      <w:r>
        <w:rPr>
          <w:rFonts w:cs="Times New Roman"/>
          <w:szCs w:val="24"/>
        </w:rPr>
        <w:t>Docente</w:t>
      </w:r>
    </w:p>
    <w:p w14:paraId="0E6AA49A">
      <w:pPr>
        <w:spacing w:after="0" w:line="360" w:lineRule="auto"/>
        <w:contextualSpacing/>
        <w:jc w:val="center"/>
        <w:rPr>
          <w:rFonts w:cs="Times New Roman"/>
          <w:szCs w:val="24"/>
        </w:rPr>
      </w:pPr>
      <w:r>
        <w:rPr>
          <w:rFonts w:cs="Times New Roman"/>
          <w:szCs w:val="24"/>
        </w:rPr>
        <w:t>Jhon Jaime Mendez Alandete</w:t>
      </w:r>
    </w:p>
    <w:p w14:paraId="2C3958CD">
      <w:pPr>
        <w:spacing w:after="0" w:line="360" w:lineRule="auto"/>
        <w:ind w:firstLine="567"/>
        <w:contextualSpacing/>
        <w:jc w:val="center"/>
        <w:rPr>
          <w:rFonts w:cs="Times New Roman"/>
          <w:szCs w:val="24"/>
        </w:rPr>
      </w:pPr>
    </w:p>
    <w:p w14:paraId="2F10746F">
      <w:pPr>
        <w:spacing w:after="0" w:line="360" w:lineRule="auto"/>
        <w:ind w:firstLine="567"/>
        <w:contextualSpacing/>
        <w:jc w:val="center"/>
        <w:rPr>
          <w:rFonts w:cs="Times New Roman"/>
          <w:szCs w:val="24"/>
        </w:rPr>
      </w:pPr>
    </w:p>
    <w:p w14:paraId="3DEBA03E">
      <w:pPr>
        <w:spacing w:after="0" w:line="360" w:lineRule="auto"/>
        <w:ind w:firstLine="567"/>
        <w:contextualSpacing/>
        <w:jc w:val="center"/>
        <w:rPr>
          <w:rFonts w:cs="Times New Roman"/>
          <w:szCs w:val="24"/>
        </w:rPr>
      </w:pPr>
    </w:p>
    <w:p w14:paraId="2F988A35">
      <w:pPr>
        <w:spacing w:after="0" w:line="360" w:lineRule="auto"/>
        <w:ind w:firstLine="567"/>
        <w:contextualSpacing/>
        <w:jc w:val="center"/>
        <w:rPr>
          <w:rFonts w:cs="Times New Roman"/>
          <w:szCs w:val="24"/>
        </w:rPr>
      </w:pPr>
    </w:p>
    <w:p w14:paraId="254F9680">
      <w:pPr>
        <w:spacing w:after="0" w:line="360" w:lineRule="auto"/>
        <w:ind w:firstLine="567"/>
        <w:contextualSpacing/>
        <w:jc w:val="center"/>
        <w:rPr>
          <w:rFonts w:cs="Times New Roman"/>
          <w:szCs w:val="24"/>
        </w:rPr>
      </w:pPr>
    </w:p>
    <w:p w14:paraId="2B18F86C">
      <w:pPr>
        <w:spacing w:after="0" w:line="360" w:lineRule="auto"/>
        <w:contextualSpacing/>
        <w:rPr>
          <w:rFonts w:cs="Times New Roman"/>
          <w:szCs w:val="24"/>
        </w:rPr>
      </w:pPr>
    </w:p>
    <w:p w14:paraId="77FF23C5">
      <w:pPr>
        <w:spacing w:after="0" w:line="360" w:lineRule="auto"/>
        <w:contextualSpacing/>
        <w:jc w:val="center"/>
        <w:rPr>
          <w:rFonts w:cs="Times New Roman"/>
          <w:szCs w:val="24"/>
        </w:rPr>
      </w:pPr>
      <w:r>
        <w:rPr>
          <w:rFonts w:cs="Times New Roman"/>
          <w:szCs w:val="24"/>
        </w:rPr>
        <w:t>Corporación Universitaria del Caribe – CECA</w:t>
      </w:r>
    </w:p>
    <w:p w14:paraId="34A4C1DA">
      <w:pPr>
        <w:spacing w:after="0"/>
        <w:jc w:val="center"/>
        <w:rPr>
          <w:rFonts w:cs="Times New Roman"/>
          <w:szCs w:val="24"/>
        </w:rPr>
      </w:pPr>
      <w:r>
        <w:rPr>
          <w:rFonts w:cs="Times New Roman"/>
          <w:szCs w:val="24"/>
        </w:rPr>
        <w:t xml:space="preserve">Facultad de Ciencias Básicas, Ingenierías y Arquitectura </w:t>
      </w:r>
    </w:p>
    <w:p w14:paraId="2FAD9A3E">
      <w:pPr>
        <w:spacing w:after="0"/>
        <w:jc w:val="center"/>
        <w:rPr>
          <w:rFonts w:cs="Times New Roman"/>
          <w:szCs w:val="24"/>
        </w:rPr>
      </w:pPr>
      <w:r>
        <w:rPr>
          <w:rFonts w:cs="Times New Roman"/>
          <w:szCs w:val="24"/>
        </w:rPr>
        <w:t xml:space="preserve">Ingeniería de Sistemas </w:t>
      </w:r>
    </w:p>
    <w:p w14:paraId="32031264">
      <w:pPr>
        <w:spacing w:after="0"/>
        <w:jc w:val="center"/>
        <w:rPr>
          <w:rFonts w:cs="Times New Roman"/>
          <w:szCs w:val="24"/>
        </w:rPr>
      </w:pPr>
      <w:r>
        <w:rPr>
          <w:rFonts w:cs="Times New Roman"/>
          <w:szCs w:val="24"/>
        </w:rPr>
        <w:t xml:space="preserve"> Arquitectura empresarial </w:t>
      </w:r>
    </w:p>
    <w:p w14:paraId="7CF8116C">
      <w:pPr>
        <w:spacing w:after="0"/>
        <w:jc w:val="center"/>
        <w:rPr>
          <w:rFonts w:cs="Times New Roman"/>
          <w:szCs w:val="24"/>
          <w:lang w:val="es-ES"/>
        </w:rPr>
      </w:pPr>
      <w:r>
        <w:rPr>
          <w:rFonts w:cs="Times New Roman"/>
          <w:szCs w:val="24"/>
          <w:lang w:val="es-ES"/>
        </w:rPr>
        <w:t>Sincelejo - Sucre</w:t>
      </w:r>
    </w:p>
    <w:p w14:paraId="77672B5B">
      <w:pPr>
        <w:spacing w:after="0"/>
        <w:jc w:val="center"/>
        <w:rPr>
          <w:rFonts w:cs="Times New Roman"/>
          <w:szCs w:val="24"/>
          <w:lang w:val="es-ES"/>
        </w:rPr>
      </w:pPr>
      <w:r>
        <w:rPr>
          <w:rFonts w:cs="Times New Roman"/>
          <w:szCs w:val="24"/>
          <w:lang w:val="es-ES"/>
        </w:rPr>
        <w:t>2026</w:t>
      </w:r>
    </w:p>
    <w:p w14:paraId="581CEBEA">
      <w:pPr>
        <w:pStyle w:val="32"/>
        <w:numPr>
          <w:ilvl w:val="0"/>
          <w:numId w:val="1"/>
        </w:numPr>
        <w:rPr>
          <w:rFonts w:cs="Times New Roman"/>
          <w:b/>
          <w:szCs w:val="24"/>
        </w:rPr>
      </w:pPr>
      <w:r>
        <w:rPr>
          <w:rFonts w:cs="Times New Roman"/>
          <w:b/>
          <w:szCs w:val="24"/>
        </w:rPr>
        <w:t>Catálogo Tecnológico</w:t>
      </w:r>
    </w:p>
    <w:p w14:paraId="5FA88771">
      <w:pPr>
        <w:pStyle w:val="32"/>
        <w:rPr>
          <w:rFonts w:ascii="Arial" w:hAnsi="Arial" w:eastAsia="Arial" w:cs="Arial"/>
          <w:color w:val="2C3E50"/>
          <w:sz w:val="20"/>
          <w:szCs w:val="20"/>
        </w:rPr>
      </w:pPr>
      <w:r>
        <w:rPr>
          <w:rFonts w:ascii="Arial" w:hAnsi="Arial" w:eastAsia="Arial" w:cs="Arial"/>
          <w:color w:val="2C3E50"/>
          <w:sz w:val="20"/>
          <w:szCs w:val="20"/>
        </w:rPr>
        <w:t>El catálogo tecnológico identifica cada componente de la solución, su función dentro del sistema y la tecnología seleccionada. Las decisiones tecnológicas se fundamentan en los requerimientos de escalabilidad, seguridad, bajo costo inicial y capacidad de integración que demanda una plataforma de turismo regional.</w:t>
      </w:r>
    </w:p>
    <w:p w14:paraId="6E884F7D">
      <w:pPr>
        <w:pStyle w:val="32"/>
        <w:rPr>
          <w:rFonts w:cs="Times New Roman"/>
          <w:b/>
          <w:szCs w:val="24"/>
        </w:rPr>
      </w:pPr>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
        <w:gridCol w:w="4383"/>
        <w:gridCol w:w="2214"/>
        <w:gridCol w:w="2346"/>
      </w:tblGrid>
      <w:tr w14:paraId="4C82B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1A3B3D67">
            <w:pPr>
              <w:jc w:val="center"/>
            </w:pPr>
            <w:r>
              <w:rPr>
                <w:rFonts w:ascii="Arial" w:hAnsi="Arial" w:eastAsia="Arial" w:cs="Arial"/>
                <w:b/>
                <w:bCs/>
                <w:sz w:val="18"/>
                <w:szCs w:val="18"/>
              </w:rPr>
              <w:t>#</w:t>
            </w:r>
          </w:p>
        </w:tc>
        <w:tc>
          <w:tcPr>
            <w:tcW w:w="2000" w:type="dxa"/>
          </w:tcPr>
          <w:p w14:paraId="6DAF60B9">
            <w:pPr>
              <w:jc w:val="center"/>
            </w:pPr>
            <w:r>
              <w:rPr>
                <w:rFonts w:ascii="Arial" w:hAnsi="Arial" w:eastAsia="Arial" w:cs="Arial"/>
                <w:b/>
                <w:bCs/>
                <w:sz w:val="18"/>
                <w:szCs w:val="18"/>
              </w:rPr>
              <w:t>Componente</w:t>
            </w:r>
          </w:p>
        </w:tc>
        <w:tc>
          <w:tcPr>
            <w:tcW w:w="3480" w:type="dxa"/>
          </w:tcPr>
          <w:p w14:paraId="7C1E7DE8">
            <w:pPr>
              <w:jc w:val="center"/>
            </w:pPr>
            <w:r>
              <w:rPr>
                <w:rFonts w:ascii="Arial" w:hAnsi="Arial" w:eastAsia="Arial" w:cs="Arial"/>
                <w:b/>
                <w:bCs/>
                <w:sz w:val="18"/>
                <w:szCs w:val="18"/>
              </w:rPr>
              <w:t>Función</w:t>
            </w:r>
          </w:p>
        </w:tc>
        <w:tc>
          <w:tcPr>
            <w:tcW w:w="3480" w:type="dxa"/>
          </w:tcPr>
          <w:p w14:paraId="38D13248">
            <w:pPr>
              <w:jc w:val="center"/>
            </w:pPr>
            <w:r>
              <w:rPr>
                <w:rFonts w:ascii="Arial" w:hAnsi="Arial" w:eastAsia="Arial" w:cs="Arial"/>
                <w:b/>
                <w:bCs/>
                <w:sz w:val="18"/>
                <w:szCs w:val="18"/>
              </w:rPr>
              <w:t>Tecnología Seleccionada</w:t>
            </w:r>
          </w:p>
        </w:tc>
      </w:tr>
      <w:tr w14:paraId="6569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560" w:type="dxa"/>
        </w:trPr>
        <w:tc>
          <w:tcPr>
            <w:tcW w:w="400" w:type="dxa"/>
          </w:tcPr>
          <w:p w14:paraId="4DC7281B">
            <w:pPr>
              <w:jc w:val="center"/>
            </w:pPr>
          </w:p>
        </w:tc>
        <w:tc>
          <w:tcPr>
            <w:tcW w:w="8960" w:type="dxa"/>
          </w:tcPr>
          <w:p w14:paraId="6C5A75E3">
            <w:r>
              <w:rPr>
                <w:rFonts w:ascii="Arial" w:hAnsi="Arial" w:eastAsia="Arial" w:cs="Arial"/>
                <w:b/>
                <w:bCs/>
                <w:sz w:val="18"/>
                <w:szCs w:val="18"/>
              </w:rPr>
              <w:t>CAPA DE PRESENTACIÓN (FRONTEND)</w:t>
            </w:r>
          </w:p>
        </w:tc>
      </w:tr>
      <w:tr w14:paraId="5BE7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1AE3B22F">
            <w:pPr>
              <w:jc w:val="center"/>
            </w:pPr>
            <w:r>
              <w:rPr>
                <w:rFonts w:ascii="Arial" w:hAnsi="Arial" w:eastAsia="Arial" w:cs="Arial"/>
                <w:sz w:val="18"/>
                <w:szCs w:val="18"/>
              </w:rPr>
              <w:t>1</w:t>
            </w:r>
          </w:p>
        </w:tc>
        <w:tc>
          <w:tcPr>
            <w:tcW w:w="2000" w:type="dxa"/>
          </w:tcPr>
          <w:p w14:paraId="2C378626">
            <w:r>
              <w:rPr>
                <w:rFonts w:ascii="Arial" w:hAnsi="Arial" w:eastAsia="Arial" w:cs="Arial"/>
                <w:sz w:val="18"/>
                <w:szCs w:val="18"/>
              </w:rPr>
              <w:t>Aplicación Web (SPA)</w:t>
            </w:r>
          </w:p>
        </w:tc>
        <w:tc>
          <w:tcPr>
            <w:tcW w:w="3480" w:type="dxa"/>
          </w:tcPr>
          <w:p w14:paraId="692227CF">
            <w:r>
              <w:rPr>
                <w:rFonts w:ascii="Arial" w:hAnsi="Arial" w:eastAsia="Arial" w:cs="Arial"/>
                <w:sz w:val="18"/>
                <w:szCs w:val="18"/>
              </w:rPr>
              <w:t>Interfaz principal para turistas y prestadores. Permite descubrir destinos, construir itinerarios, hacer reservas, dejar reseñas y gestionar perfiles desde un navegador.</w:t>
            </w:r>
          </w:p>
        </w:tc>
        <w:tc>
          <w:tcPr>
            <w:tcW w:w="3480" w:type="dxa"/>
          </w:tcPr>
          <w:p w14:paraId="5E5E1F64">
            <w:r>
              <w:rPr>
                <w:rFonts w:ascii="Arial" w:hAnsi="Arial" w:eastAsia="Arial" w:cs="Arial"/>
                <w:sz w:val="18"/>
                <w:szCs w:val="18"/>
                <w:lang w:val="en-US"/>
              </w:rPr>
              <w:t xml:space="preserve">React.js 18 + TypeScript — Vite como bundler. </w:t>
            </w:r>
            <w:r>
              <w:rPr>
                <w:rFonts w:ascii="Arial" w:hAnsi="Arial" w:eastAsia="Arial" w:cs="Arial"/>
                <w:sz w:val="18"/>
                <w:szCs w:val="18"/>
              </w:rPr>
              <w:t>Next.js para SSR/SSG en páginas de destinos (mejora SEO orgánico).</w:t>
            </w:r>
          </w:p>
        </w:tc>
      </w:tr>
      <w:tr w14:paraId="00760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4EEDB390">
            <w:pPr>
              <w:jc w:val="center"/>
            </w:pPr>
            <w:r>
              <w:rPr>
                <w:rFonts w:ascii="Arial" w:hAnsi="Arial" w:eastAsia="Arial" w:cs="Arial"/>
                <w:sz w:val="18"/>
                <w:szCs w:val="18"/>
              </w:rPr>
              <w:t>2</w:t>
            </w:r>
          </w:p>
        </w:tc>
        <w:tc>
          <w:tcPr>
            <w:tcW w:w="2000" w:type="dxa"/>
          </w:tcPr>
          <w:p w14:paraId="100E8796">
            <w:r>
              <w:rPr>
                <w:rFonts w:ascii="Arial" w:hAnsi="Arial" w:eastAsia="Arial" w:cs="Arial"/>
                <w:sz w:val="18"/>
                <w:szCs w:val="18"/>
              </w:rPr>
              <w:t>Aplicación Móvil</w:t>
            </w:r>
          </w:p>
        </w:tc>
        <w:tc>
          <w:tcPr>
            <w:tcW w:w="3480" w:type="dxa"/>
          </w:tcPr>
          <w:p w14:paraId="18744B07">
            <w:r>
              <w:rPr>
                <w:rFonts w:ascii="Arial" w:hAnsi="Arial" w:eastAsia="Arial" w:cs="Arial"/>
                <w:sz w:val="18"/>
                <w:szCs w:val="18"/>
              </w:rPr>
              <w:t>App nativa/híbrida para iOS y Android. Permite al turista acceder a itinerarios, mapas y reservas offline, y recibir notificaciones push.</w:t>
            </w:r>
          </w:p>
        </w:tc>
        <w:tc>
          <w:tcPr>
            <w:tcW w:w="3480" w:type="dxa"/>
          </w:tcPr>
          <w:p w14:paraId="406F1499">
            <w:r>
              <w:rPr>
                <w:rFonts w:ascii="Arial" w:hAnsi="Arial" w:eastAsia="Arial" w:cs="Arial"/>
                <w:sz w:val="18"/>
                <w:szCs w:val="18"/>
              </w:rPr>
              <w:t>React Native (Expo). Código compartido entre iOS y Android. Notificaciones con Firebase Cloud Messaging.</w:t>
            </w:r>
          </w:p>
        </w:tc>
      </w:tr>
      <w:tr w14:paraId="7EE4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4C33994F">
            <w:pPr>
              <w:jc w:val="center"/>
            </w:pPr>
            <w:r>
              <w:rPr>
                <w:rFonts w:ascii="Arial" w:hAnsi="Arial" w:eastAsia="Arial" w:cs="Arial"/>
                <w:sz w:val="18"/>
                <w:szCs w:val="18"/>
              </w:rPr>
              <w:t>3</w:t>
            </w:r>
          </w:p>
        </w:tc>
        <w:tc>
          <w:tcPr>
            <w:tcW w:w="2000" w:type="dxa"/>
          </w:tcPr>
          <w:p w14:paraId="728D5918">
            <w:r>
              <w:rPr>
                <w:rFonts w:ascii="Arial" w:hAnsi="Arial" w:eastAsia="Arial" w:cs="Arial"/>
                <w:sz w:val="18"/>
                <w:szCs w:val="18"/>
              </w:rPr>
              <w:t>Portal de Prestadores</w:t>
            </w:r>
          </w:p>
        </w:tc>
        <w:tc>
          <w:tcPr>
            <w:tcW w:w="3480" w:type="dxa"/>
          </w:tcPr>
          <w:p w14:paraId="339FDA84">
            <w:r>
              <w:rPr>
                <w:rFonts w:ascii="Arial" w:hAnsi="Arial" w:eastAsia="Arial" w:cs="Arial"/>
                <w:sz w:val="18"/>
                <w:szCs w:val="18"/>
              </w:rPr>
              <w:t>Panel de administración exclusivo para proveedores turísticos. Permite gestionar su perfil, publicar servicios, ver reservas y consultar métricas.</w:t>
            </w:r>
          </w:p>
        </w:tc>
        <w:tc>
          <w:tcPr>
            <w:tcW w:w="3480" w:type="dxa"/>
          </w:tcPr>
          <w:p w14:paraId="168EC9E8">
            <w:r>
              <w:rPr>
                <w:rFonts w:ascii="Arial" w:hAnsi="Arial" w:eastAsia="Arial" w:cs="Arial"/>
                <w:sz w:val="18"/>
                <w:szCs w:val="18"/>
                <w:lang w:val="en-US"/>
              </w:rPr>
              <w:t xml:space="preserve">React.js con Tailwind CSS. </w:t>
            </w:r>
            <w:r>
              <w:rPr>
                <w:rFonts w:ascii="Arial" w:hAnsi="Arial" w:eastAsia="Arial" w:cs="Arial"/>
                <w:sz w:val="18"/>
                <w:szCs w:val="18"/>
              </w:rPr>
              <w:t>Dashboard con gráficas usando Recharts. Roles y permisos gestionados por el backend.</w:t>
            </w:r>
          </w:p>
        </w:tc>
      </w:tr>
      <w:tr w14:paraId="7E19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560" w:type="dxa"/>
        </w:trPr>
        <w:tc>
          <w:tcPr>
            <w:tcW w:w="400" w:type="dxa"/>
          </w:tcPr>
          <w:p w14:paraId="1D7C1CB2">
            <w:pPr>
              <w:jc w:val="center"/>
            </w:pPr>
          </w:p>
        </w:tc>
        <w:tc>
          <w:tcPr>
            <w:tcW w:w="8960" w:type="dxa"/>
          </w:tcPr>
          <w:p w14:paraId="3D659BE0">
            <w:r>
              <w:rPr>
                <w:rFonts w:ascii="Arial" w:hAnsi="Arial" w:eastAsia="Arial" w:cs="Arial"/>
                <w:b/>
                <w:bCs/>
                <w:sz w:val="18"/>
                <w:szCs w:val="18"/>
              </w:rPr>
              <w:t>CAPA DE APLICACIÓN (BACKEND)</w:t>
            </w:r>
          </w:p>
        </w:tc>
      </w:tr>
      <w:tr w14:paraId="25A0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3BA5062E">
            <w:pPr>
              <w:jc w:val="center"/>
            </w:pPr>
            <w:r>
              <w:rPr>
                <w:rFonts w:ascii="Arial" w:hAnsi="Arial" w:eastAsia="Arial" w:cs="Arial"/>
                <w:sz w:val="18"/>
                <w:szCs w:val="18"/>
              </w:rPr>
              <w:t>4</w:t>
            </w:r>
          </w:p>
        </w:tc>
        <w:tc>
          <w:tcPr>
            <w:tcW w:w="2000" w:type="dxa"/>
          </w:tcPr>
          <w:p w14:paraId="44EAE2F6">
            <w:r>
              <w:rPr>
                <w:rFonts w:ascii="Arial" w:hAnsi="Arial" w:eastAsia="Arial" w:cs="Arial"/>
                <w:sz w:val="18"/>
                <w:szCs w:val="18"/>
              </w:rPr>
              <w:t>API REST Principal</w:t>
            </w:r>
          </w:p>
        </w:tc>
        <w:tc>
          <w:tcPr>
            <w:tcW w:w="3480" w:type="dxa"/>
          </w:tcPr>
          <w:p w14:paraId="0211BF74">
            <w:r>
              <w:rPr>
                <w:rFonts w:ascii="Arial" w:hAnsi="Arial" w:eastAsia="Arial" w:cs="Arial"/>
                <w:sz w:val="18"/>
                <w:szCs w:val="18"/>
              </w:rPr>
              <w:t>Núcleo del sistema. Gestiona la lógica de negocio: autenticación, reservas, catálogo de prestadores, reseñas, itinerarios y contenido turístico.</w:t>
            </w:r>
          </w:p>
        </w:tc>
        <w:tc>
          <w:tcPr>
            <w:tcW w:w="3480" w:type="dxa"/>
          </w:tcPr>
          <w:p w14:paraId="7DEA6E93">
            <w:r>
              <w:rPr>
                <w:rFonts w:ascii="Arial" w:hAnsi="Arial" w:eastAsia="Arial" w:cs="Arial"/>
                <w:sz w:val="18"/>
                <w:szCs w:val="18"/>
              </w:rPr>
              <w:t>Node.js 20 + Express.js (o NestJS para proyectos con mayor estructura). Documentación con Swagger/OpenAPI.</w:t>
            </w:r>
          </w:p>
        </w:tc>
      </w:tr>
      <w:tr w14:paraId="1875B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290090A9">
            <w:pPr>
              <w:jc w:val="center"/>
            </w:pPr>
            <w:r>
              <w:rPr>
                <w:rFonts w:ascii="Arial" w:hAnsi="Arial" w:eastAsia="Arial" w:cs="Arial"/>
                <w:sz w:val="18"/>
                <w:szCs w:val="18"/>
              </w:rPr>
              <w:t>5</w:t>
            </w:r>
          </w:p>
        </w:tc>
        <w:tc>
          <w:tcPr>
            <w:tcW w:w="2000" w:type="dxa"/>
          </w:tcPr>
          <w:p w14:paraId="15BA63B0">
            <w:r>
              <w:rPr>
                <w:rFonts w:ascii="Arial" w:hAnsi="Arial" w:eastAsia="Arial" w:cs="Arial"/>
                <w:sz w:val="18"/>
                <w:szCs w:val="18"/>
              </w:rPr>
              <w:t>Servicio de Recomendaciones</w:t>
            </w:r>
          </w:p>
        </w:tc>
        <w:tc>
          <w:tcPr>
            <w:tcW w:w="3480" w:type="dxa"/>
          </w:tcPr>
          <w:p w14:paraId="2A8F0492">
            <w:r>
              <w:rPr>
                <w:rFonts w:ascii="Arial" w:hAnsi="Arial" w:eastAsia="Arial" w:cs="Arial"/>
                <w:sz w:val="18"/>
                <w:szCs w:val="18"/>
              </w:rPr>
              <w:t>Motor de personalización que analiza el comportamiento del usuario y genera sugerencias de destinos, rutas y prestadores relevantes.</w:t>
            </w:r>
          </w:p>
        </w:tc>
        <w:tc>
          <w:tcPr>
            <w:tcW w:w="3480" w:type="dxa"/>
          </w:tcPr>
          <w:p w14:paraId="4BAF2044">
            <w:r>
              <w:rPr>
                <w:rFonts w:ascii="Arial" w:hAnsi="Arial" w:eastAsia="Arial" w:cs="Arial"/>
                <w:sz w:val="18"/>
                <w:szCs w:val="18"/>
              </w:rPr>
              <w:t>Python + FastAPI. Modelo de filtrado colaborativo con scikit-learn. Consumido por la API principal como microservicio.</w:t>
            </w:r>
          </w:p>
        </w:tc>
      </w:tr>
      <w:tr w14:paraId="3A627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7738CFDA">
            <w:pPr>
              <w:jc w:val="center"/>
            </w:pPr>
            <w:r>
              <w:rPr>
                <w:rFonts w:ascii="Arial" w:hAnsi="Arial" w:eastAsia="Arial" w:cs="Arial"/>
                <w:sz w:val="18"/>
                <w:szCs w:val="18"/>
              </w:rPr>
              <w:t>6</w:t>
            </w:r>
          </w:p>
        </w:tc>
        <w:tc>
          <w:tcPr>
            <w:tcW w:w="2000" w:type="dxa"/>
          </w:tcPr>
          <w:p w14:paraId="598AD674">
            <w:r>
              <w:rPr>
                <w:rFonts w:ascii="Arial" w:hAnsi="Arial" w:eastAsia="Arial" w:cs="Arial"/>
                <w:sz w:val="18"/>
                <w:szCs w:val="18"/>
              </w:rPr>
              <w:t>Servicio de Pagos</w:t>
            </w:r>
          </w:p>
        </w:tc>
        <w:tc>
          <w:tcPr>
            <w:tcW w:w="3480" w:type="dxa"/>
          </w:tcPr>
          <w:p w14:paraId="3E520E83">
            <w:r>
              <w:rPr>
                <w:rFonts w:ascii="Arial" w:hAnsi="Arial" w:eastAsia="Arial" w:cs="Arial"/>
                <w:sz w:val="18"/>
                <w:szCs w:val="18"/>
              </w:rPr>
              <w:t>Procesamiento seguro de pagos digitales, liquidación a prestadores y gestión de reembolsos. PCI-DSS compliant.</w:t>
            </w:r>
          </w:p>
        </w:tc>
        <w:tc>
          <w:tcPr>
            <w:tcW w:w="3480" w:type="dxa"/>
          </w:tcPr>
          <w:p w14:paraId="6D03806B">
            <w:r>
              <w:rPr>
                <w:rFonts w:ascii="Arial" w:hAnsi="Arial" w:eastAsia="Arial" w:cs="Arial"/>
                <w:sz w:val="18"/>
                <w:szCs w:val="18"/>
              </w:rPr>
              <w:t>Integración con Wompi (pasarela colombiana con soporte PSE, Bancolombia, tarjetas). SDK oficial + webhooks para confirmación asíncrona.</w:t>
            </w:r>
          </w:p>
        </w:tc>
      </w:tr>
      <w:tr w14:paraId="2D42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6EA20D22">
            <w:pPr>
              <w:jc w:val="center"/>
            </w:pPr>
            <w:r>
              <w:rPr>
                <w:rFonts w:ascii="Arial" w:hAnsi="Arial" w:eastAsia="Arial" w:cs="Arial"/>
                <w:sz w:val="18"/>
                <w:szCs w:val="18"/>
              </w:rPr>
              <w:t>7</w:t>
            </w:r>
          </w:p>
        </w:tc>
        <w:tc>
          <w:tcPr>
            <w:tcW w:w="2000" w:type="dxa"/>
          </w:tcPr>
          <w:p w14:paraId="59DEC497">
            <w:r>
              <w:rPr>
                <w:rFonts w:ascii="Arial" w:hAnsi="Arial" w:eastAsia="Arial" w:cs="Arial"/>
                <w:sz w:val="18"/>
                <w:szCs w:val="18"/>
              </w:rPr>
              <w:t>Servicio de Notificaciones</w:t>
            </w:r>
          </w:p>
        </w:tc>
        <w:tc>
          <w:tcPr>
            <w:tcW w:w="3480" w:type="dxa"/>
          </w:tcPr>
          <w:p w14:paraId="5228BCC8">
            <w:r>
              <w:rPr>
                <w:rFonts w:ascii="Arial" w:hAnsi="Arial" w:eastAsia="Arial" w:cs="Arial"/>
                <w:sz w:val="18"/>
                <w:szCs w:val="18"/>
              </w:rPr>
              <w:t>Envío de correos electrónicos transaccionales (confirmación de reserva, recordatorios, recuperación de cuenta) y notificaciones push.</w:t>
            </w:r>
          </w:p>
        </w:tc>
        <w:tc>
          <w:tcPr>
            <w:tcW w:w="3480" w:type="dxa"/>
          </w:tcPr>
          <w:p w14:paraId="7FDF1C05">
            <w:r>
              <w:rPr>
                <w:rFonts w:ascii="Arial" w:hAnsi="Arial" w:eastAsia="Arial" w:cs="Arial"/>
                <w:sz w:val="18"/>
                <w:szCs w:val="18"/>
                <w:lang w:val="en-US"/>
              </w:rPr>
              <w:t xml:space="preserve">SendGrid para emails. Firebase Cloud Messaging para push. </w:t>
            </w:r>
            <w:r>
              <w:rPr>
                <w:rFonts w:ascii="Arial" w:hAnsi="Arial" w:eastAsia="Arial" w:cs="Arial"/>
                <w:sz w:val="18"/>
                <w:szCs w:val="18"/>
              </w:rPr>
              <w:t>Arquitectura de colas con BullMQ + Redis.</w:t>
            </w:r>
          </w:p>
        </w:tc>
      </w:tr>
      <w:tr w14:paraId="55ABF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560" w:type="dxa"/>
        </w:trPr>
        <w:tc>
          <w:tcPr>
            <w:tcW w:w="400" w:type="dxa"/>
          </w:tcPr>
          <w:p w14:paraId="7A349B45">
            <w:pPr>
              <w:jc w:val="center"/>
            </w:pPr>
          </w:p>
        </w:tc>
        <w:tc>
          <w:tcPr>
            <w:tcW w:w="8960" w:type="dxa"/>
          </w:tcPr>
          <w:p w14:paraId="4F359542">
            <w:r>
              <w:rPr>
                <w:rFonts w:ascii="Arial" w:hAnsi="Arial" w:eastAsia="Arial" w:cs="Arial"/>
                <w:b/>
                <w:bCs/>
                <w:sz w:val="18"/>
                <w:szCs w:val="18"/>
              </w:rPr>
              <w:t>CAPA DE DATOS</w:t>
            </w:r>
          </w:p>
        </w:tc>
      </w:tr>
      <w:tr w14:paraId="399AF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40C024DF">
            <w:pPr>
              <w:jc w:val="center"/>
            </w:pPr>
            <w:r>
              <w:rPr>
                <w:rFonts w:ascii="Arial" w:hAnsi="Arial" w:eastAsia="Arial" w:cs="Arial"/>
                <w:sz w:val="18"/>
                <w:szCs w:val="18"/>
              </w:rPr>
              <w:t>8</w:t>
            </w:r>
          </w:p>
        </w:tc>
        <w:tc>
          <w:tcPr>
            <w:tcW w:w="2000" w:type="dxa"/>
          </w:tcPr>
          <w:p w14:paraId="265344EC">
            <w:r>
              <w:rPr>
                <w:rFonts w:ascii="Arial" w:hAnsi="Arial" w:eastAsia="Arial" w:cs="Arial"/>
                <w:sz w:val="18"/>
                <w:szCs w:val="18"/>
              </w:rPr>
              <w:t>Base de Datos Relacional</w:t>
            </w:r>
          </w:p>
        </w:tc>
        <w:tc>
          <w:tcPr>
            <w:tcW w:w="3480" w:type="dxa"/>
          </w:tcPr>
          <w:p w14:paraId="6387D744">
            <w:r>
              <w:rPr>
                <w:rFonts w:ascii="Arial" w:hAnsi="Arial" w:eastAsia="Arial" w:cs="Arial"/>
                <w:sz w:val="18"/>
                <w:szCs w:val="18"/>
              </w:rPr>
              <w:t>Almacenamiento de datos estructurados: usuarios, prestadores, reservas, reseñas, transacciones financieras e itinerarios.</w:t>
            </w:r>
          </w:p>
        </w:tc>
        <w:tc>
          <w:tcPr>
            <w:tcW w:w="3480" w:type="dxa"/>
          </w:tcPr>
          <w:p w14:paraId="6D5A3B1E">
            <w:r>
              <w:rPr>
                <w:rFonts w:ascii="Arial" w:hAnsi="Arial" w:eastAsia="Arial" w:cs="Arial"/>
                <w:sz w:val="18"/>
                <w:szCs w:val="18"/>
              </w:rPr>
              <w:t>PostgreSQL 16 (gestionado en AWS RDS). Soporte a transacciones ACID crítico para reservas y pagos.</w:t>
            </w:r>
          </w:p>
        </w:tc>
      </w:tr>
      <w:tr w14:paraId="61F2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083FC6AD">
            <w:pPr>
              <w:jc w:val="center"/>
            </w:pPr>
            <w:r>
              <w:rPr>
                <w:rFonts w:ascii="Arial" w:hAnsi="Arial" w:eastAsia="Arial" w:cs="Arial"/>
                <w:sz w:val="18"/>
                <w:szCs w:val="18"/>
              </w:rPr>
              <w:t>9</w:t>
            </w:r>
          </w:p>
        </w:tc>
        <w:tc>
          <w:tcPr>
            <w:tcW w:w="2000" w:type="dxa"/>
          </w:tcPr>
          <w:p w14:paraId="11B58975">
            <w:r>
              <w:rPr>
                <w:rFonts w:ascii="Arial" w:hAnsi="Arial" w:eastAsia="Arial" w:cs="Arial"/>
                <w:sz w:val="18"/>
                <w:szCs w:val="18"/>
              </w:rPr>
              <w:t>Base de Datos NoSQL</w:t>
            </w:r>
          </w:p>
        </w:tc>
        <w:tc>
          <w:tcPr>
            <w:tcW w:w="3480" w:type="dxa"/>
          </w:tcPr>
          <w:p w14:paraId="7C67003A">
            <w:r>
              <w:rPr>
                <w:rFonts w:ascii="Arial" w:hAnsi="Arial" w:eastAsia="Arial" w:cs="Arial"/>
                <w:sz w:val="18"/>
                <w:szCs w:val="18"/>
              </w:rPr>
              <w:t>Almacenamiento de contenido turístico con estructura flexible: destinos, rutas, festividades, descripción de municipios. Alta velocidad de lectura.</w:t>
            </w:r>
          </w:p>
        </w:tc>
        <w:tc>
          <w:tcPr>
            <w:tcW w:w="3480" w:type="dxa"/>
          </w:tcPr>
          <w:p w14:paraId="1680B027">
            <w:r>
              <w:rPr>
                <w:rFonts w:ascii="Arial" w:hAnsi="Arial" w:eastAsia="Arial" w:cs="Arial"/>
                <w:sz w:val="18"/>
                <w:szCs w:val="18"/>
              </w:rPr>
              <w:t>MongoDB Atlas (plan gratuito inicial, escalable). Geolocalización nativa con índices geoespaciales para búsqueda de destinos por coordenadas.</w:t>
            </w:r>
          </w:p>
        </w:tc>
      </w:tr>
      <w:tr w14:paraId="1993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2EDA367A">
            <w:pPr>
              <w:jc w:val="center"/>
            </w:pPr>
            <w:r>
              <w:rPr>
                <w:rFonts w:ascii="Arial" w:hAnsi="Arial" w:eastAsia="Arial" w:cs="Arial"/>
                <w:sz w:val="18"/>
                <w:szCs w:val="18"/>
              </w:rPr>
              <w:t>10</w:t>
            </w:r>
          </w:p>
        </w:tc>
        <w:tc>
          <w:tcPr>
            <w:tcW w:w="2000" w:type="dxa"/>
          </w:tcPr>
          <w:p w14:paraId="0468AEEE">
            <w:r>
              <w:rPr>
                <w:rFonts w:ascii="Arial" w:hAnsi="Arial" w:eastAsia="Arial" w:cs="Arial"/>
                <w:sz w:val="18"/>
                <w:szCs w:val="18"/>
              </w:rPr>
              <w:t>Caché en Memoria</w:t>
            </w:r>
          </w:p>
        </w:tc>
        <w:tc>
          <w:tcPr>
            <w:tcW w:w="3480" w:type="dxa"/>
          </w:tcPr>
          <w:p w14:paraId="3F0B9450">
            <w:r>
              <w:rPr>
                <w:rFonts w:ascii="Arial" w:hAnsi="Arial" w:eastAsia="Arial" w:cs="Arial"/>
                <w:sz w:val="18"/>
                <w:szCs w:val="18"/>
              </w:rPr>
              <w:t>Almacena en memoria resultados de consultas frecuentes (catálogo de destinos, rankings de prestadores) para reducir latencia y carga en BD.</w:t>
            </w:r>
          </w:p>
        </w:tc>
        <w:tc>
          <w:tcPr>
            <w:tcW w:w="3480" w:type="dxa"/>
          </w:tcPr>
          <w:p w14:paraId="3A458F37">
            <w:r>
              <w:rPr>
                <w:rFonts w:ascii="Arial" w:hAnsi="Arial" w:eastAsia="Arial" w:cs="Arial"/>
                <w:sz w:val="18"/>
                <w:szCs w:val="18"/>
              </w:rPr>
              <w:t>Redis 7 (ElastiCache de AWS). TTL configurado por tipo de dato. También usado como broker para colas de tareas asíncronas.</w:t>
            </w:r>
          </w:p>
        </w:tc>
      </w:tr>
      <w:tr w14:paraId="77D8C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5C48304D">
            <w:pPr>
              <w:jc w:val="center"/>
            </w:pPr>
            <w:r>
              <w:rPr>
                <w:rFonts w:ascii="Arial" w:hAnsi="Arial" w:eastAsia="Arial" w:cs="Arial"/>
                <w:sz w:val="18"/>
                <w:szCs w:val="18"/>
              </w:rPr>
              <w:t>11</w:t>
            </w:r>
          </w:p>
        </w:tc>
        <w:tc>
          <w:tcPr>
            <w:tcW w:w="2000" w:type="dxa"/>
          </w:tcPr>
          <w:p w14:paraId="5871DA7B">
            <w:r>
              <w:rPr>
                <w:rFonts w:ascii="Arial" w:hAnsi="Arial" w:eastAsia="Arial" w:cs="Arial"/>
                <w:sz w:val="18"/>
                <w:szCs w:val="18"/>
              </w:rPr>
              <w:t>Almacenamiento de Archivos</w:t>
            </w:r>
          </w:p>
        </w:tc>
        <w:tc>
          <w:tcPr>
            <w:tcW w:w="3480" w:type="dxa"/>
          </w:tcPr>
          <w:p w14:paraId="22D778BA">
            <w:r>
              <w:rPr>
                <w:rFonts w:ascii="Arial" w:hAnsi="Arial" w:eastAsia="Arial" w:cs="Arial"/>
                <w:sz w:val="18"/>
                <w:szCs w:val="18"/>
              </w:rPr>
              <w:t>Almacenamiento de imágenes de destinos, fotos de prestadores, documentos de verificación y recursos multimedia de la plataforma.</w:t>
            </w:r>
          </w:p>
        </w:tc>
        <w:tc>
          <w:tcPr>
            <w:tcW w:w="3480" w:type="dxa"/>
          </w:tcPr>
          <w:p w14:paraId="3F3F3B75">
            <w:r>
              <w:rPr>
                <w:rFonts w:ascii="Arial" w:hAnsi="Arial" w:eastAsia="Arial" w:cs="Arial"/>
                <w:sz w:val="18"/>
                <w:szCs w:val="18"/>
              </w:rPr>
              <w:t>Amazon S3 + CloudFront CDN para distribución global de imágenes con baja latencia. Compresión automática con Sharp en el backend.</w:t>
            </w:r>
          </w:p>
        </w:tc>
      </w:tr>
      <w:tr w14:paraId="60508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4560" w:type="dxa"/>
        </w:trPr>
        <w:tc>
          <w:tcPr>
            <w:tcW w:w="400" w:type="dxa"/>
          </w:tcPr>
          <w:p w14:paraId="5165CB5A">
            <w:pPr>
              <w:jc w:val="center"/>
            </w:pPr>
          </w:p>
        </w:tc>
        <w:tc>
          <w:tcPr>
            <w:tcW w:w="8960" w:type="dxa"/>
          </w:tcPr>
          <w:p w14:paraId="49370F3D">
            <w:r>
              <w:rPr>
                <w:rFonts w:ascii="Arial" w:hAnsi="Arial" w:eastAsia="Arial" w:cs="Arial"/>
                <w:b/>
                <w:bCs/>
                <w:sz w:val="18"/>
                <w:szCs w:val="18"/>
              </w:rPr>
              <w:t>INFRAESTRUCTURA Y SEGURIDAD</w:t>
            </w:r>
          </w:p>
        </w:tc>
      </w:tr>
      <w:tr w14:paraId="0D11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0C16DBA1">
            <w:pPr>
              <w:jc w:val="center"/>
            </w:pPr>
            <w:r>
              <w:rPr>
                <w:rFonts w:ascii="Arial" w:hAnsi="Arial" w:eastAsia="Arial" w:cs="Arial"/>
                <w:sz w:val="18"/>
                <w:szCs w:val="18"/>
              </w:rPr>
              <w:t>12</w:t>
            </w:r>
          </w:p>
        </w:tc>
        <w:tc>
          <w:tcPr>
            <w:tcW w:w="2000" w:type="dxa"/>
          </w:tcPr>
          <w:p w14:paraId="63F45E3E">
            <w:r>
              <w:rPr>
                <w:rFonts w:ascii="Arial" w:hAnsi="Arial" w:eastAsia="Arial" w:cs="Arial"/>
                <w:sz w:val="18"/>
                <w:szCs w:val="18"/>
              </w:rPr>
              <w:t>Servidor Web / API Gateway</w:t>
            </w:r>
          </w:p>
        </w:tc>
        <w:tc>
          <w:tcPr>
            <w:tcW w:w="3480" w:type="dxa"/>
          </w:tcPr>
          <w:p w14:paraId="30D0578D">
            <w:r>
              <w:rPr>
                <w:rFonts w:ascii="Arial" w:hAnsi="Arial" w:eastAsia="Arial" w:cs="Arial"/>
                <w:sz w:val="18"/>
                <w:szCs w:val="18"/>
              </w:rPr>
              <w:t>Punto de entrada único para todas las solicitudes externas. Enruta tráfico a los servicios internos, gestiona versiones de API y aplica throttling.</w:t>
            </w:r>
          </w:p>
        </w:tc>
        <w:tc>
          <w:tcPr>
            <w:tcW w:w="3480" w:type="dxa"/>
          </w:tcPr>
          <w:p w14:paraId="43BB8CB2">
            <w:r>
              <w:rPr>
                <w:rFonts w:ascii="Arial" w:hAnsi="Arial" w:eastAsia="Arial" w:cs="Arial"/>
                <w:sz w:val="18"/>
                <w:szCs w:val="18"/>
              </w:rPr>
              <w:t>AWS API Gateway + NGINX como proxy inverso dentro del clúster. SSL/TLS gestionado por AWS Certificate Manager.</w:t>
            </w:r>
          </w:p>
        </w:tc>
      </w:tr>
      <w:tr w14:paraId="3E864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6F757B1A">
            <w:pPr>
              <w:jc w:val="center"/>
            </w:pPr>
            <w:r>
              <w:rPr>
                <w:rFonts w:ascii="Arial" w:hAnsi="Arial" w:eastAsia="Arial" w:cs="Arial"/>
                <w:sz w:val="18"/>
                <w:szCs w:val="18"/>
              </w:rPr>
              <w:t>13</w:t>
            </w:r>
          </w:p>
        </w:tc>
        <w:tc>
          <w:tcPr>
            <w:tcW w:w="2000" w:type="dxa"/>
          </w:tcPr>
          <w:p w14:paraId="09008092">
            <w:r>
              <w:rPr>
                <w:rFonts w:ascii="Arial" w:hAnsi="Arial" w:eastAsia="Arial" w:cs="Arial"/>
                <w:sz w:val="18"/>
                <w:szCs w:val="18"/>
              </w:rPr>
              <w:t>Balanceador de Carga</w:t>
            </w:r>
          </w:p>
        </w:tc>
        <w:tc>
          <w:tcPr>
            <w:tcW w:w="3480" w:type="dxa"/>
          </w:tcPr>
          <w:p w14:paraId="735118B5">
            <w:r>
              <w:rPr>
                <w:rFonts w:ascii="Arial" w:hAnsi="Arial" w:eastAsia="Arial" w:cs="Arial"/>
                <w:sz w:val="18"/>
                <w:szCs w:val="18"/>
              </w:rPr>
              <w:t>Distribuye el tráfico entrante entre múltiples instancias del backend, garantizando alta disponibilidad y tolerancia a fallos.</w:t>
            </w:r>
          </w:p>
        </w:tc>
        <w:tc>
          <w:tcPr>
            <w:tcW w:w="3480" w:type="dxa"/>
          </w:tcPr>
          <w:p w14:paraId="092DD663">
            <w:r>
              <w:rPr>
                <w:rFonts w:ascii="Arial" w:hAnsi="Arial" w:eastAsia="Arial" w:cs="Arial"/>
                <w:sz w:val="18"/>
                <w:szCs w:val="18"/>
                <w:lang w:val="en-US"/>
              </w:rPr>
              <w:t xml:space="preserve">AWS Application Load Balancer (ALB). </w:t>
            </w:r>
            <w:r>
              <w:rPr>
                <w:rFonts w:ascii="Arial" w:hAnsi="Arial" w:eastAsia="Arial" w:cs="Arial"/>
                <w:sz w:val="18"/>
                <w:szCs w:val="18"/>
              </w:rPr>
              <w:t>Soporte a WebSocket para futuras funciones de chat en tiempo real. Health checks automáticos.</w:t>
            </w:r>
          </w:p>
        </w:tc>
      </w:tr>
      <w:tr w14:paraId="3725F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404D0D46">
            <w:pPr>
              <w:jc w:val="center"/>
            </w:pPr>
            <w:r>
              <w:rPr>
                <w:rFonts w:ascii="Arial" w:hAnsi="Arial" w:eastAsia="Arial" w:cs="Arial"/>
                <w:sz w:val="18"/>
                <w:szCs w:val="18"/>
              </w:rPr>
              <w:t>14</w:t>
            </w:r>
          </w:p>
        </w:tc>
        <w:tc>
          <w:tcPr>
            <w:tcW w:w="2000" w:type="dxa"/>
          </w:tcPr>
          <w:p w14:paraId="67031AE8">
            <w:r>
              <w:rPr>
                <w:rFonts w:ascii="Arial" w:hAnsi="Arial" w:eastAsia="Arial" w:cs="Arial"/>
                <w:sz w:val="18"/>
                <w:szCs w:val="18"/>
              </w:rPr>
              <w:t>Firewall / WAF</w:t>
            </w:r>
          </w:p>
        </w:tc>
        <w:tc>
          <w:tcPr>
            <w:tcW w:w="3480" w:type="dxa"/>
          </w:tcPr>
          <w:p w14:paraId="7D2C265F">
            <w:r>
              <w:rPr>
                <w:rFonts w:ascii="Arial" w:hAnsi="Arial" w:eastAsia="Arial" w:cs="Arial"/>
                <w:sz w:val="18"/>
                <w:szCs w:val="18"/>
              </w:rPr>
              <w:t>Protección contra ataques web comunes (SQLi, XSS, CSRF), bots y denegación de servicio. Primera línea de defensa del sistema.</w:t>
            </w:r>
          </w:p>
        </w:tc>
        <w:tc>
          <w:tcPr>
            <w:tcW w:w="3480" w:type="dxa"/>
          </w:tcPr>
          <w:p w14:paraId="21C90087">
            <w:r>
              <w:rPr>
                <w:rFonts w:ascii="Arial" w:hAnsi="Arial" w:eastAsia="Arial" w:cs="Arial"/>
                <w:sz w:val="18"/>
                <w:szCs w:val="18"/>
                <w:lang w:val="en-US"/>
              </w:rPr>
              <w:t xml:space="preserve">AWS WAF con reglas administradas (OWASP Top 10). AWS Shield Standard incluido. </w:t>
            </w:r>
            <w:r>
              <w:rPr>
                <w:rFonts w:ascii="Arial" w:hAnsi="Arial" w:eastAsia="Arial" w:cs="Arial"/>
                <w:sz w:val="18"/>
                <w:szCs w:val="18"/>
              </w:rPr>
              <w:t>Reglas personalizadas para el contexto de la plataforma.</w:t>
            </w:r>
          </w:p>
        </w:tc>
      </w:tr>
      <w:tr w14:paraId="1B9C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45BAB04C">
            <w:pPr>
              <w:jc w:val="center"/>
            </w:pPr>
            <w:r>
              <w:rPr>
                <w:rFonts w:ascii="Arial" w:hAnsi="Arial" w:eastAsia="Arial" w:cs="Arial"/>
                <w:sz w:val="18"/>
                <w:szCs w:val="18"/>
              </w:rPr>
              <w:t>15</w:t>
            </w:r>
          </w:p>
        </w:tc>
        <w:tc>
          <w:tcPr>
            <w:tcW w:w="2000" w:type="dxa"/>
          </w:tcPr>
          <w:p w14:paraId="260A377E">
            <w:r>
              <w:rPr>
                <w:rFonts w:ascii="Arial" w:hAnsi="Arial" w:eastAsia="Arial" w:cs="Arial"/>
                <w:sz w:val="18"/>
                <w:szCs w:val="18"/>
              </w:rPr>
              <w:t>Contenedores / Orquestación</w:t>
            </w:r>
          </w:p>
        </w:tc>
        <w:tc>
          <w:tcPr>
            <w:tcW w:w="3480" w:type="dxa"/>
          </w:tcPr>
          <w:p w14:paraId="70FF951E">
            <w:r>
              <w:rPr>
                <w:rFonts w:ascii="Arial" w:hAnsi="Arial" w:eastAsia="Arial" w:cs="Arial"/>
                <w:sz w:val="18"/>
                <w:szCs w:val="18"/>
              </w:rPr>
              <w:t>Empaquetado y despliegue de servicios de forma aislada, reproducible y escalable. Facilita CI/CD y rollbacks seguros.</w:t>
            </w:r>
          </w:p>
        </w:tc>
        <w:tc>
          <w:tcPr>
            <w:tcW w:w="3480" w:type="dxa"/>
          </w:tcPr>
          <w:p w14:paraId="18089085">
            <w:r>
              <w:rPr>
                <w:rFonts w:ascii="Arial" w:hAnsi="Arial" w:eastAsia="Arial" w:cs="Arial"/>
                <w:sz w:val="18"/>
                <w:szCs w:val="18"/>
                <w:lang w:val="en-US"/>
              </w:rPr>
              <w:t xml:space="preserve">Docker + AWS ECS (Elastic Container Service) con Fargate (serverless). </w:t>
            </w:r>
            <w:r>
              <w:rPr>
                <w:rFonts w:ascii="Arial" w:hAnsi="Arial" w:eastAsia="Arial" w:cs="Arial"/>
                <w:sz w:val="18"/>
                <w:szCs w:val="18"/>
              </w:rPr>
              <w:t>Inicio simple, sin gestión de servidores EC2.</w:t>
            </w:r>
          </w:p>
        </w:tc>
      </w:tr>
      <w:tr w14:paraId="2215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6F0049E6">
            <w:pPr>
              <w:jc w:val="center"/>
            </w:pPr>
            <w:r>
              <w:rPr>
                <w:rFonts w:ascii="Arial" w:hAnsi="Arial" w:eastAsia="Arial" w:cs="Arial"/>
                <w:sz w:val="18"/>
                <w:szCs w:val="18"/>
              </w:rPr>
              <w:t>16</w:t>
            </w:r>
          </w:p>
        </w:tc>
        <w:tc>
          <w:tcPr>
            <w:tcW w:w="2000" w:type="dxa"/>
          </w:tcPr>
          <w:p w14:paraId="791FEBD2">
            <w:r>
              <w:rPr>
                <w:rFonts w:ascii="Arial" w:hAnsi="Arial" w:eastAsia="Arial" w:cs="Arial"/>
                <w:sz w:val="18"/>
                <w:szCs w:val="18"/>
              </w:rPr>
              <w:t>Servicios de Autenticación</w:t>
            </w:r>
          </w:p>
        </w:tc>
        <w:tc>
          <w:tcPr>
            <w:tcW w:w="3480" w:type="dxa"/>
          </w:tcPr>
          <w:p w14:paraId="58A6CD73">
            <w:r>
              <w:rPr>
                <w:rFonts w:ascii="Arial" w:hAnsi="Arial" w:eastAsia="Arial" w:cs="Arial"/>
                <w:sz w:val="18"/>
                <w:szCs w:val="18"/>
              </w:rPr>
              <w:t>Gestión de identidad: registro, login, recuperación de contraseña, sesiones y autenticación multifactor para usuarios y prestadores.</w:t>
            </w:r>
          </w:p>
        </w:tc>
        <w:tc>
          <w:tcPr>
            <w:tcW w:w="3480" w:type="dxa"/>
          </w:tcPr>
          <w:p w14:paraId="12249FDA">
            <w:r>
              <w:rPr>
                <w:rFonts w:ascii="Arial" w:hAnsi="Arial" w:eastAsia="Arial" w:cs="Arial"/>
                <w:sz w:val="18"/>
                <w:szCs w:val="18"/>
              </w:rPr>
              <w:t xml:space="preserve">Auth0 (plan gratuito hasta 7.500 MAUs). </w:t>
            </w:r>
            <w:r>
              <w:rPr>
                <w:rFonts w:ascii="Arial" w:hAnsi="Arial" w:eastAsia="Arial" w:cs="Arial"/>
                <w:sz w:val="18"/>
                <w:szCs w:val="18"/>
                <w:lang w:val="en-US"/>
              </w:rPr>
              <w:t xml:space="preserve">Soporta OAuth 2.0, JWT, login social (Google, Facebook). </w:t>
            </w:r>
            <w:r>
              <w:rPr>
                <w:rFonts w:ascii="Arial" w:hAnsi="Arial" w:eastAsia="Arial" w:cs="Arial"/>
                <w:sz w:val="18"/>
                <w:szCs w:val="18"/>
              </w:rPr>
              <w:t>Reduce desarrollo de seguridad propio.</w:t>
            </w:r>
          </w:p>
        </w:tc>
      </w:tr>
      <w:tr w14:paraId="39FFF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22F84FC8">
            <w:pPr>
              <w:jc w:val="center"/>
            </w:pPr>
            <w:r>
              <w:rPr>
                <w:rFonts w:ascii="Arial" w:hAnsi="Arial" w:eastAsia="Arial" w:cs="Arial"/>
                <w:sz w:val="18"/>
                <w:szCs w:val="18"/>
              </w:rPr>
              <w:t>17</w:t>
            </w:r>
          </w:p>
        </w:tc>
        <w:tc>
          <w:tcPr>
            <w:tcW w:w="2000" w:type="dxa"/>
          </w:tcPr>
          <w:p w14:paraId="2B198353">
            <w:r>
              <w:rPr>
                <w:rFonts w:ascii="Arial" w:hAnsi="Arial" w:eastAsia="Arial" w:cs="Arial"/>
                <w:sz w:val="18"/>
                <w:szCs w:val="18"/>
              </w:rPr>
              <w:t>CI/CD Pipeline</w:t>
            </w:r>
          </w:p>
        </w:tc>
        <w:tc>
          <w:tcPr>
            <w:tcW w:w="3480" w:type="dxa"/>
          </w:tcPr>
          <w:p w14:paraId="0CCFCE90">
            <w:r>
              <w:rPr>
                <w:rFonts w:ascii="Arial" w:hAnsi="Arial" w:eastAsia="Arial" w:cs="Arial"/>
                <w:sz w:val="18"/>
                <w:szCs w:val="18"/>
              </w:rPr>
              <w:t>Automatización de pruebas, builds y despliegues. Garantiza que cada cambio de código pase por validación antes de llegar a producción.</w:t>
            </w:r>
          </w:p>
        </w:tc>
        <w:tc>
          <w:tcPr>
            <w:tcW w:w="3480" w:type="dxa"/>
          </w:tcPr>
          <w:p w14:paraId="1B3421C3">
            <w:r>
              <w:rPr>
                <w:rFonts w:ascii="Arial" w:hAnsi="Arial" w:eastAsia="Arial" w:cs="Arial"/>
                <w:sz w:val="18"/>
                <w:szCs w:val="18"/>
                <w:lang w:val="en-US"/>
              </w:rPr>
              <w:t xml:space="preserve">GitHub Actions. Flujos: lint → test → build Docker → push ECR → deploy ECS. </w:t>
            </w:r>
            <w:r>
              <w:rPr>
                <w:rFonts w:ascii="Arial" w:hAnsi="Arial" w:eastAsia="Arial" w:cs="Arial"/>
                <w:sz w:val="18"/>
                <w:szCs w:val="18"/>
              </w:rPr>
              <w:t>Ambientes: development, staging, production.</w:t>
            </w:r>
          </w:p>
        </w:tc>
      </w:tr>
      <w:tr w14:paraId="195BD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2C07FEAF">
            <w:pPr>
              <w:jc w:val="center"/>
            </w:pPr>
            <w:r>
              <w:rPr>
                <w:rFonts w:ascii="Arial" w:hAnsi="Arial" w:eastAsia="Arial" w:cs="Arial"/>
                <w:sz w:val="18"/>
                <w:szCs w:val="18"/>
              </w:rPr>
              <w:t>18</w:t>
            </w:r>
          </w:p>
        </w:tc>
        <w:tc>
          <w:tcPr>
            <w:tcW w:w="2000" w:type="dxa"/>
          </w:tcPr>
          <w:p w14:paraId="49C23B4B">
            <w:r>
              <w:rPr>
                <w:rFonts w:ascii="Arial" w:hAnsi="Arial" w:eastAsia="Arial" w:cs="Arial"/>
                <w:sz w:val="18"/>
                <w:szCs w:val="18"/>
              </w:rPr>
              <w:t>Monitoreo y Observabilidad</w:t>
            </w:r>
          </w:p>
        </w:tc>
        <w:tc>
          <w:tcPr>
            <w:tcW w:w="3480" w:type="dxa"/>
          </w:tcPr>
          <w:p w14:paraId="3B697D2B">
            <w:r>
              <w:rPr>
                <w:rFonts w:ascii="Arial" w:hAnsi="Arial" w:eastAsia="Arial" w:cs="Arial"/>
                <w:sz w:val="18"/>
                <w:szCs w:val="18"/>
              </w:rPr>
              <w:t>Supervisión de salud del sistema, latencia de APIs, errores y métricas de negocio (reservas, usuarios activos, tasa de conversión).</w:t>
            </w:r>
          </w:p>
        </w:tc>
        <w:tc>
          <w:tcPr>
            <w:tcW w:w="3480" w:type="dxa"/>
          </w:tcPr>
          <w:p w14:paraId="58F3BB0D">
            <w:r>
              <w:rPr>
                <w:rFonts w:ascii="Arial" w:hAnsi="Arial" w:eastAsia="Arial" w:cs="Arial"/>
                <w:sz w:val="18"/>
                <w:szCs w:val="18"/>
              </w:rPr>
              <w:t>AWS CloudWatch para métricas de infraestructura. Sentry para rastreo de errores en frontend y backend. Datadog como opción avanzada.</w:t>
            </w:r>
          </w:p>
        </w:tc>
      </w:tr>
      <w:tr w14:paraId="76AF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tcPr>
          <w:p w14:paraId="73A6C1E6">
            <w:pPr>
              <w:jc w:val="center"/>
            </w:pPr>
            <w:r>
              <w:rPr>
                <w:rFonts w:ascii="Arial" w:hAnsi="Arial" w:eastAsia="Arial" w:cs="Arial"/>
                <w:sz w:val="18"/>
                <w:szCs w:val="18"/>
              </w:rPr>
              <w:t>19</w:t>
            </w:r>
          </w:p>
        </w:tc>
        <w:tc>
          <w:tcPr>
            <w:tcW w:w="2000" w:type="dxa"/>
          </w:tcPr>
          <w:p w14:paraId="5F6983BF">
            <w:r>
              <w:rPr>
                <w:rFonts w:ascii="Arial" w:hAnsi="Arial" w:eastAsia="Arial" w:cs="Arial"/>
                <w:sz w:val="18"/>
                <w:szCs w:val="18"/>
              </w:rPr>
              <w:t>Mapas y Geolocalización</w:t>
            </w:r>
          </w:p>
        </w:tc>
        <w:tc>
          <w:tcPr>
            <w:tcW w:w="3480" w:type="dxa"/>
          </w:tcPr>
          <w:p w14:paraId="6DF02581">
            <w:r>
              <w:rPr>
                <w:rFonts w:ascii="Arial" w:hAnsi="Arial" w:eastAsia="Arial" w:cs="Arial"/>
                <w:sz w:val="18"/>
                <w:szCs w:val="18"/>
              </w:rPr>
              <w:t>Visualización de destinos en mapa interactivo, cálculo de rutas turísticas y búsqueda de prestadores por proximidad geográfica.</w:t>
            </w:r>
          </w:p>
        </w:tc>
        <w:tc>
          <w:tcPr>
            <w:tcW w:w="3480" w:type="dxa"/>
          </w:tcPr>
          <w:p w14:paraId="30DBAE04">
            <w:r>
              <w:rPr>
                <w:rFonts w:ascii="Arial" w:hAnsi="Arial" w:eastAsia="Arial" w:cs="Arial"/>
                <w:sz w:val="18"/>
                <w:szCs w:val="18"/>
              </w:rPr>
              <w:t>Mapbox GL JS para el frontend. Google Maps Platform como alternativa. APIs de geocoding y routing integradas en el backend.</w:t>
            </w:r>
          </w:p>
        </w:tc>
      </w:tr>
    </w:tbl>
    <w:p w14:paraId="496DF420">
      <w:pPr>
        <w:pStyle w:val="32"/>
        <w:rPr>
          <w:rFonts w:cs="Times New Roman"/>
          <w:b/>
          <w:szCs w:val="24"/>
        </w:rPr>
      </w:pPr>
    </w:p>
    <w:p w14:paraId="3296D1E3">
      <w:pPr>
        <w:pStyle w:val="32"/>
        <w:spacing w:before="80" w:after="80"/>
      </w:pPr>
    </w:p>
    <w:p w14:paraId="6AEDE246">
      <w:pPr>
        <w:pStyle w:val="32"/>
        <w:spacing w:before="80" w:after="80"/>
      </w:pPr>
      <w:r>
        <w:rPr>
          <w:b/>
          <w:bCs/>
          <w:szCs w:val="24"/>
        </w:rPr>
        <w:t xml:space="preserve">2. Diagrama Tecnológico </w:t>
      </w:r>
    </w:p>
    <w:p w14:paraId="713D0828">
      <w:pPr>
        <w:pStyle w:val="32"/>
        <w:spacing w:before="160" w:after="60"/>
        <w:rPr>
          <w:color w:val="000000"/>
        </w:rPr>
      </w:pPr>
      <w:r>
        <w:rPr>
          <w:color w:val="000000"/>
        </w:rPr>
        <w:t>El diagrama tecnológico representa la infraestructura completa de Sincinaty, mostrando cómo los usuarios se conectan al sistema, los componentes de seguridad que protegen el acceso, los servicios cloud que alojan las aplicaciones y los mecanismos de integración con terceros.</w:t>
      </w:r>
    </w:p>
    <w:p w14:paraId="6591D111">
      <w:pPr>
        <w:pStyle w:val="32"/>
        <w:tabs>
          <w:tab w:val="left" w:pos="2095"/>
        </w:tabs>
        <w:spacing w:before="160" w:after="60"/>
      </w:pPr>
    </w:p>
    <w:p w14:paraId="4F822555">
      <w:pPr>
        <w:pStyle w:val="32"/>
        <w:shd w:val="clear" w:color="auto" w:fill="C6D9F0" w:themeFill="text2" w:themeFillTint="33"/>
        <w:tabs>
          <w:tab w:val="left" w:pos="2095"/>
        </w:tabs>
        <w:spacing w:before="160" w:after="60"/>
      </w:pPr>
      <w:r>
        <w:t>El diagrama a continuación ilustra la arquitectura en capas de Sincinaty. Se organiza de arriba hacia abajo: usuarios → Internet → seguridad → servicios de aplicación → datos e integraciones externas. Cada capa tiene responsabilidades claramente delimitadas.</w:t>
      </w:r>
    </w:p>
    <w:p w14:paraId="2FF6F530">
      <w:pPr>
        <w:pStyle w:val="32"/>
        <w:spacing w:before="160" w:after="60"/>
      </w:pPr>
    </w:p>
    <w:p w14:paraId="498C2B39">
      <w:pPr>
        <w:pStyle w:val="32"/>
        <w:spacing w:before="160" w:after="60"/>
      </w:pPr>
      <w:r>
        <w:drawing>
          <wp:inline distT="0" distB="0" distL="0" distR="0">
            <wp:extent cx="5943600" cy="4438650"/>
            <wp:effectExtent l="0" t="0" r="0" b="0"/>
            <wp:docPr id="1" name="arch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_diagram"/>
                    <pic:cNvPicPr>
                      <a:picLocks noChangeAspect="1"/>
                    </pic:cNvPicPr>
                  </pic:nvPicPr>
                  <pic:blipFill>
                    <a:blip r:embed="rId7"/>
                    <a:stretch>
                      <a:fillRect/>
                    </a:stretch>
                  </pic:blipFill>
                  <pic:spPr>
                    <a:xfrm>
                      <a:off x="0" y="0"/>
                      <a:ext cx="5943600" cy="4438650"/>
                    </a:xfrm>
                    <a:prstGeom prst="rect">
                      <a:avLst/>
                    </a:prstGeom>
                  </pic:spPr>
                </pic:pic>
              </a:graphicData>
            </a:graphic>
          </wp:inline>
        </w:drawing>
      </w:r>
    </w:p>
    <w:p w14:paraId="0D337FAB">
      <w:pPr>
        <w:pStyle w:val="32"/>
        <w:spacing w:before="160" w:after="60"/>
        <w:rPr>
          <w:b/>
          <w:bCs/>
          <w:szCs w:val="24"/>
        </w:rPr>
      </w:pPr>
      <w:r>
        <w:rPr>
          <w:b/>
          <w:bCs/>
          <w:szCs w:val="24"/>
        </w:rPr>
        <w:t xml:space="preserve">3. Diagrama de Despliegue </w:t>
      </w:r>
    </w:p>
    <w:p w14:paraId="41656373">
      <w:pPr>
        <w:pStyle w:val="32"/>
        <w:spacing w:before="160" w:after="60"/>
        <w:rPr>
          <w:szCs w:val="24"/>
        </w:rPr>
      </w:pPr>
      <w:r>
        <w:rPr>
          <w:color w:val="000000"/>
        </w:rPr>
        <w:t>El diagrama de despliegue muestra cómo los componentes de Sincinaty se distribuyen físicamente dentro de la infraestructura de AWS. Se utiliza una arquitectura basada en contenedores Docker orquestados con AWS ECS Fargate, lo que elimina la necesidad de gestionar servidores EC2 directamente y permite escalar automáticamente según la demanda.</w:t>
      </w:r>
    </w:p>
    <w:p w14:paraId="69A5178E">
      <w:pPr>
        <w:pStyle w:val="32"/>
        <w:spacing w:before="80" w:after="80"/>
        <w:rPr>
          <w:color w:val="000000"/>
        </w:rPr>
      </w:pPr>
    </w:p>
    <w:p w14:paraId="662018C3">
      <w:pPr>
        <w:pStyle w:val="32"/>
        <w:shd w:val="clear" w:color="auto" w:fill="C6D9F0" w:themeFill="text2" w:themeFillTint="33"/>
        <w:spacing w:before="80" w:after="80"/>
        <w:rPr>
          <w:color w:val="000000"/>
        </w:rPr>
      </w:pPr>
      <w:r>
        <w:rPr>
          <w:color w:val="000000"/>
        </w:rPr>
        <w:t>La arquitectura de despliegue se organiza dentro de una VPC (Virtual Private Cloud) de AWS dividida en subnets públicas (expuestas a Internet) y privadas (solo acceso interno). Esta separación es fundamental para la seguridad: los servicios de base de datos y caché nunca son accesibles directamente desde Internet.</w:t>
      </w:r>
    </w:p>
    <w:p w14:paraId="0544D600">
      <w:pPr>
        <w:pStyle w:val="32"/>
        <w:spacing w:before="80" w:after="80"/>
        <w:rPr>
          <w:color w:val="000000"/>
        </w:rPr>
      </w:pPr>
    </w:p>
    <w:p w14:paraId="53E58DA9">
      <w:pPr>
        <w:pStyle w:val="32"/>
        <w:spacing w:before="80" w:after="80"/>
        <w:rPr>
          <w:color w:val="000000"/>
        </w:rPr>
      </w:pPr>
      <w:r>
        <w:drawing>
          <wp:inline distT="0" distB="0" distL="0" distR="0">
            <wp:extent cx="5943600" cy="4713605"/>
            <wp:effectExtent l="0" t="0" r="0" b="0"/>
            <wp:docPr id="2" name="deplo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ploy_diagram"/>
                    <pic:cNvPicPr>
                      <a:picLocks noChangeAspect="1"/>
                    </pic:cNvPicPr>
                  </pic:nvPicPr>
                  <pic:blipFill>
                    <a:blip r:embed="rId8"/>
                    <a:stretch>
                      <a:fillRect/>
                    </a:stretch>
                  </pic:blipFill>
                  <pic:spPr>
                    <a:xfrm>
                      <a:off x="0" y="0"/>
                      <a:ext cx="5943600" cy="4713605"/>
                    </a:xfrm>
                    <a:prstGeom prst="rect">
                      <a:avLst/>
                    </a:prstGeom>
                  </pic:spPr>
                </pic:pic>
              </a:graphicData>
            </a:graphic>
          </wp:inline>
        </w:drawing>
      </w:r>
    </w:p>
    <w:p w14:paraId="47E28303">
      <w:pPr>
        <w:pStyle w:val="32"/>
        <w:spacing w:before="160" w:after="60"/>
        <w:rPr>
          <w:b/>
          <w:bCs/>
          <w:szCs w:val="24"/>
        </w:rPr>
      </w:pPr>
      <w:r>
        <w:rPr>
          <w:b/>
          <w:bCs/>
          <w:szCs w:val="24"/>
        </w:rPr>
        <w:t>4. Justificación de las Decisiones Tecnológicas</w:t>
      </w:r>
    </w:p>
    <w:p w14:paraId="05048DF1">
      <w:pPr>
        <w:pStyle w:val="32"/>
        <w:spacing w:before="160" w:after="60"/>
        <w:rPr>
          <w:b/>
          <w:bCs/>
          <w:szCs w:val="24"/>
        </w:rPr>
      </w:pPr>
      <w:r>
        <w:rPr>
          <w:color w:val="000000"/>
        </w:rPr>
        <w:t>Cada decisión tecnológica adoptada en Sincinaty responde directamente a las capacidades de negocio definidas en los talleres anteriores. A continuación, se detalla el razonamiento detrás de las selecciones más relevantes, explicando por qué son coherentes con la arquitectura de negocio, la arquitectura de datos y los requisitos de la plataforma.</w:t>
      </w:r>
    </w:p>
    <w:p w14:paraId="1AC5F965">
      <w:pPr>
        <w:pStyle w:val="32"/>
        <w:spacing w:before="80" w:after="80"/>
        <w:rPr>
          <w:color w:val="000000"/>
        </w:rPr>
      </w:pPr>
    </w:p>
    <w:p w14:paraId="37FD5CED">
      <w:pPr>
        <w:pStyle w:val="32"/>
        <w:spacing w:before="80" w:after="80"/>
        <w:rPr>
          <w:b/>
          <w:bCs/>
          <w:color w:val="000000"/>
        </w:rPr>
      </w:pPr>
      <w:r>
        <w:rPr>
          <w:b/>
          <w:bCs/>
          <w:color w:val="000000"/>
        </w:rPr>
        <w:t>4.1 AWS como proveedor cloud principal</w:t>
      </w:r>
    </w:p>
    <w:p w14:paraId="0DE2C3A5">
      <w:pPr>
        <w:pStyle w:val="32"/>
        <w:spacing w:before="80" w:after="80"/>
        <w:rPr>
          <w:color w:val="000000"/>
        </w:rPr>
      </w:pPr>
      <w:r>
        <w:rPr>
          <w:color w:val="000000"/>
        </w:rPr>
        <w:t>Sincinaty nació como startup con recursos limitados. AWS ofrece el nivel gratuito (Free Tier) más completo del mercado: 12 meses de RDS, EC2, S3 y Lambda sin costo, lo que permite arrancar sin inversión inicial en servidores. Además, su ecosistema maduro (ECS, CloudFront, WAF, ElastiCache) reduce el tiempo de configuración de infraestructura de semanas a días. La capacidad de escalar en la Región us-east-1 y eventualmente en sa-east-1 (São Paulo, la más cercana a Colombia) garantiza baja latencia para los usuarios colombianos.</w:t>
      </w:r>
    </w:p>
    <w:p w14:paraId="56F08B7F">
      <w:pPr>
        <w:pStyle w:val="32"/>
        <w:spacing w:before="80" w:after="80"/>
        <w:rPr>
          <w:color w:val="000000"/>
        </w:rPr>
      </w:pPr>
    </w:p>
    <w:p w14:paraId="65245C41">
      <w:pPr>
        <w:pStyle w:val="32"/>
        <w:spacing w:before="80" w:after="80"/>
        <w:rPr>
          <w:b/>
          <w:bCs/>
          <w:color w:val="000000"/>
        </w:rPr>
      </w:pPr>
      <w:r>
        <w:rPr>
          <w:b/>
          <w:bCs/>
          <w:color w:val="000000"/>
        </w:rPr>
        <w:t>4.2 Arquitectura de contenedores con Docker + ECS Fargate</w:t>
      </w:r>
    </w:p>
    <w:p w14:paraId="3EF410A4">
      <w:pPr>
        <w:pStyle w:val="32"/>
        <w:spacing w:before="80" w:after="80"/>
        <w:rPr>
          <w:color w:val="000000"/>
        </w:rPr>
      </w:pPr>
      <w:r>
        <w:rPr>
          <w:color w:val="000000"/>
        </w:rPr>
        <w:t>Fargate elimina la gestión de servidores EC2: no hay que parchear sistemas operativos ni dimensionar instancias manualmente. Cada servicio (web, API, recomendaciones) vive en su propio contenedor Docker con recursos definidos, lo que permite actualizarlos de forma independiente sin afectar los demás. En el contexto de Sincinaty, donde los ciclos de mejora del motor de recomendaciones son más frecuentes que los del frontend, esta independencia es crítica.</w:t>
      </w:r>
    </w:p>
    <w:p w14:paraId="342F340D">
      <w:pPr>
        <w:pStyle w:val="32"/>
        <w:spacing w:before="80" w:after="80"/>
        <w:rPr>
          <w:color w:val="000000"/>
        </w:rPr>
      </w:pPr>
      <w:r>
        <w:rPr>
          <w:color w:val="000000"/>
        </w:rPr>
        <w:t>Los contenedores también aseguran que el ambiente de desarrollo, staging y producción sean idénticos, reduciendo los clásicos errores de 'funciona en mi máquina'.</w:t>
      </w:r>
    </w:p>
    <w:p w14:paraId="11ECB3B6">
      <w:pPr>
        <w:pStyle w:val="32"/>
        <w:spacing w:before="80" w:after="80"/>
        <w:rPr>
          <w:color w:val="000000"/>
        </w:rPr>
      </w:pPr>
    </w:p>
    <w:p w14:paraId="40B7108E">
      <w:pPr>
        <w:pStyle w:val="32"/>
        <w:spacing w:before="80" w:after="80"/>
        <w:rPr>
          <w:b/>
          <w:bCs/>
          <w:color w:val="000000"/>
        </w:rPr>
      </w:pPr>
      <w:r>
        <w:rPr>
          <w:b/>
          <w:bCs/>
          <w:color w:val="000000"/>
        </w:rPr>
        <w:t>4.3 PostgreSQL para datos transaccionales + MongoDB para contenido turístico</w:t>
      </w:r>
    </w:p>
    <w:p w14:paraId="4A02DD58">
      <w:pPr>
        <w:pStyle w:val="32"/>
        <w:spacing w:before="80" w:after="80"/>
        <w:rPr>
          <w:color w:val="000000"/>
        </w:rPr>
      </w:pPr>
      <w:r>
        <w:rPr>
          <w:color w:val="000000"/>
        </w:rPr>
        <w:t>Esta es la decisión de datos más importante del proyecto. Se adoptó una arquitectura polyglot (dos bases de datos diferentes para distintos tipos de datos) por las siguientes razones:</w:t>
      </w:r>
    </w:p>
    <w:p w14:paraId="6AF256ED">
      <w:pPr>
        <w:pStyle w:val="32"/>
        <w:spacing w:before="80" w:after="80"/>
        <w:rPr>
          <w:color w:val="000000"/>
        </w:rPr>
      </w:pPr>
      <w:r>
        <w:rPr>
          <w:color w:val="000000"/>
        </w:rPr>
        <w:t>•</w:t>
      </w:r>
      <w:r>
        <w:rPr>
          <w:color w:val="000000"/>
        </w:rPr>
        <w:tab/>
      </w:r>
      <w:r>
        <w:rPr>
          <w:color w:val="000000"/>
        </w:rPr>
        <w:t>PostgreSQL: Las reservas y transacciones de pago requieren propiedades ACID (Atomicidad, Consistencia, Aislamiento, Durabilidad). Si un usuario paga y el sistema falla a mitad de la operación, PostgreSQL garantiza que el dinero no se cobra sin confirmar la reserva. MongoDB no ofrece este nivel de garantía transaccional de forma nativa.</w:t>
      </w:r>
    </w:p>
    <w:p w14:paraId="6DFDB9C1">
      <w:pPr>
        <w:pStyle w:val="32"/>
        <w:spacing w:before="80" w:after="80"/>
        <w:rPr>
          <w:color w:val="000000"/>
        </w:rPr>
      </w:pPr>
      <w:r>
        <w:rPr>
          <w:color w:val="000000"/>
        </w:rPr>
        <w:t>•</w:t>
      </w:r>
      <w:r>
        <w:rPr>
          <w:color w:val="000000"/>
        </w:rPr>
        <w:tab/>
      </w:r>
      <w:r>
        <w:rPr>
          <w:color w:val="000000"/>
        </w:rPr>
        <w:t>MongoDB: El contenido turístico (destinos, rutas, festividades, descripciones de municipios) tiene estructura variable — no todos los destinos tienen los mismos atributos. Un documento JSON flexible en MongoDB representa mejor esta heterogeneidad. Además, sus índices geoespaciales nativos permiten buscar 'destinos en un radio de 30 km de Sincelejo' con una sola consulta, lo que en PostgreSQL requeriría extensiones adicionales.</w:t>
      </w:r>
    </w:p>
    <w:p w14:paraId="39CC2477">
      <w:pPr>
        <w:pStyle w:val="32"/>
        <w:spacing w:before="80" w:after="80"/>
        <w:rPr>
          <w:color w:val="000000"/>
        </w:rPr>
      </w:pPr>
      <w:r>
        <w:rPr>
          <w:color w:val="000000"/>
        </w:rPr>
        <w:t>Esta separación es coherente con la Arquitectura de Datos implícita en los talleres anteriores: los datos de transacciones (reservas, pagos) son estructurados y requieren consistencia; los datos de contenido (catálogo turístico) son semi-estructurados y requieren flexibilidad y velocidad de lectura.</w:t>
      </w:r>
    </w:p>
    <w:p w14:paraId="679FACBD">
      <w:pPr>
        <w:pStyle w:val="32"/>
        <w:spacing w:before="80" w:after="80"/>
        <w:rPr>
          <w:color w:val="000000"/>
        </w:rPr>
      </w:pPr>
    </w:p>
    <w:p w14:paraId="73B2C1BF">
      <w:pPr>
        <w:pStyle w:val="32"/>
        <w:spacing w:before="80" w:after="80"/>
        <w:rPr>
          <w:color w:val="000000"/>
        </w:rPr>
      </w:pPr>
    </w:p>
    <w:p w14:paraId="2BBFBC97">
      <w:pPr>
        <w:pStyle w:val="32"/>
        <w:spacing w:before="80" w:after="80"/>
        <w:rPr>
          <w:b/>
          <w:bCs/>
          <w:color w:val="000000"/>
        </w:rPr>
      </w:pPr>
      <w:r>
        <w:rPr>
          <w:b/>
          <w:bCs/>
          <w:color w:val="000000"/>
        </w:rPr>
        <w:t>4.4 Redis como caché y sistema de colas</w:t>
      </w:r>
    </w:p>
    <w:p w14:paraId="75B2BE99">
      <w:pPr>
        <w:pStyle w:val="32"/>
        <w:spacing w:before="80" w:after="80"/>
        <w:rPr>
          <w:color w:val="000000"/>
        </w:rPr>
      </w:pPr>
      <w:r>
        <w:rPr>
          <w:color w:val="000000"/>
        </w:rPr>
        <w:t>El catálogo de destinos y el ranking de prestadores son datos que se leen miles de veces por día pero cambian pocas veces. Sin caché, cada consulta iría a la base de datos, generando carga innecesaria. Redis almacena estos resultados en memoria con un TTL (tiempo de vida) configurable, respondiendo en microsegundos.</w:t>
      </w:r>
    </w:p>
    <w:p w14:paraId="6546FA4D">
      <w:pPr>
        <w:pStyle w:val="32"/>
        <w:spacing w:before="80" w:after="80"/>
        <w:rPr>
          <w:color w:val="000000"/>
        </w:rPr>
      </w:pPr>
      <w:r>
        <w:rPr>
          <w:color w:val="000000"/>
        </w:rPr>
        <w:t>Adicionalmente, Redis con BullMQ gestiona las tareas asíncronas: cuando un turista hace una reserva, el sistema no espera a que se envíe el email de confirmación para responder al usuario. La reserva se confirma inmediatamente y el envío del email se encola en Redis para procesarse en segundo plano. Esto mejora la experiencia de usuario y desacopla los servicios.</w:t>
      </w:r>
    </w:p>
    <w:p w14:paraId="6EFD4C96">
      <w:pPr>
        <w:pStyle w:val="32"/>
        <w:spacing w:before="80" w:after="80"/>
        <w:rPr>
          <w:color w:val="000000"/>
        </w:rPr>
      </w:pPr>
    </w:p>
    <w:p w14:paraId="067016EC">
      <w:pPr>
        <w:pStyle w:val="32"/>
        <w:spacing w:before="80" w:after="80"/>
        <w:rPr>
          <w:b/>
          <w:bCs/>
          <w:color w:val="000000"/>
        </w:rPr>
      </w:pPr>
      <w:r>
        <w:rPr>
          <w:b/>
          <w:bCs/>
          <w:color w:val="000000"/>
        </w:rPr>
        <w:t>4.5 Wompi como pasarela de pagos</w:t>
      </w:r>
    </w:p>
    <w:p w14:paraId="152C1C1A">
      <w:pPr>
        <w:pStyle w:val="32"/>
        <w:spacing w:before="80" w:after="80"/>
        <w:rPr>
          <w:color w:val="000000"/>
        </w:rPr>
      </w:pPr>
      <w:r>
        <w:rPr>
          <w:color w:val="000000"/>
        </w:rPr>
        <w:t>Wompi es la pasarela de pagos colombiana con mayor adopción en el ecosistema de startups locales. Su elección se fundamenta en: (1) soporte nativo a PSE, Bancolombia, Nequi y tarjetas débito/crédito, que son los métodos de pago preferidos de los turistas colombianos; (2) documentación clara y SDK oficial para Node.js; (3) tarifas competitivas para volúmenes bajos (ideal para la fase inicial de Sincinaty); (4) cumplimiento PCI-DSS sin que Sincinaty deba certificarse directamente, ya que Wompi asume esa responsabilidad.</w:t>
      </w:r>
    </w:p>
    <w:p w14:paraId="583EC60B">
      <w:pPr>
        <w:pStyle w:val="32"/>
        <w:spacing w:before="80" w:after="80"/>
        <w:rPr>
          <w:b/>
          <w:bCs/>
          <w:color w:val="000000"/>
        </w:rPr>
      </w:pPr>
    </w:p>
    <w:p w14:paraId="7B408177">
      <w:pPr>
        <w:pStyle w:val="32"/>
        <w:spacing w:before="80" w:after="80"/>
        <w:rPr>
          <w:b/>
          <w:bCs/>
          <w:color w:val="000000"/>
        </w:rPr>
      </w:pPr>
      <w:r>
        <w:rPr>
          <w:b/>
          <w:bCs/>
          <w:color w:val="000000"/>
        </w:rPr>
        <w:t>4.6 React.js + Next.js para el frontend</w:t>
      </w:r>
    </w:p>
    <w:p w14:paraId="74B39A87">
      <w:pPr>
        <w:pStyle w:val="32"/>
        <w:spacing w:before="80" w:after="80"/>
        <w:rPr>
          <w:color w:val="000000"/>
        </w:rPr>
      </w:pPr>
      <w:r>
        <w:rPr>
          <w:color w:val="000000"/>
        </w:rPr>
        <w:t>Next.js fue seleccionado por su capacidad de renderizado del lado del servidor (SSR) y generación de páginas estáticas (SSG). Para Sincinaty, esto es especialmente valioso en las páginas de destinos turísticos: cuando Google indexa la página de 'Playas de Coveñas' o 'Festival del Ovejas', el contenido ya está pre-renderizado con texto visible, lo que mejora dramáticamente el posicionamiento orgánico (SEO). Una SPA pura en React no lograría este beneficio porque el contenido se renderiza en el navegador del usuario, invisible para los bots de Google.</w:t>
      </w:r>
    </w:p>
    <w:p w14:paraId="293C2741">
      <w:pPr>
        <w:pStyle w:val="32"/>
        <w:spacing w:before="80" w:after="80"/>
        <w:rPr>
          <w:color w:val="000000"/>
        </w:rPr>
      </w:pPr>
      <w:r>
        <w:rPr>
          <w:color w:val="000000"/>
        </w:rPr>
        <w:t>El SEO es fundamental para la estrategia de captación orgánica de Sincinaty descrita en el Taller #2 (Fase 1 del modelo operativo).</w:t>
      </w:r>
    </w:p>
    <w:p w14:paraId="03BAA5FC">
      <w:pPr>
        <w:pStyle w:val="32"/>
        <w:spacing w:before="80" w:after="80"/>
        <w:rPr>
          <w:color w:val="000000"/>
        </w:rPr>
      </w:pPr>
    </w:p>
    <w:p w14:paraId="2A7E5EF5">
      <w:pPr>
        <w:pStyle w:val="32"/>
        <w:spacing w:before="80" w:after="80"/>
        <w:rPr>
          <w:b/>
          <w:bCs/>
          <w:color w:val="000000"/>
        </w:rPr>
      </w:pPr>
      <w:r>
        <w:rPr>
          <w:b/>
          <w:bCs/>
          <w:color w:val="000000"/>
        </w:rPr>
        <w:t>4.7 Auth0 para autenticación</w:t>
      </w:r>
    </w:p>
    <w:p w14:paraId="4D0DAF80">
      <w:pPr>
        <w:pStyle w:val="32"/>
        <w:spacing w:before="80" w:after="80"/>
        <w:rPr>
          <w:color w:val="000000"/>
        </w:rPr>
      </w:pPr>
      <w:r>
        <w:rPr>
          <w:color w:val="000000"/>
        </w:rPr>
        <w:t>Desarrollar un sistema de autenticación seguro desde cero toma semanas y es una fuente frecuente de vulnerabilidades. Auth0 ofrece en su plan gratuito hasta 7.500 usuarios activos mensuales con soporte a OAuth 2.0, JWT, login social (Google, Facebook) y autenticación multifactor. Para una plataforma de turismo donde la confianza del usuario es el activo más valioso (como se identificó en el Taller #3), delegar la autenticación a un servicio especializado reduce el riesgo de brechas de seguridad que podrían destruir la reputación de la plataforma.</w:t>
      </w:r>
    </w:p>
    <w:p w14:paraId="76974F83">
      <w:pPr>
        <w:pStyle w:val="32"/>
        <w:spacing w:before="80" w:after="80"/>
        <w:rPr>
          <w:color w:val="000000"/>
        </w:rPr>
      </w:pPr>
    </w:p>
    <w:p w14:paraId="21129AD1">
      <w:pPr>
        <w:pStyle w:val="32"/>
        <w:spacing w:before="80" w:after="80"/>
        <w:rPr>
          <w:color w:val="000000"/>
        </w:rPr>
      </w:pPr>
    </w:p>
    <w:p w14:paraId="61CA0B2E">
      <w:pPr>
        <w:pStyle w:val="32"/>
        <w:spacing w:before="80" w:after="80"/>
        <w:rPr>
          <w:b/>
          <w:bCs/>
          <w:color w:val="000000"/>
        </w:rPr>
      </w:pPr>
      <w:r>
        <w:rPr>
          <w:b/>
          <w:bCs/>
          <w:color w:val="000000"/>
        </w:rPr>
        <w:t>4.8 Python + FastAPI para el motor de recomendaciones</w:t>
      </w:r>
    </w:p>
    <w:p w14:paraId="1F1BD9F3">
      <w:pPr>
        <w:pStyle w:val="32"/>
        <w:spacing w:before="80" w:after="80"/>
        <w:rPr>
          <w:color w:val="000000"/>
        </w:rPr>
      </w:pPr>
      <w:r>
        <w:rPr>
          <w:color w:val="000000"/>
        </w:rPr>
        <w:t>El ecosistema de Python es el estándar de facto para machine learning y análisis de datos. scikit-learn, pandas y numpy permiten implementar el motor de filtrado colaborativo que personaliza los itinerarios del turista (capacidad #3 del Taller #2) con librerías maduras y bien documentadas. FastAPI es el framework web de Python más eficiente para exponer modelos como microservicios REST, con documentación automática (Swagger) y soporte a operaciones asíncronas.</w:t>
      </w:r>
    </w:p>
    <w:p w14:paraId="0A850AE2">
      <w:pPr>
        <w:pStyle w:val="32"/>
        <w:spacing w:before="80" w:after="80"/>
        <w:rPr>
          <w:color w:val="000000"/>
        </w:rPr>
      </w:pPr>
      <w:r>
        <w:rPr>
          <w:color w:val="000000"/>
        </w:rPr>
        <w:t>Este servicio funciona de forma independiente del API principal en Node.js, lo que significa que puede ser actualizado o reemplazado (por ejemplo, con un modelo más sofisticado) sin afectar el resto del sistema.</w:t>
      </w:r>
    </w:p>
    <w:p w14:paraId="2CFF3E25">
      <w:pPr>
        <w:pStyle w:val="32"/>
        <w:spacing w:before="80" w:after="80"/>
        <w:rPr>
          <w:color w:val="000000"/>
        </w:rPr>
      </w:pPr>
    </w:p>
    <w:p w14:paraId="56FFD434">
      <w:pPr>
        <w:pStyle w:val="32"/>
        <w:spacing w:before="80" w:after="80"/>
        <w:rPr>
          <w:color w:val="000000"/>
          <w:lang w:val="en-US"/>
        </w:rPr>
      </w:pPr>
      <w:r>
        <w:rPr>
          <w:color w:val="000000"/>
          <w:lang w:val="en-US"/>
        </w:rPr>
        <w:t> </w:t>
      </w:r>
    </w:p>
    <w:p w14:paraId="2F7CA2A9">
      <w:pPr>
        <w:pStyle w:val="32"/>
        <w:spacing w:before="80" w:after="80"/>
        <w:rPr>
          <w:b/>
          <w:bCs/>
          <w:color w:val="000000"/>
          <w:lang w:val="en-US"/>
        </w:rPr>
      </w:pPr>
      <w:r>
        <w:rPr>
          <w:b/>
          <w:bCs/>
          <w:color w:val="000000"/>
          <w:lang w:val="en-US"/>
        </w:rPr>
        <w:t>Referencias</w:t>
      </w:r>
    </w:p>
    <w:p w14:paraId="5B790A14">
      <w:pPr>
        <w:pStyle w:val="32"/>
        <w:spacing w:before="80" w:after="80"/>
        <w:rPr>
          <w:color w:val="000000"/>
          <w:lang w:val="en-US"/>
        </w:rPr>
      </w:pPr>
      <w:r>
        <w:rPr>
          <w:color w:val="000000"/>
          <w:lang w:val="en-US"/>
        </w:rPr>
        <w:t>The Open Group. (2022). TOGAF® Standard, Version 9.2. The Open Group.</w:t>
      </w:r>
    </w:p>
    <w:p w14:paraId="4D84958E">
      <w:pPr>
        <w:pStyle w:val="32"/>
        <w:spacing w:before="80" w:after="80"/>
        <w:rPr>
          <w:color w:val="000000"/>
          <w:lang w:val="en-US"/>
        </w:rPr>
      </w:pPr>
      <w:r>
        <w:rPr>
          <w:color w:val="000000"/>
          <w:lang w:val="en-US"/>
        </w:rPr>
        <w:t>Amazon Web Services. (2024). AWS Well-Architected Framework. https://aws.amazon.com/architecture/well-architected/</w:t>
      </w:r>
    </w:p>
    <w:p w14:paraId="726A3ED3">
      <w:pPr>
        <w:pStyle w:val="32"/>
        <w:spacing w:before="80" w:after="80"/>
        <w:rPr>
          <w:color w:val="000000"/>
          <w:lang w:val="en-US"/>
        </w:rPr>
      </w:pPr>
      <w:r>
        <w:rPr>
          <w:color w:val="000000"/>
          <w:lang w:val="en-US"/>
        </w:rPr>
        <w:t>MongoDB, Inc. (2024). MongoDB Atlas Documentation. https://www.mongodb.com/docs/atlas/</w:t>
      </w:r>
    </w:p>
    <w:p w14:paraId="70F92779">
      <w:pPr>
        <w:pStyle w:val="32"/>
        <w:spacing w:before="80" w:after="80"/>
        <w:rPr>
          <w:color w:val="000000"/>
        </w:rPr>
      </w:pPr>
      <w:r>
        <w:rPr>
          <w:color w:val="000000"/>
        </w:rPr>
        <w:t>Wompi. (2024). Documentación oficial de la API de Pagos. https://docs.wompi.co/</w:t>
      </w:r>
    </w:p>
    <w:p w14:paraId="216C52DB">
      <w:pPr>
        <w:pStyle w:val="32"/>
        <w:spacing w:before="80" w:after="80"/>
        <w:rPr>
          <w:color w:val="000000"/>
          <w:lang w:val="en-US"/>
        </w:rPr>
      </w:pPr>
      <w:r>
        <w:rPr>
          <w:color w:val="000000"/>
          <w:lang w:val="en-US"/>
        </w:rPr>
        <w:t>Auth0. (2024). Auth0 Documentation — Authentication &amp; Authorization. https://auth0.com/docs/</w:t>
      </w:r>
    </w:p>
    <w:p w14:paraId="53B365D0">
      <w:pPr>
        <w:pStyle w:val="32"/>
        <w:spacing w:before="80" w:after="80"/>
        <w:rPr>
          <w:color w:val="000000"/>
          <w:lang w:val="en-US"/>
        </w:rPr>
      </w:pPr>
      <w:r>
        <w:rPr>
          <w:color w:val="000000"/>
          <w:lang w:val="en-US"/>
        </w:rPr>
        <w:t>Vercel. (2024). Next.js Documentation — Server-Side Rendering. https://nextjs.org/docs/</w:t>
      </w:r>
    </w:p>
    <w:p w14:paraId="2455B6A1">
      <w:pPr>
        <w:pStyle w:val="32"/>
        <w:spacing w:before="80" w:after="80"/>
        <w:rPr>
          <w:color w:val="000000"/>
          <w:lang w:val="en-US"/>
        </w:rPr>
      </w:pPr>
      <w:r>
        <w:rPr>
          <w:color w:val="000000"/>
          <w:lang w:val="en-US"/>
        </w:rPr>
        <w:t>Docker Inc. (2024). Docker Documentation. https://docs.docker.com/</w:t>
      </w:r>
    </w:p>
    <w:p w14:paraId="11281658">
      <w:pPr>
        <w:pStyle w:val="32"/>
        <w:spacing w:before="80" w:after="80"/>
        <w:rPr>
          <w:color w:val="000000"/>
          <w:lang w:val="en-US"/>
        </w:rPr>
      </w:pPr>
      <w:bookmarkStart w:id="0" w:name="_GoBack"/>
      <w:bookmarkEnd w:id="0"/>
      <w:r>
        <w:rPr>
          <w:color w:val="000000"/>
          <w:lang w:val="en-US"/>
        </w:rPr>
        <w:t>AWS. (2024). Amazon ECS — Elastic Container Service with Fargate. https://docs.aws.amazon.com/ecs/</w:t>
      </w:r>
    </w:p>
    <w:sectPr>
      <w:headerReference r:id="rId5" w:type="default"/>
      <w:pgSz w:w="12240" w:h="15840"/>
      <w:pgMar w:top="1440" w:right="1440" w:bottom="1440" w:left="1440" w:header="680"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HIKNAF+TimesNewRoman,Bold">
    <w:altName w:val="Times New Roman"/>
    <w:panose1 w:val="00000000000000000000"/>
    <w:charset w:val="00"/>
    <w:family w:val="roma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96BA6">
    <w:pPr>
      <w:pStyle w:val="24"/>
      <w:tabs>
        <w:tab w:val="left" w:pos="488"/>
        <w:tab w:val="right" w:pos="9356"/>
        <w:tab w:val="clear" w:pos="8838"/>
      </w:tabs>
      <w:rPr>
        <w:rFonts w:cs="Times New Roman"/>
      </w:rPr>
    </w:pPr>
  </w:p>
  <w:sdt>
    <w:sdtPr>
      <w:rPr>
        <w:rFonts w:cs="Times New Roman"/>
      </w:rPr>
      <w:id w:val="-1739240714"/>
    </w:sdtPr>
    <w:sdtEndPr>
      <w:rPr>
        <w:rFonts w:cs="Times New Roman"/>
      </w:rPr>
    </w:sdtEndPr>
    <w:sdtContent>
      <w:p w14:paraId="42F639BD">
        <w:pPr>
          <w:pStyle w:val="24"/>
          <w:tabs>
            <w:tab w:val="left" w:pos="488"/>
            <w:tab w:val="right" w:pos="9356"/>
            <w:tab w:val="clear" w:pos="8838"/>
          </w:tabs>
          <w:jc w:val="right"/>
          <w:rPr>
            <w:rFonts w:cs="Times New Roman"/>
          </w:rPr>
        </w:pPr>
        <w:r>
          <w:rPr>
            <w:rFonts w:cs="Times New Roman"/>
            <w:i/>
            <w:color w:val="404040" w:themeColor="text1" w:themeTint="BF"/>
            <w14:textFill>
              <w14:solidFill>
                <w14:schemeClr w14:val="tx1">
                  <w14:lumMod w14:val="75000"/>
                  <w14:lumOff w14:val="25000"/>
                </w14:schemeClr>
              </w14:solidFill>
            </w14:textFill>
          </w:rPr>
          <w:drawing>
            <wp:anchor distT="0" distB="0" distL="114300" distR="114300" simplePos="0" relativeHeight="251659264" behindDoc="0" locked="0" layoutInCell="1" allowOverlap="1">
              <wp:simplePos x="0" y="0"/>
              <wp:positionH relativeFrom="column">
                <wp:posOffset>4149090</wp:posOffset>
              </wp:positionH>
              <wp:positionV relativeFrom="paragraph">
                <wp:posOffset>71755</wp:posOffset>
              </wp:positionV>
              <wp:extent cx="1559560" cy="477520"/>
              <wp:effectExtent l="0" t="0" r="254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noChangeArrowheads="1"/>
                      </pic:cNvPicPr>
                    </pic:nvPicPr>
                    <pic:blipFill>
                      <a:blip r:embed="rId1">
                        <a:extLst>
                          <a:ext uri="{28A0092B-C50C-407E-A947-70E740481C1C}">
                            <a14:useLocalDpi xmlns:a14="http://schemas.microsoft.com/office/drawing/2010/main" val="0"/>
                          </a:ext>
                        </a:extLst>
                      </a:blip>
                      <a:srcRect l="61939" t="12795" r="4155" b="13597"/>
                      <a:stretch>
                        <a:fillRect/>
                      </a:stretch>
                    </pic:blipFill>
                    <pic:spPr>
                      <a:xfrm>
                        <a:off x="0" y="0"/>
                        <a:ext cx="1559560" cy="477520"/>
                      </a:xfrm>
                      <a:prstGeom prst="rect">
                        <a:avLst/>
                      </a:prstGeom>
                      <a:noFill/>
                      <a:ln>
                        <a:noFill/>
                      </a:ln>
                    </pic:spPr>
                  </pic:pic>
                </a:graphicData>
              </a:graphic>
            </wp:anchor>
          </w:drawing>
        </w: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es-ES"/>
          </w:rPr>
          <w:t>8</w:t>
        </w:r>
        <w:r>
          <w:rPr>
            <w:rFonts w:cs="Times New Roman"/>
          </w:rPr>
          <w:fldChar w:fldCharType="end"/>
        </w:r>
      </w:p>
      <w:tbl>
        <w:tblPr>
          <w:tblStyle w:val="29"/>
          <w:tblW w:w="3174" w:type="dxa"/>
          <w:tblInd w:w="-284" w:type="dxa"/>
          <w:tblBorders>
            <w:top w:val="none" w:color="auto" w:sz="0" w:space="0"/>
            <w:left w:val="none" w:color="auto" w:sz="0" w:space="0"/>
            <w:bottom w:val="single" w:color="585858" w:themeColor="text1" w:themeTint="A6" w:sz="4" w:space="0"/>
            <w:right w:val="none" w:color="auto" w:sz="0" w:space="0"/>
            <w:insideH w:val="single" w:color="585858" w:themeColor="text1" w:themeTint="A6" w:sz="4" w:space="0"/>
            <w:insideV w:val="single" w:color="585858" w:themeColor="text1" w:themeTint="A6" w:sz="4" w:space="0"/>
          </w:tblBorders>
          <w:tblLayout w:type="autofit"/>
          <w:tblCellMar>
            <w:top w:w="0" w:type="dxa"/>
            <w:left w:w="108" w:type="dxa"/>
            <w:bottom w:w="0" w:type="dxa"/>
            <w:right w:w="108" w:type="dxa"/>
          </w:tblCellMar>
        </w:tblPr>
        <w:tblGrid>
          <w:gridCol w:w="3174"/>
        </w:tblGrid>
        <w:tr w14:paraId="021023C9">
          <w:tblPrEx>
            <w:tblBorders>
              <w:top w:val="none" w:color="auto" w:sz="0" w:space="0"/>
              <w:left w:val="none" w:color="auto" w:sz="0" w:space="0"/>
              <w:bottom w:val="single" w:color="585858" w:themeColor="text1" w:themeTint="A6" w:sz="4" w:space="0"/>
              <w:right w:val="none" w:color="auto" w:sz="0" w:space="0"/>
              <w:insideH w:val="single" w:color="585858" w:themeColor="text1" w:themeTint="A6" w:sz="4" w:space="0"/>
              <w:insideV w:val="single" w:color="585858" w:themeColor="text1" w:themeTint="A6" w:sz="4" w:space="0"/>
            </w:tblBorders>
            <w:tblCellMar>
              <w:top w:w="0" w:type="dxa"/>
              <w:left w:w="108" w:type="dxa"/>
              <w:bottom w:w="0" w:type="dxa"/>
              <w:right w:w="108" w:type="dxa"/>
            </w:tblCellMar>
          </w:tblPrEx>
          <w:trPr>
            <w:trHeight w:val="709" w:hRule="atLeast"/>
          </w:trPr>
          <w:tc>
            <w:tcPr>
              <w:tcW w:w="3174" w:type="dxa"/>
            </w:tcPr>
            <w:p w14:paraId="7A5AA245">
              <w:pPr>
                <w:spacing w:after="0" w:line="240" w:lineRule="auto"/>
                <w:jc w:val="right"/>
                <w:rPr>
                  <w:rFonts w:cs="Times New Roman"/>
                  <w:i/>
                  <w:color w:val="404040" w:themeColor="text1" w:themeTint="BF"/>
                  <w14:textFill>
                    <w14:solidFill>
                      <w14:schemeClr w14:val="tx1">
                        <w14:lumMod w14:val="75000"/>
                        <w14:lumOff w14:val="25000"/>
                      </w14:schemeClr>
                    </w14:solidFill>
                  </w14:textFill>
                </w:rPr>
              </w:pPr>
              <w:r>
                <w:rPr>
                  <w:rFonts w:cs="Times New Roman"/>
                  <w:i/>
                  <w:color w:val="404040" w:themeColor="text1" w:themeTint="BF"/>
                  <w14:textFill>
                    <w14:solidFill>
                      <w14:schemeClr w14:val="tx1">
                        <w14:lumMod w14:val="75000"/>
                        <w14:lumOff w14:val="25000"/>
                      </w14:schemeClr>
                    </w14:solidFill>
                  </w14:textFill>
                </w:rPr>
                <w:t>Sincinaty</w:t>
              </w:r>
            </w:p>
          </w:tc>
        </w:tr>
      </w:tbl>
      <w:p w14:paraId="40398D18">
        <w:pPr>
          <w:pStyle w:val="24"/>
          <w:jc w:val="center"/>
          <w:rPr>
            <w:rFonts w:cs="Times New Roman"/>
          </w:rPr>
        </w:pPr>
      </w:p>
    </w:sdtContent>
  </w:sdt>
  <w:p w14:paraId="7AE6989A">
    <w:pPr>
      <w:pStyle w:val="24"/>
      <w:spacing w:line="360" w:lineRule="auto"/>
      <w:jc w:val="center"/>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7812C1"/>
    <w:multiLevelType w:val="multilevel"/>
    <w:tmpl w:val="557812C1"/>
    <w:lvl w:ilvl="0" w:tentative="0">
      <w:start w:val="1"/>
      <w:numFmt w:val="decimal"/>
      <w:lvlText w:val="%1."/>
      <w:lvlJc w:val="left"/>
      <w:pPr>
        <w:ind w:left="720" w:hanging="360"/>
      </w:pPr>
      <w:rPr>
        <w:rFonts w:hint="default"/>
      </w:rPr>
    </w:lvl>
    <w:lvl w:ilvl="1" w:tentative="0">
      <w:start w:val="2"/>
      <w:numFmt w:val="decimal"/>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504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B7F"/>
    <w:rsid w:val="00000BF1"/>
    <w:rsid w:val="00004ED0"/>
    <w:rsid w:val="00014B36"/>
    <w:rsid w:val="00015029"/>
    <w:rsid w:val="00025511"/>
    <w:rsid w:val="00026125"/>
    <w:rsid w:val="00030340"/>
    <w:rsid w:val="0003398B"/>
    <w:rsid w:val="00036358"/>
    <w:rsid w:val="00042198"/>
    <w:rsid w:val="000421D2"/>
    <w:rsid w:val="000469A1"/>
    <w:rsid w:val="00047297"/>
    <w:rsid w:val="0004790B"/>
    <w:rsid w:val="00051345"/>
    <w:rsid w:val="000520DF"/>
    <w:rsid w:val="000530FD"/>
    <w:rsid w:val="00055102"/>
    <w:rsid w:val="00057211"/>
    <w:rsid w:val="00057670"/>
    <w:rsid w:val="0006597A"/>
    <w:rsid w:val="00066268"/>
    <w:rsid w:val="00072654"/>
    <w:rsid w:val="000766D5"/>
    <w:rsid w:val="00082DF3"/>
    <w:rsid w:val="0008339D"/>
    <w:rsid w:val="00087569"/>
    <w:rsid w:val="0009533A"/>
    <w:rsid w:val="00096076"/>
    <w:rsid w:val="000963A0"/>
    <w:rsid w:val="000A4F87"/>
    <w:rsid w:val="000A7E9A"/>
    <w:rsid w:val="000B3F03"/>
    <w:rsid w:val="000B7F36"/>
    <w:rsid w:val="000C6E2E"/>
    <w:rsid w:val="000D167E"/>
    <w:rsid w:val="000D2EC6"/>
    <w:rsid w:val="000E24F2"/>
    <w:rsid w:val="000E4EB5"/>
    <w:rsid w:val="000E676C"/>
    <w:rsid w:val="000F3EAA"/>
    <w:rsid w:val="000F734E"/>
    <w:rsid w:val="00104D02"/>
    <w:rsid w:val="00107146"/>
    <w:rsid w:val="00107E00"/>
    <w:rsid w:val="001137F0"/>
    <w:rsid w:val="00114770"/>
    <w:rsid w:val="001328B8"/>
    <w:rsid w:val="00134C81"/>
    <w:rsid w:val="00134D25"/>
    <w:rsid w:val="001378D5"/>
    <w:rsid w:val="00141F85"/>
    <w:rsid w:val="00142973"/>
    <w:rsid w:val="00143285"/>
    <w:rsid w:val="00150963"/>
    <w:rsid w:val="00151A45"/>
    <w:rsid w:val="001540AE"/>
    <w:rsid w:val="00161945"/>
    <w:rsid w:val="00161B8C"/>
    <w:rsid w:val="0016302C"/>
    <w:rsid w:val="00163D39"/>
    <w:rsid w:val="00163E4F"/>
    <w:rsid w:val="001666C8"/>
    <w:rsid w:val="0017081F"/>
    <w:rsid w:val="00180DC6"/>
    <w:rsid w:val="00182C7A"/>
    <w:rsid w:val="001832EA"/>
    <w:rsid w:val="00185D17"/>
    <w:rsid w:val="0019160E"/>
    <w:rsid w:val="00193541"/>
    <w:rsid w:val="0019363D"/>
    <w:rsid w:val="00195EE7"/>
    <w:rsid w:val="00197D42"/>
    <w:rsid w:val="001A2AED"/>
    <w:rsid w:val="001A3689"/>
    <w:rsid w:val="001A6110"/>
    <w:rsid w:val="001A6CB0"/>
    <w:rsid w:val="001B74D7"/>
    <w:rsid w:val="001D3DB5"/>
    <w:rsid w:val="001E001B"/>
    <w:rsid w:val="001E0350"/>
    <w:rsid w:val="001E2208"/>
    <w:rsid w:val="001E79C7"/>
    <w:rsid w:val="001F149A"/>
    <w:rsid w:val="001F206C"/>
    <w:rsid w:val="001F3355"/>
    <w:rsid w:val="001F3902"/>
    <w:rsid w:val="001F3A72"/>
    <w:rsid w:val="001F3D82"/>
    <w:rsid w:val="001F4B20"/>
    <w:rsid w:val="001F6ECB"/>
    <w:rsid w:val="002019C6"/>
    <w:rsid w:val="00203137"/>
    <w:rsid w:val="00205D6C"/>
    <w:rsid w:val="00213D61"/>
    <w:rsid w:val="00213EE4"/>
    <w:rsid w:val="002168DC"/>
    <w:rsid w:val="00220C5B"/>
    <w:rsid w:val="002228F5"/>
    <w:rsid w:val="00224E66"/>
    <w:rsid w:val="002254F0"/>
    <w:rsid w:val="00227D4B"/>
    <w:rsid w:val="002308D7"/>
    <w:rsid w:val="002327B1"/>
    <w:rsid w:val="00233FC5"/>
    <w:rsid w:val="002364DD"/>
    <w:rsid w:val="0024153F"/>
    <w:rsid w:val="00241C03"/>
    <w:rsid w:val="00247BD0"/>
    <w:rsid w:val="00250157"/>
    <w:rsid w:val="00253E8C"/>
    <w:rsid w:val="00254D2C"/>
    <w:rsid w:val="00256BE3"/>
    <w:rsid w:val="002629EA"/>
    <w:rsid w:val="00263D1C"/>
    <w:rsid w:val="00267D3B"/>
    <w:rsid w:val="00271086"/>
    <w:rsid w:val="00273123"/>
    <w:rsid w:val="002754E8"/>
    <w:rsid w:val="00275C4E"/>
    <w:rsid w:val="0028054B"/>
    <w:rsid w:val="00284220"/>
    <w:rsid w:val="00291620"/>
    <w:rsid w:val="00295456"/>
    <w:rsid w:val="00296BBB"/>
    <w:rsid w:val="002B2A23"/>
    <w:rsid w:val="002B7A0E"/>
    <w:rsid w:val="002C0712"/>
    <w:rsid w:val="002C2333"/>
    <w:rsid w:val="002C5A1E"/>
    <w:rsid w:val="002C7433"/>
    <w:rsid w:val="002C7BA4"/>
    <w:rsid w:val="002D2C51"/>
    <w:rsid w:val="002D65DD"/>
    <w:rsid w:val="002E0B89"/>
    <w:rsid w:val="002E1A5B"/>
    <w:rsid w:val="002E7432"/>
    <w:rsid w:val="002F10D8"/>
    <w:rsid w:val="002F1B64"/>
    <w:rsid w:val="002F43B5"/>
    <w:rsid w:val="002F686B"/>
    <w:rsid w:val="00302E99"/>
    <w:rsid w:val="003157D7"/>
    <w:rsid w:val="00320B09"/>
    <w:rsid w:val="00321759"/>
    <w:rsid w:val="00323D9C"/>
    <w:rsid w:val="003248C2"/>
    <w:rsid w:val="00340018"/>
    <w:rsid w:val="0034013E"/>
    <w:rsid w:val="00351A1E"/>
    <w:rsid w:val="00352821"/>
    <w:rsid w:val="003531C4"/>
    <w:rsid w:val="0035669F"/>
    <w:rsid w:val="003640EC"/>
    <w:rsid w:val="0037416F"/>
    <w:rsid w:val="00381763"/>
    <w:rsid w:val="00383698"/>
    <w:rsid w:val="00393EE5"/>
    <w:rsid w:val="003951C2"/>
    <w:rsid w:val="003A4033"/>
    <w:rsid w:val="003A4902"/>
    <w:rsid w:val="003A5FF8"/>
    <w:rsid w:val="003A7115"/>
    <w:rsid w:val="003A7FC6"/>
    <w:rsid w:val="003B2050"/>
    <w:rsid w:val="003B22F2"/>
    <w:rsid w:val="003C0EB5"/>
    <w:rsid w:val="003C18DE"/>
    <w:rsid w:val="003C2917"/>
    <w:rsid w:val="003C32C0"/>
    <w:rsid w:val="003C4E08"/>
    <w:rsid w:val="003C521F"/>
    <w:rsid w:val="003C7CEE"/>
    <w:rsid w:val="003C7F74"/>
    <w:rsid w:val="003E11F7"/>
    <w:rsid w:val="003E2845"/>
    <w:rsid w:val="003E78D5"/>
    <w:rsid w:val="003F0DDA"/>
    <w:rsid w:val="003F315B"/>
    <w:rsid w:val="004026AF"/>
    <w:rsid w:val="00416818"/>
    <w:rsid w:val="004173D6"/>
    <w:rsid w:val="004175BB"/>
    <w:rsid w:val="00417F4B"/>
    <w:rsid w:val="0042385F"/>
    <w:rsid w:val="00424C59"/>
    <w:rsid w:val="004362CB"/>
    <w:rsid w:val="00447067"/>
    <w:rsid w:val="00450B8B"/>
    <w:rsid w:val="00453E3B"/>
    <w:rsid w:val="00457A82"/>
    <w:rsid w:val="004601D4"/>
    <w:rsid w:val="00470986"/>
    <w:rsid w:val="00472F38"/>
    <w:rsid w:val="00474452"/>
    <w:rsid w:val="00474F30"/>
    <w:rsid w:val="00482E79"/>
    <w:rsid w:val="0048343D"/>
    <w:rsid w:val="00485CF0"/>
    <w:rsid w:val="00494FDD"/>
    <w:rsid w:val="00496E54"/>
    <w:rsid w:val="004A514D"/>
    <w:rsid w:val="004A743E"/>
    <w:rsid w:val="004B1480"/>
    <w:rsid w:val="004B2CA4"/>
    <w:rsid w:val="004B68BF"/>
    <w:rsid w:val="004B75B8"/>
    <w:rsid w:val="004C0DDC"/>
    <w:rsid w:val="004C2D4A"/>
    <w:rsid w:val="004C5A2E"/>
    <w:rsid w:val="004C69AF"/>
    <w:rsid w:val="004D08B2"/>
    <w:rsid w:val="004D45B9"/>
    <w:rsid w:val="004E1BD7"/>
    <w:rsid w:val="004E4046"/>
    <w:rsid w:val="004E64F9"/>
    <w:rsid w:val="004F47DB"/>
    <w:rsid w:val="004F47F2"/>
    <w:rsid w:val="004F6064"/>
    <w:rsid w:val="004F6CE8"/>
    <w:rsid w:val="004F7935"/>
    <w:rsid w:val="00501593"/>
    <w:rsid w:val="005070EB"/>
    <w:rsid w:val="00510632"/>
    <w:rsid w:val="0051279A"/>
    <w:rsid w:val="00520A61"/>
    <w:rsid w:val="005213E5"/>
    <w:rsid w:val="005269DE"/>
    <w:rsid w:val="0053134C"/>
    <w:rsid w:val="00533F7C"/>
    <w:rsid w:val="00534CA8"/>
    <w:rsid w:val="00536E6F"/>
    <w:rsid w:val="00540AE3"/>
    <w:rsid w:val="00543C70"/>
    <w:rsid w:val="0055002B"/>
    <w:rsid w:val="0055022F"/>
    <w:rsid w:val="0055228A"/>
    <w:rsid w:val="00555D8B"/>
    <w:rsid w:val="00555E04"/>
    <w:rsid w:val="00560D4C"/>
    <w:rsid w:val="00561E36"/>
    <w:rsid w:val="005646EE"/>
    <w:rsid w:val="00567C62"/>
    <w:rsid w:val="0057087F"/>
    <w:rsid w:val="005777AB"/>
    <w:rsid w:val="00582EFB"/>
    <w:rsid w:val="00587A8A"/>
    <w:rsid w:val="005930C0"/>
    <w:rsid w:val="005A0C04"/>
    <w:rsid w:val="005A5D6C"/>
    <w:rsid w:val="005A7ABC"/>
    <w:rsid w:val="005B0CF0"/>
    <w:rsid w:val="005B4483"/>
    <w:rsid w:val="005B512C"/>
    <w:rsid w:val="005C2D00"/>
    <w:rsid w:val="005C3ADC"/>
    <w:rsid w:val="005C4736"/>
    <w:rsid w:val="005C6489"/>
    <w:rsid w:val="005C7A3A"/>
    <w:rsid w:val="005D0D86"/>
    <w:rsid w:val="005D13C8"/>
    <w:rsid w:val="005D192C"/>
    <w:rsid w:val="005D2C8E"/>
    <w:rsid w:val="005D6B12"/>
    <w:rsid w:val="005E2A53"/>
    <w:rsid w:val="005E2CE7"/>
    <w:rsid w:val="005E751A"/>
    <w:rsid w:val="00606249"/>
    <w:rsid w:val="00620022"/>
    <w:rsid w:val="00642567"/>
    <w:rsid w:val="00644E81"/>
    <w:rsid w:val="0064530C"/>
    <w:rsid w:val="006468DD"/>
    <w:rsid w:val="0064735D"/>
    <w:rsid w:val="006520EE"/>
    <w:rsid w:val="00653C1A"/>
    <w:rsid w:val="00654BF2"/>
    <w:rsid w:val="00661629"/>
    <w:rsid w:val="0066256D"/>
    <w:rsid w:val="00662A49"/>
    <w:rsid w:val="00663A86"/>
    <w:rsid w:val="00670346"/>
    <w:rsid w:val="00673E38"/>
    <w:rsid w:val="00674229"/>
    <w:rsid w:val="006769BA"/>
    <w:rsid w:val="00684F41"/>
    <w:rsid w:val="0069166C"/>
    <w:rsid w:val="00693040"/>
    <w:rsid w:val="0069586B"/>
    <w:rsid w:val="006A049C"/>
    <w:rsid w:val="006A1675"/>
    <w:rsid w:val="006A3F3F"/>
    <w:rsid w:val="006A64D3"/>
    <w:rsid w:val="006A7DE6"/>
    <w:rsid w:val="006B5C54"/>
    <w:rsid w:val="006C206A"/>
    <w:rsid w:val="006C63E4"/>
    <w:rsid w:val="006D10C9"/>
    <w:rsid w:val="006D3C38"/>
    <w:rsid w:val="006E002C"/>
    <w:rsid w:val="006E2D3F"/>
    <w:rsid w:val="006E3A8A"/>
    <w:rsid w:val="006E64E1"/>
    <w:rsid w:val="006F4706"/>
    <w:rsid w:val="006F7FC2"/>
    <w:rsid w:val="00706BB2"/>
    <w:rsid w:val="00707DE3"/>
    <w:rsid w:val="00711F98"/>
    <w:rsid w:val="00716F35"/>
    <w:rsid w:val="00720C3E"/>
    <w:rsid w:val="00721EDC"/>
    <w:rsid w:val="007266C1"/>
    <w:rsid w:val="007278E5"/>
    <w:rsid w:val="0073020C"/>
    <w:rsid w:val="00735571"/>
    <w:rsid w:val="007436D2"/>
    <w:rsid w:val="0074634C"/>
    <w:rsid w:val="00746599"/>
    <w:rsid w:val="00764114"/>
    <w:rsid w:val="00766661"/>
    <w:rsid w:val="00767878"/>
    <w:rsid w:val="0077059A"/>
    <w:rsid w:val="00772144"/>
    <w:rsid w:val="00772808"/>
    <w:rsid w:val="00773B74"/>
    <w:rsid w:val="00774BDB"/>
    <w:rsid w:val="00776E3A"/>
    <w:rsid w:val="007835E2"/>
    <w:rsid w:val="0078382B"/>
    <w:rsid w:val="00783C24"/>
    <w:rsid w:val="0078753E"/>
    <w:rsid w:val="00791F81"/>
    <w:rsid w:val="00794E63"/>
    <w:rsid w:val="007A1348"/>
    <w:rsid w:val="007A28A2"/>
    <w:rsid w:val="007A433A"/>
    <w:rsid w:val="007B69CC"/>
    <w:rsid w:val="007B7DDE"/>
    <w:rsid w:val="007C6590"/>
    <w:rsid w:val="007D0BE4"/>
    <w:rsid w:val="007D0D04"/>
    <w:rsid w:val="007D21A7"/>
    <w:rsid w:val="007E01A0"/>
    <w:rsid w:val="007E3B8F"/>
    <w:rsid w:val="007F51CD"/>
    <w:rsid w:val="007F71CC"/>
    <w:rsid w:val="008034E2"/>
    <w:rsid w:val="00813C75"/>
    <w:rsid w:val="008140A7"/>
    <w:rsid w:val="00814A41"/>
    <w:rsid w:val="00821C46"/>
    <w:rsid w:val="00821EFB"/>
    <w:rsid w:val="00824751"/>
    <w:rsid w:val="0082478D"/>
    <w:rsid w:val="0083239E"/>
    <w:rsid w:val="00835253"/>
    <w:rsid w:val="00842475"/>
    <w:rsid w:val="008432AC"/>
    <w:rsid w:val="00846357"/>
    <w:rsid w:val="00846417"/>
    <w:rsid w:val="008647C7"/>
    <w:rsid w:val="00864E08"/>
    <w:rsid w:val="00870D1F"/>
    <w:rsid w:val="008775D2"/>
    <w:rsid w:val="0088025C"/>
    <w:rsid w:val="00880D2C"/>
    <w:rsid w:val="0088176B"/>
    <w:rsid w:val="00886961"/>
    <w:rsid w:val="0089232E"/>
    <w:rsid w:val="0089569B"/>
    <w:rsid w:val="008A7089"/>
    <w:rsid w:val="008B0D4E"/>
    <w:rsid w:val="008B5D82"/>
    <w:rsid w:val="008B65E9"/>
    <w:rsid w:val="008B7C7B"/>
    <w:rsid w:val="008C0727"/>
    <w:rsid w:val="008D3088"/>
    <w:rsid w:val="008D4921"/>
    <w:rsid w:val="008E07DD"/>
    <w:rsid w:val="008E5DB0"/>
    <w:rsid w:val="008F7096"/>
    <w:rsid w:val="009000EE"/>
    <w:rsid w:val="0090094F"/>
    <w:rsid w:val="00910211"/>
    <w:rsid w:val="009105E4"/>
    <w:rsid w:val="009219A9"/>
    <w:rsid w:val="00922811"/>
    <w:rsid w:val="009259D6"/>
    <w:rsid w:val="00934DA8"/>
    <w:rsid w:val="00940532"/>
    <w:rsid w:val="0094207F"/>
    <w:rsid w:val="009469C7"/>
    <w:rsid w:val="0095473D"/>
    <w:rsid w:val="00960093"/>
    <w:rsid w:val="00961628"/>
    <w:rsid w:val="00965EDF"/>
    <w:rsid w:val="00971244"/>
    <w:rsid w:val="00973875"/>
    <w:rsid w:val="00975E09"/>
    <w:rsid w:val="00976264"/>
    <w:rsid w:val="00976CB2"/>
    <w:rsid w:val="00980B64"/>
    <w:rsid w:val="009831C1"/>
    <w:rsid w:val="009832B7"/>
    <w:rsid w:val="009842B6"/>
    <w:rsid w:val="00984FC2"/>
    <w:rsid w:val="00985004"/>
    <w:rsid w:val="00990306"/>
    <w:rsid w:val="00990A12"/>
    <w:rsid w:val="009912F9"/>
    <w:rsid w:val="009931FA"/>
    <w:rsid w:val="009A326A"/>
    <w:rsid w:val="009B0024"/>
    <w:rsid w:val="009B05E2"/>
    <w:rsid w:val="009B0D22"/>
    <w:rsid w:val="009B5A62"/>
    <w:rsid w:val="009B5D37"/>
    <w:rsid w:val="009C28DF"/>
    <w:rsid w:val="009C4AE4"/>
    <w:rsid w:val="009C5FDD"/>
    <w:rsid w:val="009C62B0"/>
    <w:rsid w:val="009D3AAE"/>
    <w:rsid w:val="009D5648"/>
    <w:rsid w:val="009E032E"/>
    <w:rsid w:val="009F1430"/>
    <w:rsid w:val="009F2EF0"/>
    <w:rsid w:val="009F4ADC"/>
    <w:rsid w:val="009F6169"/>
    <w:rsid w:val="009F6B48"/>
    <w:rsid w:val="009F7D4D"/>
    <w:rsid w:val="009F7D60"/>
    <w:rsid w:val="00A03F2F"/>
    <w:rsid w:val="00A054CE"/>
    <w:rsid w:val="00A13B1C"/>
    <w:rsid w:val="00A1517A"/>
    <w:rsid w:val="00A165C3"/>
    <w:rsid w:val="00A2303E"/>
    <w:rsid w:val="00A26AB0"/>
    <w:rsid w:val="00A30C7B"/>
    <w:rsid w:val="00A36DC5"/>
    <w:rsid w:val="00A416DD"/>
    <w:rsid w:val="00A467C1"/>
    <w:rsid w:val="00A47B00"/>
    <w:rsid w:val="00A47D63"/>
    <w:rsid w:val="00A555E0"/>
    <w:rsid w:val="00A64510"/>
    <w:rsid w:val="00A7222C"/>
    <w:rsid w:val="00A75043"/>
    <w:rsid w:val="00A80011"/>
    <w:rsid w:val="00A80654"/>
    <w:rsid w:val="00A815DA"/>
    <w:rsid w:val="00A81A69"/>
    <w:rsid w:val="00A81B2F"/>
    <w:rsid w:val="00A940BB"/>
    <w:rsid w:val="00A97C23"/>
    <w:rsid w:val="00AA62DD"/>
    <w:rsid w:val="00AB50EF"/>
    <w:rsid w:val="00AC061C"/>
    <w:rsid w:val="00AC0C4D"/>
    <w:rsid w:val="00AC1903"/>
    <w:rsid w:val="00AC486D"/>
    <w:rsid w:val="00AC48D7"/>
    <w:rsid w:val="00AC7F9C"/>
    <w:rsid w:val="00AE1366"/>
    <w:rsid w:val="00AE2A76"/>
    <w:rsid w:val="00AE39AE"/>
    <w:rsid w:val="00AE3EF9"/>
    <w:rsid w:val="00AE6DFB"/>
    <w:rsid w:val="00AE7979"/>
    <w:rsid w:val="00AF0CF8"/>
    <w:rsid w:val="00AF5D48"/>
    <w:rsid w:val="00B0785C"/>
    <w:rsid w:val="00B10ACE"/>
    <w:rsid w:val="00B116BF"/>
    <w:rsid w:val="00B11CA0"/>
    <w:rsid w:val="00B125C7"/>
    <w:rsid w:val="00B160B3"/>
    <w:rsid w:val="00B25015"/>
    <w:rsid w:val="00B27902"/>
    <w:rsid w:val="00B30FFB"/>
    <w:rsid w:val="00B3672D"/>
    <w:rsid w:val="00B36B6B"/>
    <w:rsid w:val="00B404D2"/>
    <w:rsid w:val="00B41892"/>
    <w:rsid w:val="00B45627"/>
    <w:rsid w:val="00B52C3D"/>
    <w:rsid w:val="00B568E8"/>
    <w:rsid w:val="00B60075"/>
    <w:rsid w:val="00B71E11"/>
    <w:rsid w:val="00B76BD9"/>
    <w:rsid w:val="00B770B1"/>
    <w:rsid w:val="00B820A6"/>
    <w:rsid w:val="00B83D8D"/>
    <w:rsid w:val="00B8743E"/>
    <w:rsid w:val="00B91B1C"/>
    <w:rsid w:val="00B91DDE"/>
    <w:rsid w:val="00B94297"/>
    <w:rsid w:val="00B950E2"/>
    <w:rsid w:val="00B95FD6"/>
    <w:rsid w:val="00BA18FC"/>
    <w:rsid w:val="00BB3304"/>
    <w:rsid w:val="00BB4915"/>
    <w:rsid w:val="00BB5558"/>
    <w:rsid w:val="00BB69D0"/>
    <w:rsid w:val="00BC0559"/>
    <w:rsid w:val="00BC201C"/>
    <w:rsid w:val="00BD61FD"/>
    <w:rsid w:val="00BE0890"/>
    <w:rsid w:val="00BE4828"/>
    <w:rsid w:val="00BE70A0"/>
    <w:rsid w:val="00BF6EA3"/>
    <w:rsid w:val="00C033F6"/>
    <w:rsid w:val="00C03BAD"/>
    <w:rsid w:val="00C13D38"/>
    <w:rsid w:val="00C20655"/>
    <w:rsid w:val="00C2183A"/>
    <w:rsid w:val="00C22AD9"/>
    <w:rsid w:val="00C22ADE"/>
    <w:rsid w:val="00C237A2"/>
    <w:rsid w:val="00C3577D"/>
    <w:rsid w:val="00C40836"/>
    <w:rsid w:val="00C438B3"/>
    <w:rsid w:val="00C45B7F"/>
    <w:rsid w:val="00C45FBF"/>
    <w:rsid w:val="00C575C8"/>
    <w:rsid w:val="00C64287"/>
    <w:rsid w:val="00C64A66"/>
    <w:rsid w:val="00C6525D"/>
    <w:rsid w:val="00C67323"/>
    <w:rsid w:val="00C773F4"/>
    <w:rsid w:val="00C80975"/>
    <w:rsid w:val="00C8335A"/>
    <w:rsid w:val="00C833FF"/>
    <w:rsid w:val="00CA0074"/>
    <w:rsid w:val="00CA1E74"/>
    <w:rsid w:val="00CA475C"/>
    <w:rsid w:val="00CA6A28"/>
    <w:rsid w:val="00CC0E8C"/>
    <w:rsid w:val="00CD2231"/>
    <w:rsid w:val="00CD3CB1"/>
    <w:rsid w:val="00CD3D20"/>
    <w:rsid w:val="00CD7099"/>
    <w:rsid w:val="00CE1E99"/>
    <w:rsid w:val="00CE3016"/>
    <w:rsid w:val="00CE313B"/>
    <w:rsid w:val="00CE3E69"/>
    <w:rsid w:val="00CE7A4A"/>
    <w:rsid w:val="00CE7F64"/>
    <w:rsid w:val="00CF267B"/>
    <w:rsid w:val="00CF444F"/>
    <w:rsid w:val="00D05384"/>
    <w:rsid w:val="00D05469"/>
    <w:rsid w:val="00D073FB"/>
    <w:rsid w:val="00D34D8B"/>
    <w:rsid w:val="00D35418"/>
    <w:rsid w:val="00D3552B"/>
    <w:rsid w:val="00D40356"/>
    <w:rsid w:val="00D427D4"/>
    <w:rsid w:val="00D456B1"/>
    <w:rsid w:val="00D52212"/>
    <w:rsid w:val="00D542D7"/>
    <w:rsid w:val="00D61899"/>
    <w:rsid w:val="00D639AE"/>
    <w:rsid w:val="00D64455"/>
    <w:rsid w:val="00D67608"/>
    <w:rsid w:val="00D67E3A"/>
    <w:rsid w:val="00D728BA"/>
    <w:rsid w:val="00D74D64"/>
    <w:rsid w:val="00D75F2C"/>
    <w:rsid w:val="00D832D9"/>
    <w:rsid w:val="00D859DD"/>
    <w:rsid w:val="00D90560"/>
    <w:rsid w:val="00D92510"/>
    <w:rsid w:val="00D92F36"/>
    <w:rsid w:val="00D93BBF"/>
    <w:rsid w:val="00DB2C2F"/>
    <w:rsid w:val="00DB46FE"/>
    <w:rsid w:val="00DB4AAE"/>
    <w:rsid w:val="00DB633F"/>
    <w:rsid w:val="00DC12FC"/>
    <w:rsid w:val="00DC2FB6"/>
    <w:rsid w:val="00DC36EA"/>
    <w:rsid w:val="00DC3BBE"/>
    <w:rsid w:val="00DD144E"/>
    <w:rsid w:val="00DD77D6"/>
    <w:rsid w:val="00DD7F10"/>
    <w:rsid w:val="00DE4E71"/>
    <w:rsid w:val="00DE7141"/>
    <w:rsid w:val="00DF25C6"/>
    <w:rsid w:val="00DF2655"/>
    <w:rsid w:val="00DF2923"/>
    <w:rsid w:val="00DF2C49"/>
    <w:rsid w:val="00DF3C67"/>
    <w:rsid w:val="00E006E4"/>
    <w:rsid w:val="00E013CF"/>
    <w:rsid w:val="00E17C10"/>
    <w:rsid w:val="00E26204"/>
    <w:rsid w:val="00E266EE"/>
    <w:rsid w:val="00E30190"/>
    <w:rsid w:val="00E33969"/>
    <w:rsid w:val="00E363D8"/>
    <w:rsid w:val="00E367F6"/>
    <w:rsid w:val="00E43B7F"/>
    <w:rsid w:val="00E523E6"/>
    <w:rsid w:val="00E55290"/>
    <w:rsid w:val="00E60039"/>
    <w:rsid w:val="00E66B34"/>
    <w:rsid w:val="00E67938"/>
    <w:rsid w:val="00E71CF1"/>
    <w:rsid w:val="00E769A4"/>
    <w:rsid w:val="00E774D6"/>
    <w:rsid w:val="00E80613"/>
    <w:rsid w:val="00E8317E"/>
    <w:rsid w:val="00E856F6"/>
    <w:rsid w:val="00E86E16"/>
    <w:rsid w:val="00E86EC0"/>
    <w:rsid w:val="00E9510B"/>
    <w:rsid w:val="00E976CC"/>
    <w:rsid w:val="00EA0203"/>
    <w:rsid w:val="00EA1CB1"/>
    <w:rsid w:val="00EA1FFC"/>
    <w:rsid w:val="00EA428A"/>
    <w:rsid w:val="00EA65CE"/>
    <w:rsid w:val="00EB385E"/>
    <w:rsid w:val="00ED1729"/>
    <w:rsid w:val="00ED37A2"/>
    <w:rsid w:val="00EE2E4E"/>
    <w:rsid w:val="00EE7CEB"/>
    <w:rsid w:val="00EF227A"/>
    <w:rsid w:val="00EF5D5E"/>
    <w:rsid w:val="00F02896"/>
    <w:rsid w:val="00F051CF"/>
    <w:rsid w:val="00F0613C"/>
    <w:rsid w:val="00F075FA"/>
    <w:rsid w:val="00F10A1A"/>
    <w:rsid w:val="00F11204"/>
    <w:rsid w:val="00F16E32"/>
    <w:rsid w:val="00F2717E"/>
    <w:rsid w:val="00F273CF"/>
    <w:rsid w:val="00F3119B"/>
    <w:rsid w:val="00F33261"/>
    <w:rsid w:val="00F33737"/>
    <w:rsid w:val="00F416D7"/>
    <w:rsid w:val="00F561EB"/>
    <w:rsid w:val="00F57CE7"/>
    <w:rsid w:val="00F6028C"/>
    <w:rsid w:val="00F60821"/>
    <w:rsid w:val="00F63850"/>
    <w:rsid w:val="00F700E1"/>
    <w:rsid w:val="00F7194D"/>
    <w:rsid w:val="00F75302"/>
    <w:rsid w:val="00F75975"/>
    <w:rsid w:val="00F77524"/>
    <w:rsid w:val="00F77A04"/>
    <w:rsid w:val="00F83FAE"/>
    <w:rsid w:val="00F87242"/>
    <w:rsid w:val="00F923C8"/>
    <w:rsid w:val="00F92A84"/>
    <w:rsid w:val="00F93D8D"/>
    <w:rsid w:val="00F94F95"/>
    <w:rsid w:val="00FA06C2"/>
    <w:rsid w:val="00FA1E02"/>
    <w:rsid w:val="00FA3A22"/>
    <w:rsid w:val="00FB24EC"/>
    <w:rsid w:val="00FB52E5"/>
    <w:rsid w:val="00FC2027"/>
    <w:rsid w:val="00FC387E"/>
    <w:rsid w:val="00FC7E67"/>
    <w:rsid w:val="00FD2201"/>
    <w:rsid w:val="00FD6E59"/>
    <w:rsid w:val="00FE5B97"/>
    <w:rsid w:val="00FF0012"/>
    <w:rsid w:val="00FF1A19"/>
    <w:rsid w:val="00FF1C15"/>
    <w:rsid w:val="15AA2ADB"/>
    <w:rsid w:val="19231D27"/>
    <w:rsid w:val="1D44273D"/>
    <w:rsid w:val="201E3366"/>
    <w:rsid w:val="32FD5B5A"/>
    <w:rsid w:val="67336DE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semiHidden="0" w:name="toc 5"/>
    <w:lsdException w:uiPriority="39" w:name="toc 6"/>
    <w:lsdException w:uiPriority="39" w:name="toc 7"/>
    <w:lsdException w:uiPriority="39" w:name="toc 8"/>
    <w:lsdException w:uiPriority="39" w:name="toc 9"/>
    <w:lsdException w:uiPriority="99" w:name="Normal Indent"/>
    <w:lsdException w:unhideWhenUsed="0"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qFormat="1" w:unhideWhenUsed="0"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0" w:semiHidden="0"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semiHidden="0" w:name="List Paragraph"/>
  </w:latentStyles>
  <w:style w:type="paragraph" w:default="1" w:styleId="1">
    <w:name w:val="Normal"/>
    <w:qFormat/>
    <w:uiPriority w:val="0"/>
    <w:pPr>
      <w:spacing w:after="200" w:line="276" w:lineRule="auto"/>
      <w:jc w:val="both"/>
    </w:pPr>
    <w:rPr>
      <w:rFonts w:ascii="Times New Roman" w:hAnsi="Times New Roman" w:eastAsiaTheme="minorEastAsia" w:cstheme="minorBidi"/>
      <w:sz w:val="24"/>
      <w:szCs w:val="22"/>
      <w:lang w:val="es-CO" w:eastAsia="es-CO" w:bidi="ar-SA"/>
    </w:rPr>
  </w:style>
  <w:style w:type="paragraph" w:styleId="2">
    <w:name w:val="heading 1"/>
    <w:basedOn w:val="1"/>
    <w:next w:val="1"/>
    <w:link w:val="48"/>
    <w:qFormat/>
    <w:uiPriority w:val="9"/>
    <w:pPr>
      <w:keepNext/>
      <w:keepLines/>
      <w:spacing w:before="240" w:after="0"/>
      <w:jc w:val="center"/>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link w:val="50"/>
    <w:unhideWhenUsed/>
    <w:qFormat/>
    <w:uiPriority w:val="9"/>
    <w:pPr>
      <w:keepNext/>
      <w:keepLines/>
      <w:spacing w:before="40" w:after="0"/>
      <w:jc w:val="left"/>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link w:val="35"/>
    <w:qFormat/>
    <w:uiPriority w:val="9"/>
    <w:pPr>
      <w:spacing w:before="100" w:beforeAutospacing="1" w:after="100" w:afterAutospacing="1" w:line="240" w:lineRule="auto"/>
      <w:outlineLvl w:val="2"/>
    </w:pPr>
    <w:rPr>
      <w:rFonts w:eastAsia="Times New Roman" w:cs="Times New Roman"/>
      <w:b/>
      <w:bCs/>
      <w:sz w:val="27"/>
      <w:szCs w:val="27"/>
      <w:lang w:val="es-ES" w:eastAsia="es-ES"/>
    </w:rPr>
  </w:style>
  <w:style w:type="paragraph" w:styleId="5">
    <w:name w:val="heading 4"/>
    <w:basedOn w:val="1"/>
    <w:next w:val="1"/>
    <w:link w:val="51"/>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52"/>
    <w:unhideWhenUsed/>
    <w:qFormat/>
    <w:uiPriority w:val="9"/>
    <w:pPr>
      <w:keepNext/>
      <w:keepLines/>
      <w:spacing w:before="40" w:after="0"/>
      <w:outlineLvl w:val="4"/>
    </w:pPr>
    <w:rPr>
      <w:rFonts w:asciiTheme="majorHAnsi" w:hAnsiTheme="majorHAnsi" w:eastAsiaTheme="majorEastAsia" w:cstheme="majorBidi"/>
      <w:color w:val="376092" w:themeColor="accent1" w:themeShade="BF"/>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annotation reference"/>
    <w:semiHidden/>
    <w:unhideWhenUsed/>
    <w:uiPriority w:val="99"/>
    <w:rPr>
      <w:sz w:val="16"/>
      <w:szCs w:val="16"/>
    </w:rPr>
  </w:style>
  <w:style w:type="character" w:styleId="10">
    <w:name w:val="footnote reference"/>
    <w:basedOn w:val="7"/>
    <w:semiHidden/>
    <w:unhideWhenUsed/>
    <w:qFormat/>
    <w:uiPriority w:val="99"/>
    <w:rPr>
      <w:vertAlign w:val="superscript"/>
    </w:rPr>
  </w:style>
  <w:style w:type="character" w:styleId="11">
    <w:name w:val="Hyperlink"/>
    <w:qFormat/>
    <w:uiPriority w:val="99"/>
    <w:rPr>
      <w:rFonts w:cs="Times New Roman"/>
      <w:color w:val="0000FF"/>
      <w:u w:val="single"/>
    </w:rPr>
  </w:style>
  <w:style w:type="character" w:styleId="12">
    <w:name w:val="page number"/>
    <w:basedOn w:val="7"/>
    <w:qFormat/>
    <w:uiPriority w:val="0"/>
  </w:style>
  <w:style w:type="character" w:styleId="13">
    <w:name w:val="Strong"/>
    <w:basedOn w:val="7"/>
    <w:qFormat/>
    <w:uiPriority w:val="22"/>
    <w:rPr>
      <w:b/>
      <w:bCs/>
    </w:rPr>
  </w:style>
  <w:style w:type="paragraph" w:styleId="14">
    <w:name w:val="toc 3"/>
    <w:basedOn w:val="1"/>
    <w:next w:val="1"/>
    <w:autoRedefine/>
    <w:unhideWhenUsed/>
    <w:qFormat/>
    <w:uiPriority w:val="39"/>
    <w:pPr>
      <w:tabs>
        <w:tab w:val="right" w:leader="dot" w:pos="9350"/>
      </w:tabs>
      <w:spacing w:after="100"/>
    </w:pPr>
  </w:style>
  <w:style w:type="paragraph" w:styleId="15">
    <w:name w:val="footnote text"/>
    <w:basedOn w:val="1"/>
    <w:link w:val="38"/>
    <w:semiHidden/>
    <w:uiPriority w:val="99"/>
    <w:pPr>
      <w:suppressAutoHyphens/>
      <w:spacing w:after="0" w:line="360" w:lineRule="auto"/>
    </w:pPr>
    <w:rPr>
      <w:rFonts w:ascii="Arial" w:hAnsi="Arial" w:eastAsia="Times New Roman" w:cs="Arial"/>
      <w:sz w:val="20"/>
      <w:szCs w:val="20"/>
      <w:lang w:eastAsia="ar-SA"/>
    </w:r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tabs>
        <w:tab w:val="right" w:leader="dot" w:pos="9350"/>
      </w:tabs>
      <w:spacing w:after="100"/>
    </w:pPr>
  </w:style>
  <w:style w:type="paragraph" w:styleId="18">
    <w:name w:val="endnote text"/>
    <w:basedOn w:val="1"/>
    <w:link w:val="39"/>
    <w:semiHidden/>
    <w:qFormat/>
    <w:uiPriority w:val="99"/>
    <w:pPr>
      <w:suppressAutoHyphens/>
      <w:spacing w:after="0" w:line="360" w:lineRule="auto"/>
    </w:pPr>
    <w:rPr>
      <w:rFonts w:ascii="Arial" w:hAnsi="Arial" w:eastAsia="Times New Roman" w:cs="Arial"/>
      <w:sz w:val="20"/>
      <w:szCs w:val="20"/>
      <w:lang w:eastAsia="ar-SA"/>
    </w:rPr>
  </w:style>
  <w:style w:type="paragraph" w:styleId="19">
    <w:name w:val="annotation subject"/>
    <w:basedOn w:val="20"/>
    <w:next w:val="20"/>
    <w:link w:val="43"/>
    <w:semiHidden/>
    <w:unhideWhenUsed/>
    <w:qFormat/>
    <w:uiPriority w:val="99"/>
    <w:rPr>
      <w:b/>
      <w:bCs/>
    </w:rPr>
  </w:style>
  <w:style w:type="paragraph" w:styleId="20">
    <w:name w:val="annotation text"/>
    <w:basedOn w:val="1"/>
    <w:link w:val="42"/>
    <w:semiHidden/>
    <w:unhideWhenUsed/>
    <w:qFormat/>
    <w:uiPriority w:val="99"/>
    <w:rPr>
      <w:rFonts w:ascii="Calibri" w:hAnsi="Calibri" w:eastAsia="Times New Roman" w:cs="Times New Roman"/>
      <w:sz w:val="20"/>
      <w:szCs w:val="20"/>
    </w:rPr>
  </w:style>
  <w:style w:type="paragraph" w:styleId="21">
    <w:name w:val="Balloon Text"/>
    <w:basedOn w:val="1"/>
    <w:link w:val="44"/>
    <w:semiHidden/>
    <w:unhideWhenUsed/>
    <w:uiPriority w:val="99"/>
    <w:pPr>
      <w:spacing w:after="0" w:line="240" w:lineRule="auto"/>
    </w:pPr>
    <w:rPr>
      <w:rFonts w:ascii="Tahoma" w:hAnsi="Tahoma" w:eastAsia="Times New Roman" w:cs="Tahoma"/>
      <w:sz w:val="16"/>
      <w:szCs w:val="16"/>
    </w:rPr>
  </w:style>
  <w:style w:type="paragraph" w:styleId="22">
    <w:name w:val="toc 5"/>
    <w:basedOn w:val="1"/>
    <w:next w:val="1"/>
    <w:autoRedefine/>
    <w:unhideWhenUsed/>
    <w:uiPriority w:val="39"/>
    <w:pPr>
      <w:tabs>
        <w:tab w:val="right" w:leader="dot" w:pos="9350"/>
      </w:tabs>
      <w:spacing w:after="100"/>
      <w:ind w:firstLine="709"/>
    </w:pPr>
  </w:style>
  <w:style w:type="paragraph" w:styleId="23">
    <w:name w:val="toc 4"/>
    <w:basedOn w:val="1"/>
    <w:next w:val="1"/>
    <w:autoRedefine/>
    <w:unhideWhenUsed/>
    <w:qFormat/>
    <w:uiPriority w:val="39"/>
    <w:pPr>
      <w:tabs>
        <w:tab w:val="right" w:leader="dot" w:pos="9350"/>
      </w:tabs>
      <w:spacing w:after="100"/>
      <w:ind w:firstLine="709"/>
    </w:pPr>
  </w:style>
  <w:style w:type="paragraph" w:styleId="24">
    <w:name w:val="header"/>
    <w:basedOn w:val="1"/>
    <w:link w:val="30"/>
    <w:unhideWhenUsed/>
    <w:qFormat/>
    <w:uiPriority w:val="99"/>
    <w:pPr>
      <w:tabs>
        <w:tab w:val="center" w:pos="4419"/>
        <w:tab w:val="right" w:pos="8838"/>
      </w:tabs>
      <w:spacing w:after="0" w:line="240" w:lineRule="auto"/>
    </w:pPr>
  </w:style>
  <w:style w:type="paragraph" w:styleId="25">
    <w:name w:val="Normal (Web)"/>
    <w:basedOn w:val="1"/>
    <w:semiHidden/>
    <w:unhideWhenUsed/>
    <w:uiPriority w:val="99"/>
    <w:pPr>
      <w:spacing w:before="100" w:beforeAutospacing="1" w:after="100" w:afterAutospacing="1" w:line="240" w:lineRule="auto"/>
    </w:pPr>
    <w:rPr>
      <w:rFonts w:eastAsia="Times New Roman" w:cs="Times New Roman"/>
      <w:szCs w:val="24"/>
      <w:lang w:eastAsia="es-ES"/>
    </w:rPr>
  </w:style>
  <w:style w:type="paragraph" w:styleId="26">
    <w:name w:val="footer"/>
    <w:basedOn w:val="1"/>
    <w:link w:val="31"/>
    <w:unhideWhenUsed/>
    <w:qFormat/>
    <w:uiPriority w:val="99"/>
    <w:pPr>
      <w:tabs>
        <w:tab w:val="center" w:pos="4419"/>
        <w:tab w:val="right" w:pos="8838"/>
      </w:tabs>
      <w:spacing w:after="0" w:line="240" w:lineRule="auto"/>
    </w:pPr>
  </w:style>
  <w:style w:type="paragraph" w:styleId="27">
    <w:name w:val="Body Text 3"/>
    <w:basedOn w:val="1"/>
    <w:link w:val="47"/>
    <w:unhideWhenUsed/>
    <w:qFormat/>
    <w:uiPriority w:val="0"/>
    <w:pPr>
      <w:suppressAutoHyphens/>
      <w:spacing w:after="120" w:line="240" w:lineRule="auto"/>
    </w:pPr>
    <w:rPr>
      <w:rFonts w:eastAsia="Times New Roman" w:cs="Calibri"/>
      <w:sz w:val="16"/>
      <w:szCs w:val="16"/>
      <w:lang w:eastAsia="ar-SA"/>
    </w:rPr>
  </w:style>
  <w:style w:type="paragraph" w:styleId="28">
    <w:name w:val="Plain Text"/>
    <w:basedOn w:val="1"/>
    <w:link w:val="41"/>
    <w:qFormat/>
    <w:uiPriority w:val="0"/>
    <w:pPr>
      <w:spacing w:after="0" w:line="240" w:lineRule="auto"/>
    </w:pPr>
    <w:rPr>
      <w:rFonts w:ascii="Courier New" w:hAnsi="Courier New" w:eastAsia="Times New Roman" w:cs="Times New Roman"/>
      <w:sz w:val="20"/>
      <w:szCs w:val="20"/>
      <w:lang w:val="es-ES" w:eastAsia="es-ES"/>
    </w:rPr>
  </w:style>
  <w:style w:type="table" w:styleId="2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
    <w:name w:val="Encabezado Car"/>
    <w:basedOn w:val="7"/>
    <w:link w:val="24"/>
    <w:qFormat/>
    <w:uiPriority w:val="99"/>
  </w:style>
  <w:style w:type="character" w:customStyle="1" w:styleId="31">
    <w:name w:val="Pie de página Car"/>
    <w:basedOn w:val="7"/>
    <w:link w:val="26"/>
    <w:qFormat/>
    <w:uiPriority w:val="99"/>
  </w:style>
  <w:style w:type="paragraph" w:styleId="32">
    <w:name w:val="List Paragraph"/>
    <w:basedOn w:val="1"/>
    <w:qFormat/>
    <w:uiPriority w:val="99"/>
    <w:pPr>
      <w:ind w:left="720"/>
      <w:contextualSpacing/>
    </w:pPr>
  </w:style>
  <w:style w:type="paragraph" w:customStyle="1" w:styleId="33">
    <w:name w:val="Default"/>
    <w:uiPriority w:val="0"/>
    <w:pPr>
      <w:autoSpaceDE w:val="0"/>
      <w:autoSpaceDN w:val="0"/>
      <w:adjustRightInd w:val="0"/>
    </w:pPr>
    <w:rPr>
      <w:rFonts w:ascii="Arial" w:hAnsi="Arial" w:eastAsia="Calibri" w:cs="Arial"/>
      <w:color w:val="000000"/>
      <w:sz w:val="24"/>
      <w:szCs w:val="24"/>
      <w:lang w:val="es-CO" w:eastAsia="es-ES" w:bidi="ar-SA"/>
    </w:rPr>
  </w:style>
  <w:style w:type="character" w:customStyle="1" w:styleId="34">
    <w:name w:val="apple-converted-space"/>
    <w:basedOn w:val="7"/>
    <w:uiPriority w:val="0"/>
  </w:style>
  <w:style w:type="character" w:customStyle="1" w:styleId="35">
    <w:name w:val="Título 3 Car"/>
    <w:basedOn w:val="7"/>
    <w:link w:val="4"/>
    <w:uiPriority w:val="9"/>
    <w:rPr>
      <w:rFonts w:ascii="Times New Roman" w:hAnsi="Times New Roman" w:eastAsia="Times New Roman" w:cs="Times New Roman"/>
      <w:b/>
      <w:bCs/>
      <w:sz w:val="27"/>
      <w:szCs w:val="27"/>
      <w:lang w:val="es-ES" w:eastAsia="es-ES"/>
    </w:rPr>
  </w:style>
  <w:style w:type="character" w:customStyle="1" w:styleId="36">
    <w:name w:val="Símbolo de nota al pie"/>
    <w:uiPriority w:val="99"/>
    <w:rPr>
      <w:rFonts w:cs="Times New Roman"/>
      <w:vertAlign w:val="superscript"/>
    </w:rPr>
  </w:style>
  <w:style w:type="character" w:customStyle="1" w:styleId="37">
    <w:name w:val="Símbolo de nota final"/>
    <w:qFormat/>
    <w:uiPriority w:val="99"/>
    <w:rPr>
      <w:rFonts w:cs="Times New Roman"/>
      <w:vertAlign w:val="superscript"/>
    </w:rPr>
  </w:style>
  <w:style w:type="character" w:customStyle="1" w:styleId="38">
    <w:name w:val="Texto nota pie Car"/>
    <w:basedOn w:val="7"/>
    <w:link w:val="15"/>
    <w:semiHidden/>
    <w:qFormat/>
    <w:uiPriority w:val="99"/>
    <w:rPr>
      <w:rFonts w:ascii="Arial" w:hAnsi="Arial" w:eastAsia="Times New Roman" w:cs="Arial"/>
      <w:sz w:val="20"/>
      <w:szCs w:val="20"/>
      <w:lang w:eastAsia="ar-SA"/>
    </w:rPr>
  </w:style>
  <w:style w:type="character" w:customStyle="1" w:styleId="39">
    <w:name w:val="Texto nota al final Car"/>
    <w:basedOn w:val="7"/>
    <w:link w:val="18"/>
    <w:semiHidden/>
    <w:qFormat/>
    <w:uiPriority w:val="99"/>
    <w:rPr>
      <w:rFonts w:ascii="Arial" w:hAnsi="Arial" w:eastAsia="Times New Roman" w:cs="Arial"/>
      <w:sz w:val="20"/>
      <w:szCs w:val="20"/>
      <w:lang w:eastAsia="ar-SA"/>
    </w:rPr>
  </w:style>
  <w:style w:type="table" w:customStyle="1" w:styleId="40">
    <w:name w:val="Tabla con cuadrícula1"/>
    <w:basedOn w:val="8"/>
    <w:uiPriority w:val="59"/>
    <w:rPr>
      <w:rFonts w:ascii="Calibri" w:hAnsi="Calibri"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41">
    <w:name w:val="Texto sin formato Car"/>
    <w:basedOn w:val="7"/>
    <w:link w:val="28"/>
    <w:uiPriority w:val="0"/>
    <w:rPr>
      <w:rFonts w:ascii="Courier New" w:hAnsi="Courier New" w:eastAsia="Times New Roman" w:cs="Times New Roman"/>
      <w:sz w:val="20"/>
      <w:szCs w:val="20"/>
      <w:lang w:val="es-ES" w:eastAsia="es-ES"/>
    </w:rPr>
  </w:style>
  <w:style w:type="character" w:customStyle="1" w:styleId="42">
    <w:name w:val="Texto comentario Car"/>
    <w:basedOn w:val="7"/>
    <w:link w:val="20"/>
    <w:semiHidden/>
    <w:qFormat/>
    <w:uiPriority w:val="99"/>
    <w:rPr>
      <w:rFonts w:ascii="Calibri" w:hAnsi="Calibri" w:eastAsia="Times New Roman" w:cs="Times New Roman"/>
      <w:sz w:val="20"/>
      <w:szCs w:val="20"/>
    </w:rPr>
  </w:style>
  <w:style w:type="character" w:customStyle="1" w:styleId="43">
    <w:name w:val="Asunto del comentario Car"/>
    <w:basedOn w:val="42"/>
    <w:link w:val="19"/>
    <w:semiHidden/>
    <w:uiPriority w:val="99"/>
    <w:rPr>
      <w:rFonts w:ascii="Calibri" w:hAnsi="Calibri" w:eastAsia="Times New Roman" w:cs="Times New Roman"/>
      <w:b/>
      <w:bCs/>
      <w:sz w:val="20"/>
      <w:szCs w:val="20"/>
    </w:rPr>
  </w:style>
  <w:style w:type="character" w:customStyle="1" w:styleId="44">
    <w:name w:val="Texto de globo Car"/>
    <w:basedOn w:val="7"/>
    <w:link w:val="21"/>
    <w:semiHidden/>
    <w:qFormat/>
    <w:uiPriority w:val="99"/>
    <w:rPr>
      <w:rFonts w:ascii="Tahoma" w:hAnsi="Tahoma" w:eastAsia="Times New Roman" w:cs="Tahoma"/>
      <w:sz w:val="16"/>
      <w:szCs w:val="16"/>
    </w:rPr>
  </w:style>
  <w:style w:type="character" w:customStyle="1" w:styleId="45">
    <w:name w:val="resdate"/>
    <w:basedOn w:val="7"/>
    <w:qFormat/>
    <w:uiPriority w:val="0"/>
  </w:style>
  <w:style w:type="paragraph" w:customStyle="1" w:styleId="46">
    <w:name w:val="Author"/>
    <w:basedOn w:val="33"/>
    <w:next w:val="33"/>
    <w:qFormat/>
    <w:uiPriority w:val="99"/>
    <w:rPr>
      <w:rFonts w:ascii="HIKNAF+TimesNewRoman,Bold" w:hAnsi="HIKNAF+TimesNewRoman,Bold" w:eastAsia="Times New Roman" w:cs="Times New Roman"/>
      <w:color w:val="auto"/>
      <w:lang w:val="es-ES"/>
    </w:rPr>
  </w:style>
  <w:style w:type="character" w:customStyle="1" w:styleId="47">
    <w:name w:val="Texto independiente 3 Car"/>
    <w:basedOn w:val="7"/>
    <w:link w:val="27"/>
    <w:qFormat/>
    <w:uiPriority w:val="0"/>
    <w:rPr>
      <w:rFonts w:ascii="Times New Roman" w:hAnsi="Times New Roman" w:eastAsia="Times New Roman" w:cs="Calibri"/>
      <w:sz w:val="16"/>
      <w:szCs w:val="16"/>
      <w:lang w:eastAsia="ar-SA"/>
    </w:rPr>
  </w:style>
  <w:style w:type="character" w:customStyle="1" w:styleId="48">
    <w:name w:val="Título 1 Car"/>
    <w:basedOn w:val="7"/>
    <w:link w:val="2"/>
    <w:qFormat/>
    <w:uiPriority w:val="9"/>
    <w:rPr>
      <w:rFonts w:ascii="Times New Roman" w:hAnsi="Times New Roman" w:eastAsiaTheme="majorEastAsia" w:cstheme="majorBidi"/>
      <w:b/>
      <w:color w:val="000000" w:themeColor="text1"/>
      <w:sz w:val="24"/>
      <w:szCs w:val="32"/>
      <w:lang w:eastAsia="es-CO"/>
      <w14:textFill>
        <w14:solidFill>
          <w14:schemeClr w14:val="tx1"/>
        </w14:solidFill>
      </w14:textFill>
    </w:rPr>
  </w:style>
  <w:style w:type="paragraph" w:customStyle="1" w:styleId="49">
    <w:name w:val="Título TDC1"/>
    <w:basedOn w:val="2"/>
    <w:next w:val="1"/>
    <w:unhideWhenUsed/>
    <w:qFormat/>
    <w:uiPriority w:val="39"/>
    <w:pPr>
      <w:spacing w:line="259" w:lineRule="auto"/>
      <w:outlineLvl w:val="9"/>
    </w:pPr>
    <w:rPr>
      <w:lang w:val="es-ES" w:eastAsia="es-ES"/>
    </w:rPr>
  </w:style>
  <w:style w:type="character" w:customStyle="1" w:styleId="50">
    <w:name w:val="Título 2 Car"/>
    <w:basedOn w:val="7"/>
    <w:link w:val="3"/>
    <w:qFormat/>
    <w:uiPriority w:val="9"/>
    <w:rPr>
      <w:rFonts w:ascii="Times New Roman" w:hAnsi="Times New Roman" w:eastAsiaTheme="majorEastAsia" w:cstheme="majorBidi"/>
      <w:b/>
      <w:color w:val="000000" w:themeColor="text1"/>
      <w:sz w:val="24"/>
      <w:szCs w:val="26"/>
      <w:lang w:eastAsia="es-CO"/>
      <w14:textFill>
        <w14:solidFill>
          <w14:schemeClr w14:val="tx1"/>
        </w14:solidFill>
      </w14:textFill>
    </w:rPr>
  </w:style>
  <w:style w:type="character" w:customStyle="1" w:styleId="51">
    <w:name w:val="Título 4 Car"/>
    <w:basedOn w:val="7"/>
    <w:link w:val="5"/>
    <w:qFormat/>
    <w:uiPriority w:val="9"/>
    <w:rPr>
      <w:rFonts w:asciiTheme="majorHAnsi" w:hAnsiTheme="majorHAnsi" w:eastAsiaTheme="majorEastAsia" w:cstheme="majorBidi"/>
      <w:i/>
      <w:iCs/>
      <w:color w:val="376092" w:themeColor="accent1" w:themeShade="BF"/>
      <w:lang w:eastAsia="es-CO"/>
    </w:rPr>
  </w:style>
  <w:style w:type="character" w:customStyle="1" w:styleId="52">
    <w:name w:val="Título 5 Car"/>
    <w:basedOn w:val="7"/>
    <w:link w:val="6"/>
    <w:uiPriority w:val="9"/>
    <w:rPr>
      <w:rFonts w:asciiTheme="majorHAnsi" w:hAnsiTheme="majorHAnsi" w:eastAsiaTheme="majorEastAsia" w:cstheme="majorBidi"/>
      <w:color w:val="376092" w:themeColor="accent1" w:themeShade="BF"/>
      <w:lang w:eastAsia="es-CO"/>
    </w:rPr>
  </w:style>
  <w:style w:type="paragraph" w:customStyle="1" w:styleId="53">
    <w:name w:val="Bibliografía1"/>
    <w:basedOn w:val="1"/>
    <w:next w:val="1"/>
    <w:unhideWhenUsed/>
    <w:qFormat/>
    <w:uiPriority w:val="37"/>
  </w:style>
  <w:style w:type="paragraph" w:customStyle="1" w:styleId="54">
    <w:name w:val="WPSOffice手动目录 1"/>
    <w:uiPriority w:val="0"/>
    <w:rPr>
      <w:rFonts w:asciiTheme="minorHAnsi" w:hAnsiTheme="minorHAnsi" w:eastAsiaTheme="minorHAnsi" w:cstheme="minorBidi"/>
      <w:lang w:val="es-CO" w:eastAsia="es-CO" w:bidi="ar-SA"/>
    </w:rPr>
  </w:style>
  <w:style w:type="paragraph" w:customStyle="1" w:styleId="55">
    <w:name w:val="WPSOffice手动目录 2"/>
    <w:uiPriority w:val="0"/>
    <w:pPr>
      <w:ind w:left="200" w:leftChars="200"/>
    </w:pPr>
    <w:rPr>
      <w:rFonts w:asciiTheme="minorHAnsi" w:hAnsiTheme="minorHAnsi" w:eastAsiaTheme="minorHAnsi" w:cstheme="minorBidi"/>
      <w:lang w:val="es-CO" w:eastAsia="es-CO" w:bidi="ar-SA"/>
    </w:rPr>
  </w:style>
  <w:style w:type="character" w:customStyle="1" w:styleId="56">
    <w:name w:val="Unresolved Mention"/>
    <w:basedOn w:val="7"/>
    <w:semiHidden/>
    <w:unhideWhenUsed/>
    <w:uiPriority w:val="99"/>
    <w:rPr>
      <w:color w:val="605E5C"/>
      <w:shd w:val="clear" w:color="auto" w:fill="E1DFDD"/>
    </w:rPr>
  </w:style>
  <w:style w:type="table" w:customStyle="1" w:styleId="57">
    <w:name w:val="Plain Table 1"/>
    <w:basedOn w:val="8"/>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58">
    <w:name w:val="Plain Table 3"/>
    <w:basedOn w:val="8"/>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59">
    <w:name w:val="Plain Table 4"/>
    <w:basedOn w:val="8"/>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0">
    <w:name w:val="Plain Table 2"/>
    <w:basedOn w:val="8"/>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61">
    <w:name w:val="Grid Table Light"/>
    <w:basedOn w:val="8"/>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2">
    <w:name w:val="Grid Table 2 Accent 5"/>
    <w:basedOn w:val="8"/>
    <w:uiPriority w:val="47"/>
    <w:tblPr>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cPr>
        <w:tcBorders>
          <w:top w:val="nil"/>
          <w:bottom w:val="single" w:color="92CDDC" w:themeColor="accent5" w:themeTint="99" w:sz="12" w:space="0"/>
          <w:insideH w:val="nil"/>
          <w:insideV w:val="nil"/>
        </w:tcBorders>
        <w:shd w:val="clear" w:color="auto" w:fill="FFFFFF" w:themeFill="background1"/>
      </w:tcPr>
    </w:tblStylePr>
    <w:tblStylePr w:type="lastRow">
      <w:rPr>
        <w:b/>
        <w:bCs/>
      </w:r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63">
    <w:name w:val="Grid Table 6 Colorful"/>
    <w:basedOn w:val="8"/>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64">
    <w:name w:val="Plain Table 5"/>
    <w:basedOn w:val="8"/>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Cómss</b:Tag>
    <b:SourceType>DocumentFromInternetSite</b:SourceType>
    <b:Guid>{E8D75399-0AF9-4AD8-8A36-112C78475AF4}</b:Guid>
    <b:Title>¿Cómo elaborar la introducción en un trabajo de investigación ?</b:Title>
    <b:Year>s.f.</b:Year>
    <b:URL>http://www.unap.cl/prontus_unap/site/artic/20150505/asocfile/20150505105202/como_elaborar_una_introduccion_1.pdf</b:URL>
    <b:RefOrder>1</b:RefOrder>
  </b:Source>
  <b:Source>
    <b:Tag>Cha17</b:Tag>
    <b:SourceType>Book</b:SourceType>
    <b:Guid>{AFAA5EF7-2345-4AE8-9962-4ABE1F708C6F}</b:Guid>
    <b:Title>Metodología para la elaboración de tesis y otras opciones de titulación</b:Title>
    <b:Year>2017</b:Year>
    <b:Publisher>Trillas</b:Publisher>
    <b:Author>
      <b:Author>
        <b:NameList>
          <b:Person>
            <b:Last>Chavarría</b:Last>
            <b:First>Marcela</b:First>
          </b:Person>
          <b:Person>
            <b:Last>Villalobos</b:Last>
            <b:First>Marveya</b:First>
          </b:Person>
        </b:NameList>
      </b:Author>
    </b:Author>
    <b:RefOrder>2</b:RefOrder>
  </b:Source>
  <b:Source>
    <b:Tag>Sil09</b:Tag>
    <b:SourceType>Book</b:SourceType>
    <b:Guid>{E7119625-67FA-43A6-8310-757F450ABC78}</b:Guid>
    <b:Title>Cómo escribir mejores textos académicos: guía práctica</b:Title>
    <b:Year>2009</b:Year>
    <b:Publisher>Manual Moderno</b:Publisher>
    <b:Author>
      <b:Author>
        <b:NameList>
          <b:Person>
            <b:Last>Silvia</b:Last>
            <b:First>Paul J</b:First>
          </b:Person>
        </b:NameList>
      </b:Author>
    </b:Author>
    <b:RefOrder>3</b:RefOrder>
  </b:Source>
  <b:Source>
    <b:Tag>Ecu19</b:Tag>
    <b:SourceType>ArticleInAPeriodical</b:SourceType>
    <b:Guid>{2D170D2B-033B-4CEB-8824-3B55CAED67D1}</b:Guid>
    <b:Title>Ecuador cerró 2018 con una pobreza del 23,2 % y una pobreza extrema de 8,4 %Ecuador pobreza</b:Title>
    <b:Year>2019</b:Year>
    <b:PeriodicalTitle>EFE News Service</b:PeriodicalTitle>
    <b:Month>Jan</b:Month>
    <b:URL>https://search-proquest-com.ezproxy.cecar.edu.co:2443/docview/2167332955/89081D4992F9404EPQ/7?accountid=34487</b:URL>
    <b:RefOrder>4</b:RefOrder>
  </b:Source>
  <b:Source>
    <b:Tag>Pin05</b:Tag>
    <b:SourceType>ArticleInAPeriodical</b:SourceType>
    <b:Guid>{F38C4D5B-456F-4453-8F9D-7675809CFBD7}</b:Guid>
    <b:Title>"La Aglobalización de la pobreza, la pobreza de la globalización": el reto inaplazable</b:Title>
    <b:PeriodicalTitle>El Cotidiano</b:PeriodicalTitle>
    <b:Year>2005</b:Year>
    <b:Month>enero-febrero</b:Month>
    <b:Author>
      <b:Author>
        <b:NameList>
          <b:Person>
            <b:Last>Pinilla-García</b:Last>
            <b:First>Alfonso</b:First>
          </b:Person>
        </b:NameList>
      </b:Author>
    </b:Author>
    <b:URL>https://search-proquest-com.ezproxy.cecar.edu.co:2443/docview/199595729/412866A18E1A4C71PQ/1?accountid=34487</b:URL>
    <b:RefOrder>5</b:RefOrder>
  </b:Source>
  <b:Source>
    <b:Tag>Cue20</b:Tag>
    <b:SourceType>Book</b:SourceType>
    <b:Guid>{E2BDFA59-FB2A-486A-8BC4-55FDE4CDC70F}</b:Guid>
    <b:Title>Economía</b:Title>
    <b:Year>2020</b:Year>
    <b:Publisher>McGraw-Hill</b:Publisher>
    <b:Author>
      <b:Author>
        <b:NameList>
          <b:Person>
            <b:Last>Cuevas</b:Last>
            <b:First>Homero</b:First>
          </b:Person>
        </b:NameList>
      </b:Author>
    </b:Author>
    <b:Volume>1</b:Volume>
    <b:RefOrder>6</b:RefOrder>
  </b:Source>
  <b:Source>
    <b:Tag>Gómsf</b:Tag>
    <b:SourceType>DocumentFromInternetSite</b:SourceType>
    <b:Guid>{47358E4F-7CE8-4329-9897-4C22DB522FBB}</b:Guid>
    <b:Title>Economía</b:Title>
    <b:Year>s.f.</b:Year>
    <b:InternetSiteTitle>Economipedia</b:InternetSiteTitle>
    <b:URL>https://economipedia.com/definiciones/economia.html</b:URL>
    <b:Author>
      <b:Author>
        <b:NameList>
          <b:Person>
            <b:Last>Gómez</b:Last>
            <b:First>Pedro</b:First>
          </b:Person>
        </b:NameList>
      </b:Author>
    </b:Author>
    <b:RefOrder>7</b:RefOrder>
  </b:Source>
  <b:Source>
    <b:Tag>Consf</b:Tag>
    <b:SourceType>DocumentFromInternetSite</b:SourceType>
    <b:Guid>{28EDBED4-685C-43DA-A5DB-8BDDCB3529DF}</b:Guid>
    <b:Title>Constitución Política de Colombia, 1886</b:Title>
    <b:InternetSiteTitle>http://americo.usal.es/</b:InternetSiteTitle>
    <b:Year>s.f.</b:Year>
    <b:URL>http://americo.usal.es/oir/legislatina/normasyreglamentos/constituciones/colombia1886.pdf</b:URL>
    <b:RefOrder>8</b:RefOrder>
  </b:Source>
  <b:Source>
    <b:Tag>Pal20</b:Tag>
    <b:SourceType>JournalArticle</b:SourceType>
    <b:Guid>{9210460C-9EBB-446A-8A74-28A19081118B}</b:Guid>
    <b:Title>El derecho penal en Colombia</b:Title>
    <b:Year>2020</b:Year>
    <b:Month>junio-julio</b:Month>
    <b:JournalName>Opinión Jurídica Colombiana</b:JournalName>
    <b:Pages>55-70</b:Pages>
    <b:Author>
      <b:Author>
        <b:NameList>
          <b:Person>
            <b:Last>Palencia-Gómez</b:Last>
            <b:Middle>Carlos</b:Middle>
            <b:First>Luis</b:First>
          </b:Person>
        </b:NameList>
      </b:Author>
    </b:Author>
    <b:Publisher>Universidad de Valencia</b:Publisher>
    <b:Volume>50</b:Volume>
    <b:Issue>25</b:Issue>
    <b:DOI>http/9999999.55555</b:DOI>
    <b:RefOrder>9</b:RefOrder>
  </b:Source>
  <b:Source>
    <b:Tag>Góm19</b:Tag>
    <b:SourceType>Book</b:SourceType>
    <b:Guid>{B8B39DA4-642D-414D-A53E-382132F10558}</b:Guid>
    <b:Title>El año de la conciliación</b:Title>
    <b:Year>2019</b:Year>
    <b:Publisher>Leyer</b:Publisher>
    <b:Author>
      <b:Author>
        <b:NameList>
          <b:Person>
            <b:Last>Gómez</b:Last>
            <b:First>Juan</b:First>
          </b:Person>
          <b:Person>
            <b:Last>Pérez</b:Last>
            <b:First>Jorge</b:First>
          </b:Person>
        </b:NameList>
      </b:Author>
    </b:Author>
    <b:Volume>5</b:Volume>
    <b:Edition>5a</b:Edition>
    <b:RefOrder>10</b:RefOrder>
  </b:Source>
</b:Sources>
</file>

<file path=customXml/itemProps1.xml><?xml version="1.0" encoding="utf-8"?>
<ds:datastoreItem xmlns:ds="http://schemas.openxmlformats.org/officeDocument/2006/customXml" ds:itemID="{85BB0A30-5727-4BE2-8EEA-D30906E73899}">
  <ds:schemaRefs/>
</ds:datastoreItem>
</file>

<file path=docProps/app.xml><?xml version="1.0" encoding="utf-8"?>
<Properties xmlns="http://schemas.openxmlformats.org/officeDocument/2006/extended-properties" xmlns:vt="http://schemas.openxmlformats.org/officeDocument/2006/docPropsVTypes">
  <Template>Normal</Template>
  <Pages>10</Pages>
  <Words>169</Words>
  <Characters>1082</Characters>
  <Lines>103</Lines>
  <Paragraphs>29</Paragraphs>
  <TotalTime>1</TotalTime>
  <ScaleCrop>false</ScaleCrop>
  <LinksUpToDate>false</LinksUpToDate>
  <CharactersWithSpaces>1228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2026-06-19T22:20:00Z</dcterms:created>
  <dc:creator>Nora Visbal</dc:creator>
  <cp:lastModifiedBy>JORLUIS ISSAC PARRA AMELL</cp:lastModifiedBy>
  <cp:lastPrinted>2015-08-19T16:57:00Z</cp:lastPrinted>
  <dcterms:modified xsi:type="dcterms:W3CDTF">2026-06-20T01:54:36Z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ICV">
    <vt:lpwstr>B21D2F641E0C48DC968C8B65AB05E0C1_12</vt:lpwstr>
  </property>
  <property fmtid="{D5CDD505-2E9C-101B-9397-08002B2CF9AE}" pid="4" name="KSOTemplateDocerSaveRecord">
    <vt:lpwstr>eyJoZGlkIjoiMGEwODJiMzRkZTE2YzQ4MGRmZjYyYmI3MTE5YmIzMTEiLCJ1c2VySWQiOiIxNjY3MDgwMDA3NjQwIn0=</vt:lpwstr>
  </property>
</Properties>
</file>