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EC74D">
      <w:pPr>
        <w:spacing w:after="0" w:line="360" w:lineRule="auto"/>
        <w:ind w:firstLine="567"/>
        <w:contextualSpacing/>
        <w:jc w:val="center"/>
        <w:rPr>
          <w:rFonts w:cs="Times New Roman"/>
          <w:szCs w:val="24"/>
          <w:lang w:val="es-ES"/>
        </w:rPr>
      </w:pPr>
      <w:r>
        <w:rPr>
          <w:rFonts w:cs="Times New Roman"/>
          <w:szCs w:val="24"/>
          <w:lang w:val="es-ES"/>
        </w:rPr>
        <w:t>Taller #3</w:t>
      </w:r>
    </w:p>
    <w:p w14:paraId="47F0C022">
      <w:pPr>
        <w:spacing w:after="0" w:line="360" w:lineRule="auto"/>
        <w:ind w:firstLine="567"/>
        <w:contextualSpacing/>
        <w:jc w:val="center"/>
        <w:rPr>
          <w:rFonts w:cs="Times New Roman"/>
          <w:szCs w:val="24"/>
          <w:lang w:val="es-ES"/>
        </w:rPr>
      </w:pPr>
      <w:r>
        <w:rPr>
          <w:rFonts w:cs="Times New Roman"/>
          <w:szCs w:val="24"/>
          <w:lang w:val="es-ES"/>
        </w:rPr>
        <w:t>Fase de visión y arquitectura de negocio (TOGAF)</w:t>
      </w:r>
    </w:p>
    <w:p w14:paraId="22CA3E57">
      <w:pPr>
        <w:spacing w:after="0" w:line="360" w:lineRule="auto"/>
        <w:ind w:firstLine="567"/>
        <w:contextualSpacing/>
        <w:jc w:val="center"/>
        <w:rPr>
          <w:rFonts w:cs="Times New Roman"/>
          <w:szCs w:val="24"/>
          <w:lang w:val="es-ES"/>
        </w:rPr>
      </w:pPr>
      <w:r>
        <w:rPr>
          <w:rFonts w:cs="Times New Roman"/>
          <w:szCs w:val="24"/>
          <w:lang w:val="es-ES"/>
        </w:rPr>
        <w:t>Plataforma Digital de Turismo del Departamento de Sucre</w:t>
      </w:r>
    </w:p>
    <w:p w14:paraId="1B30DF71">
      <w:pPr>
        <w:spacing w:after="0" w:line="360" w:lineRule="auto"/>
        <w:ind w:firstLine="567"/>
        <w:contextualSpacing/>
        <w:jc w:val="center"/>
        <w:rPr>
          <w:rFonts w:cs="Times New Roman"/>
          <w:szCs w:val="24"/>
        </w:rPr>
      </w:pPr>
      <w:r>
        <w:rPr>
          <w:rFonts w:cs="Times New Roman"/>
          <w:szCs w:val="24"/>
        </w:rPr>
        <w:t>Sincinaty</w:t>
      </w:r>
    </w:p>
    <w:p w14:paraId="3CF8BF4D">
      <w:pPr>
        <w:spacing w:after="0" w:line="360" w:lineRule="auto"/>
        <w:ind w:firstLine="567"/>
        <w:contextualSpacing/>
        <w:jc w:val="center"/>
        <w:rPr>
          <w:rFonts w:cs="Times New Roman"/>
          <w:szCs w:val="24"/>
        </w:rPr>
      </w:pPr>
    </w:p>
    <w:p w14:paraId="2DCFD13A">
      <w:pPr>
        <w:spacing w:after="0" w:line="360" w:lineRule="auto"/>
        <w:ind w:firstLine="567"/>
        <w:contextualSpacing/>
        <w:jc w:val="center"/>
        <w:rPr>
          <w:rFonts w:cs="Times New Roman"/>
          <w:szCs w:val="24"/>
        </w:rPr>
      </w:pPr>
    </w:p>
    <w:p w14:paraId="189A7943">
      <w:pPr>
        <w:spacing w:after="0" w:line="360" w:lineRule="auto"/>
        <w:ind w:firstLine="567"/>
        <w:contextualSpacing/>
        <w:jc w:val="center"/>
        <w:rPr>
          <w:rFonts w:cs="Times New Roman"/>
          <w:szCs w:val="24"/>
          <w:lang w:val="es-ES"/>
        </w:rPr>
      </w:pPr>
      <w:r>
        <w:rPr>
          <w:rFonts w:cs="Times New Roman"/>
          <w:szCs w:val="24"/>
          <w:lang w:val="es-ES"/>
        </w:rPr>
        <w:t xml:space="preserve">Nombres y apellidos </w:t>
      </w:r>
    </w:p>
    <w:p w14:paraId="780E3054">
      <w:pPr>
        <w:spacing w:after="0" w:line="360" w:lineRule="auto"/>
        <w:ind w:firstLine="567"/>
        <w:contextualSpacing/>
        <w:jc w:val="center"/>
        <w:rPr>
          <w:rFonts w:cs="Times New Roman"/>
          <w:szCs w:val="24"/>
          <w:lang w:val="es-ES"/>
        </w:rPr>
      </w:pPr>
      <w:r>
        <w:rPr>
          <w:rFonts w:cs="Times New Roman"/>
          <w:szCs w:val="24"/>
          <w:lang w:val="es-ES"/>
        </w:rPr>
        <w:t>Amaurys Castro De Arco</w:t>
      </w:r>
    </w:p>
    <w:p w14:paraId="71701807">
      <w:pPr>
        <w:spacing w:after="0" w:line="360" w:lineRule="auto"/>
        <w:ind w:firstLine="567"/>
        <w:contextualSpacing/>
        <w:jc w:val="center"/>
        <w:rPr>
          <w:rFonts w:cs="Times New Roman"/>
          <w:szCs w:val="24"/>
          <w:lang w:val="es-ES"/>
        </w:rPr>
      </w:pPr>
      <w:r>
        <w:rPr>
          <w:rFonts w:cs="Times New Roman"/>
          <w:szCs w:val="24"/>
          <w:lang w:val="es-ES"/>
        </w:rPr>
        <w:t>Daniel Jiménez Salcedo</w:t>
      </w:r>
    </w:p>
    <w:p w14:paraId="1584499D">
      <w:pPr>
        <w:spacing w:after="0" w:line="360" w:lineRule="auto"/>
        <w:ind w:firstLine="567"/>
        <w:contextualSpacing/>
        <w:jc w:val="center"/>
        <w:rPr>
          <w:rFonts w:cs="Times New Roman"/>
          <w:szCs w:val="24"/>
          <w:lang w:val="es-ES"/>
        </w:rPr>
      </w:pPr>
      <w:r>
        <w:rPr>
          <w:rFonts w:cs="Times New Roman"/>
          <w:szCs w:val="24"/>
          <w:lang w:val="es-ES"/>
        </w:rPr>
        <w:t>Sofia Marcela Suancha Contreras</w:t>
      </w:r>
    </w:p>
    <w:p w14:paraId="719DBADB">
      <w:pPr>
        <w:spacing w:after="0" w:line="360" w:lineRule="auto"/>
        <w:ind w:firstLine="567"/>
        <w:contextualSpacing/>
        <w:jc w:val="center"/>
        <w:rPr>
          <w:rFonts w:cs="Times New Roman"/>
          <w:szCs w:val="24"/>
          <w:lang w:val="es-ES"/>
        </w:rPr>
      </w:pPr>
      <w:r>
        <w:rPr>
          <w:rFonts w:cs="Times New Roman"/>
          <w:szCs w:val="24"/>
          <w:lang w:val="es-ES"/>
        </w:rPr>
        <w:t>Jorluis Parra Amell</w:t>
      </w:r>
    </w:p>
    <w:p w14:paraId="18FCE5A7">
      <w:pPr>
        <w:spacing w:after="0" w:line="360" w:lineRule="auto"/>
        <w:ind w:firstLine="567"/>
        <w:contextualSpacing/>
        <w:jc w:val="center"/>
        <w:rPr>
          <w:rFonts w:cs="Times New Roman"/>
          <w:szCs w:val="24"/>
          <w:lang w:val="es-ES"/>
        </w:rPr>
      </w:pPr>
      <w:r>
        <w:rPr>
          <w:rFonts w:cs="Times New Roman"/>
          <w:szCs w:val="24"/>
          <w:lang w:val="es-ES"/>
        </w:rPr>
        <w:t xml:space="preserve">Eder Luis Zapa Centanaro </w:t>
      </w:r>
    </w:p>
    <w:p w14:paraId="792AB4FC">
      <w:pPr>
        <w:spacing w:after="0" w:line="360" w:lineRule="auto"/>
        <w:ind w:firstLine="567"/>
        <w:contextualSpacing/>
        <w:jc w:val="center"/>
        <w:rPr>
          <w:rFonts w:cs="Times New Roman"/>
          <w:szCs w:val="24"/>
          <w:lang w:val="es-ES"/>
        </w:rPr>
      </w:pPr>
    </w:p>
    <w:p w14:paraId="1DA0F783">
      <w:pPr>
        <w:spacing w:after="0" w:line="360" w:lineRule="auto"/>
        <w:ind w:firstLine="567"/>
        <w:contextualSpacing/>
        <w:jc w:val="center"/>
        <w:rPr>
          <w:rFonts w:cs="Times New Roman"/>
          <w:szCs w:val="24"/>
          <w:lang w:val="es-ES"/>
        </w:rPr>
      </w:pPr>
    </w:p>
    <w:p w14:paraId="434411DD">
      <w:pPr>
        <w:spacing w:after="0" w:line="360" w:lineRule="auto"/>
        <w:ind w:firstLine="567"/>
        <w:contextualSpacing/>
        <w:jc w:val="center"/>
        <w:rPr>
          <w:rFonts w:cs="Times New Roman"/>
          <w:szCs w:val="24"/>
          <w:lang w:val="es-ES"/>
        </w:rPr>
      </w:pPr>
    </w:p>
    <w:p w14:paraId="256E2ABF">
      <w:pPr>
        <w:spacing w:after="0" w:line="360" w:lineRule="auto"/>
        <w:contextualSpacing/>
        <w:jc w:val="center"/>
        <w:rPr>
          <w:rFonts w:cs="Times New Roman"/>
          <w:szCs w:val="24"/>
        </w:rPr>
      </w:pPr>
      <w:r>
        <w:rPr>
          <w:rFonts w:cs="Times New Roman"/>
          <w:szCs w:val="24"/>
        </w:rPr>
        <w:t>Docente</w:t>
      </w:r>
    </w:p>
    <w:p w14:paraId="0E6AA49A">
      <w:pPr>
        <w:spacing w:after="0" w:line="360" w:lineRule="auto"/>
        <w:contextualSpacing/>
        <w:jc w:val="center"/>
        <w:rPr>
          <w:rFonts w:cs="Times New Roman"/>
          <w:szCs w:val="24"/>
        </w:rPr>
      </w:pPr>
      <w:r>
        <w:rPr>
          <w:rFonts w:cs="Times New Roman"/>
          <w:szCs w:val="24"/>
        </w:rPr>
        <w:t>Jhon Jaime Mendez Alandete</w:t>
      </w:r>
    </w:p>
    <w:p w14:paraId="2C3958CD">
      <w:pPr>
        <w:spacing w:after="0" w:line="360" w:lineRule="auto"/>
        <w:ind w:firstLine="567"/>
        <w:contextualSpacing/>
        <w:jc w:val="center"/>
        <w:rPr>
          <w:rFonts w:cs="Times New Roman"/>
          <w:szCs w:val="24"/>
        </w:rPr>
      </w:pPr>
    </w:p>
    <w:p w14:paraId="2F10746F">
      <w:pPr>
        <w:spacing w:after="0" w:line="360" w:lineRule="auto"/>
        <w:ind w:firstLine="567"/>
        <w:contextualSpacing/>
        <w:jc w:val="center"/>
        <w:rPr>
          <w:rFonts w:cs="Times New Roman"/>
          <w:szCs w:val="24"/>
        </w:rPr>
      </w:pPr>
    </w:p>
    <w:p w14:paraId="3DEBA03E">
      <w:pPr>
        <w:spacing w:after="0" w:line="360" w:lineRule="auto"/>
        <w:ind w:firstLine="567"/>
        <w:contextualSpacing/>
        <w:jc w:val="center"/>
        <w:rPr>
          <w:rFonts w:cs="Times New Roman"/>
          <w:szCs w:val="24"/>
        </w:rPr>
      </w:pPr>
    </w:p>
    <w:p w14:paraId="2F988A35">
      <w:pPr>
        <w:spacing w:after="0" w:line="360" w:lineRule="auto"/>
        <w:ind w:firstLine="567"/>
        <w:contextualSpacing/>
        <w:jc w:val="center"/>
        <w:rPr>
          <w:rFonts w:cs="Times New Roman"/>
          <w:szCs w:val="24"/>
        </w:rPr>
      </w:pPr>
    </w:p>
    <w:p w14:paraId="254F9680">
      <w:pPr>
        <w:spacing w:after="0" w:line="360" w:lineRule="auto"/>
        <w:ind w:firstLine="567"/>
        <w:contextualSpacing/>
        <w:jc w:val="center"/>
        <w:rPr>
          <w:rFonts w:cs="Times New Roman"/>
          <w:szCs w:val="24"/>
        </w:rPr>
      </w:pPr>
    </w:p>
    <w:p w14:paraId="2B18F86C">
      <w:pPr>
        <w:spacing w:after="0" w:line="360" w:lineRule="auto"/>
        <w:contextualSpacing/>
        <w:rPr>
          <w:rFonts w:cs="Times New Roman"/>
          <w:szCs w:val="24"/>
        </w:rPr>
      </w:pPr>
    </w:p>
    <w:p w14:paraId="77FF23C5">
      <w:pPr>
        <w:spacing w:after="0" w:line="360" w:lineRule="auto"/>
        <w:contextualSpacing/>
        <w:jc w:val="center"/>
        <w:rPr>
          <w:rFonts w:hint="default" w:cs="Times New Roman"/>
          <w:szCs w:val="24"/>
          <w:lang w:val="es-ES"/>
        </w:rPr>
      </w:pPr>
      <w:r>
        <w:rPr>
          <w:rFonts w:cs="Times New Roman"/>
          <w:szCs w:val="24"/>
        </w:rPr>
        <w:t>Corporación Universitaria del Caribe – CECA</w:t>
      </w:r>
      <w:r>
        <w:rPr>
          <w:rFonts w:hint="default" w:cs="Times New Roman"/>
          <w:szCs w:val="24"/>
          <w:lang w:val="es-ES"/>
        </w:rPr>
        <w:t>R</w:t>
      </w:r>
    </w:p>
    <w:p w14:paraId="34A4C1DA">
      <w:pPr>
        <w:spacing w:after="0"/>
        <w:jc w:val="center"/>
        <w:rPr>
          <w:rFonts w:cs="Times New Roman"/>
          <w:szCs w:val="24"/>
        </w:rPr>
      </w:pPr>
      <w:r>
        <w:rPr>
          <w:rFonts w:cs="Times New Roman"/>
          <w:szCs w:val="24"/>
        </w:rPr>
        <w:t xml:space="preserve">Facultad de Ciencias Básicas, Ingenierías y Arquitectura </w:t>
      </w:r>
    </w:p>
    <w:p w14:paraId="2FAD9A3E">
      <w:pPr>
        <w:spacing w:after="0"/>
        <w:jc w:val="center"/>
        <w:rPr>
          <w:rFonts w:cs="Times New Roman"/>
          <w:szCs w:val="24"/>
        </w:rPr>
      </w:pPr>
      <w:r>
        <w:rPr>
          <w:rFonts w:cs="Times New Roman"/>
          <w:szCs w:val="24"/>
        </w:rPr>
        <w:t xml:space="preserve">Ingeniería de Sistemas </w:t>
      </w:r>
    </w:p>
    <w:p w14:paraId="32031264">
      <w:pPr>
        <w:spacing w:after="0"/>
        <w:jc w:val="center"/>
        <w:rPr>
          <w:rFonts w:cs="Times New Roman"/>
          <w:szCs w:val="24"/>
        </w:rPr>
      </w:pPr>
      <w:r>
        <w:rPr>
          <w:rFonts w:cs="Times New Roman"/>
          <w:szCs w:val="24"/>
        </w:rPr>
        <w:t xml:space="preserve"> Arquitectura empresarial </w:t>
      </w:r>
    </w:p>
    <w:p w14:paraId="7CF8116C">
      <w:pPr>
        <w:spacing w:after="0"/>
        <w:jc w:val="center"/>
        <w:rPr>
          <w:rFonts w:cs="Times New Roman"/>
          <w:szCs w:val="24"/>
          <w:lang w:val="es-ES"/>
        </w:rPr>
      </w:pPr>
      <w:r>
        <w:rPr>
          <w:rFonts w:cs="Times New Roman"/>
          <w:szCs w:val="24"/>
          <w:lang w:val="es-ES"/>
        </w:rPr>
        <w:t>Sincelejo - Sucre</w:t>
      </w:r>
    </w:p>
    <w:p w14:paraId="53C1505F">
      <w:pPr>
        <w:spacing w:after="0"/>
        <w:jc w:val="center"/>
        <w:rPr>
          <w:rFonts w:cs="Times New Roman"/>
          <w:szCs w:val="24"/>
          <w:lang w:val="es-ES"/>
        </w:rPr>
      </w:pPr>
      <w:r>
        <w:rPr>
          <w:rFonts w:cs="Times New Roman"/>
          <w:szCs w:val="24"/>
          <w:lang w:val="es-ES"/>
        </w:rPr>
        <w:t>2026</w:t>
      </w:r>
    </w:p>
    <w:p w14:paraId="3A353B55">
      <w:pPr>
        <w:rPr>
          <w:rFonts w:cs="Times New Roman"/>
          <w:b/>
          <w:szCs w:val="24"/>
        </w:rPr>
      </w:pPr>
      <w:r>
        <w:rPr>
          <w:rFonts w:cs="Times New Roman"/>
          <w:b/>
          <w:szCs w:val="24"/>
        </w:rPr>
        <w:t xml:space="preserve">Introducción </w:t>
      </w:r>
    </w:p>
    <w:p w14:paraId="0553156F">
      <w:pPr>
        <w:rPr>
          <w:rFonts w:cs="Times New Roman"/>
          <w:bCs/>
          <w:szCs w:val="24"/>
        </w:rPr>
      </w:pPr>
      <w:r>
        <w:rPr>
          <w:rFonts w:cs="Times New Roman"/>
          <w:bCs/>
          <w:szCs w:val="24"/>
        </w:rPr>
        <w:t>El presente documento corresponde a las fases de visión y arquitectura de negocio del marco de trabajo TOGAF, aplicadas al proyecto Sincinaty, la plataforma digital de turismo del departamento de Sucre. A partir de los avances previos en el diseño de la arquitectura de negocio, el ejercicio evoluciona hacia una visión integral que conecta la estrategia general con la forma en que opera el negocio. El texto se estructura en cuatro componentes clave: el Canvas de visión, la descripción de la arquitectura de negocio (modelo, capacidades, procesos, estructura organizacional y servicios), el análisis comparativo AS-IS vs TO-BE, y un análisis critico sobre las implicaciones de no contar con una arquitectura empresarial. Cabe descatar que este estudio se aborda exclusivamente desde la dimensión estratégica; por lo tanto, no incluye referencias a infraestructura tecnológica, plataformas, APIs o bases de datos.</w:t>
      </w:r>
    </w:p>
    <w:p w14:paraId="10C9322B">
      <w:pPr>
        <w:rPr>
          <w:rFonts w:cs="Times New Roman"/>
          <w:bCs/>
          <w:szCs w:val="24"/>
        </w:rPr>
      </w:pPr>
    </w:p>
    <w:p w14:paraId="4E5F9B04">
      <w:pPr>
        <w:rPr>
          <w:rFonts w:cs="Times New Roman"/>
          <w:bCs/>
          <w:szCs w:val="24"/>
        </w:rPr>
      </w:pPr>
    </w:p>
    <w:p w14:paraId="315BAB1E">
      <w:pPr>
        <w:rPr>
          <w:rFonts w:cs="Times New Roman"/>
          <w:bCs/>
          <w:szCs w:val="24"/>
        </w:rPr>
      </w:pPr>
    </w:p>
    <w:p w14:paraId="05AD4B9F">
      <w:pPr>
        <w:rPr>
          <w:rFonts w:cs="Times New Roman"/>
          <w:bCs/>
          <w:szCs w:val="24"/>
        </w:rPr>
      </w:pPr>
    </w:p>
    <w:p w14:paraId="3EF07707">
      <w:pPr>
        <w:rPr>
          <w:rFonts w:cs="Times New Roman"/>
          <w:bCs/>
          <w:szCs w:val="24"/>
        </w:rPr>
      </w:pPr>
    </w:p>
    <w:p w14:paraId="3CFCC6DE">
      <w:pPr>
        <w:rPr>
          <w:rFonts w:cs="Times New Roman"/>
          <w:bCs/>
          <w:szCs w:val="24"/>
        </w:rPr>
      </w:pPr>
    </w:p>
    <w:p w14:paraId="0B5C2738">
      <w:pPr>
        <w:rPr>
          <w:rFonts w:cs="Times New Roman"/>
          <w:bCs/>
          <w:szCs w:val="24"/>
        </w:rPr>
      </w:pPr>
    </w:p>
    <w:p w14:paraId="207F22CD">
      <w:pPr>
        <w:rPr>
          <w:rFonts w:cs="Times New Roman"/>
          <w:bCs/>
          <w:szCs w:val="24"/>
        </w:rPr>
      </w:pPr>
    </w:p>
    <w:p w14:paraId="29E46B87">
      <w:pPr>
        <w:rPr>
          <w:rFonts w:cs="Times New Roman"/>
          <w:bCs/>
          <w:szCs w:val="24"/>
        </w:rPr>
      </w:pPr>
    </w:p>
    <w:p w14:paraId="3A656394">
      <w:pPr>
        <w:rPr>
          <w:rFonts w:cs="Times New Roman"/>
          <w:bCs/>
          <w:szCs w:val="24"/>
        </w:rPr>
      </w:pPr>
    </w:p>
    <w:p w14:paraId="386E8AF1">
      <w:pPr>
        <w:rPr>
          <w:rFonts w:cs="Times New Roman"/>
          <w:bCs/>
          <w:szCs w:val="24"/>
        </w:rPr>
      </w:pPr>
    </w:p>
    <w:p w14:paraId="1FA0D57F">
      <w:pPr>
        <w:rPr>
          <w:rFonts w:cs="Times New Roman"/>
          <w:bCs/>
          <w:szCs w:val="24"/>
        </w:rPr>
      </w:pPr>
    </w:p>
    <w:p w14:paraId="2AF80D8F">
      <w:pPr>
        <w:rPr>
          <w:rFonts w:cs="Times New Roman"/>
          <w:bCs/>
          <w:szCs w:val="24"/>
        </w:rPr>
      </w:pPr>
    </w:p>
    <w:p w14:paraId="3B2A256D">
      <w:pPr>
        <w:rPr>
          <w:rFonts w:cs="Times New Roman"/>
          <w:bCs/>
          <w:szCs w:val="24"/>
        </w:rPr>
      </w:pPr>
    </w:p>
    <w:p w14:paraId="77672B5B">
      <w:pPr>
        <w:rPr>
          <w:rFonts w:cs="Times New Roman"/>
          <w:bCs/>
          <w:szCs w:val="24"/>
        </w:rPr>
      </w:pPr>
    </w:p>
    <w:p w14:paraId="089C04D5">
      <w:pPr>
        <w:pStyle w:val="32"/>
        <w:numPr>
          <w:ilvl w:val="0"/>
          <w:numId w:val="1"/>
        </w:numPr>
        <w:rPr>
          <w:rFonts w:cs="Times New Roman"/>
          <w:b/>
          <w:szCs w:val="24"/>
        </w:rPr>
      </w:pPr>
      <w:r>
        <w:rPr>
          <w:rFonts w:cs="Times New Roman"/>
          <w:b/>
          <w:szCs w:val="24"/>
        </w:rPr>
        <w:t xml:space="preserve">Visión de la arquitectura – Canvas </w:t>
      </w:r>
    </w:p>
    <w:p w14:paraId="1B0D365C">
      <w:pPr>
        <w:pStyle w:val="32"/>
        <w:spacing w:before="80" w:after="80"/>
        <w:ind w:left="720" w:leftChars="0" w:firstLine="708" w:firstLineChars="0"/>
      </w:pPr>
      <w:r>
        <w:t xml:space="preserve">El Canvas de visión sintetiza el propósito estratégico de Sincinaty las partes interesadas clave, las capacidades organizacionales necesarias y los indicadores que permiten medir el éxito de la transformación. Es el punto de partida que orienta toda la arquitectura. </w:t>
      </w:r>
    </w:p>
    <w:p w14:paraId="6AEDE246">
      <w:pPr>
        <w:pStyle w:val="32"/>
        <w:spacing w:before="80" w:after="80"/>
      </w:pPr>
      <w:bookmarkStart w:id="0" w:name="_GoBack"/>
      <w:r>
        <w:drawing>
          <wp:inline distT="0" distB="0" distL="0" distR="0">
            <wp:extent cx="5822315" cy="5097780"/>
            <wp:effectExtent l="0" t="0" r="6985" b="7620"/>
            <wp:docPr id="897938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8731"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l="15230" t="5531" r="15499" b="8671"/>
                    <a:stretch>
                      <a:fillRect/>
                    </a:stretch>
                  </pic:blipFill>
                  <pic:spPr>
                    <a:xfrm>
                      <a:off x="0" y="0"/>
                      <a:ext cx="5822830" cy="5097835"/>
                    </a:xfrm>
                    <a:prstGeom prst="rect">
                      <a:avLst/>
                    </a:prstGeom>
                    <a:noFill/>
                    <a:ln>
                      <a:noFill/>
                    </a:ln>
                  </pic:spPr>
                </pic:pic>
              </a:graphicData>
            </a:graphic>
          </wp:inline>
        </w:drawing>
      </w:r>
      <w:bookmarkEnd w:id="0"/>
      <w:r>
        <w:rPr>
          <w:b/>
          <w:bCs/>
          <w:szCs w:val="24"/>
        </w:rPr>
        <w:t>2. Arquitectura de negocio</w:t>
      </w:r>
    </w:p>
    <w:p w14:paraId="4FA4EFCE">
      <w:pPr>
        <w:pStyle w:val="32"/>
        <w:spacing w:before="80" w:after="80"/>
        <w:ind w:left="720" w:leftChars="0" w:firstLine="708" w:firstLineChars="0"/>
      </w:pPr>
      <w:r>
        <w:rPr>
          <w:color w:val="000000"/>
        </w:rPr>
        <w:t>La Arquitectura de Negocio de Sincinaty describe cómo opera la empresa para generar y entregar valor a sus clientes y al ecosistema turístico del departamento de Sucre. Se articula en cinco dimensiones: modelo de negocio, capacidades, procesos, estructura organizacional y servicios de negocio.</w:t>
      </w:r>
    </w:p>
    <w:p w14:paraId="713D0828">
      <w:pPr>
        <w:pStyle w:val="32"/>
        <w:spacing w:before="160" w:after="60"/>
      </w:pPr>
    </w:p>
    <w:p w14:paraId="2FF6F530">
      <w:pPr>
        <w:pStyle w:val="32"/>
        <w:spacing w:before="160" w:after="60"/>
      </w:pPr>
    </w:p>
    <w:p w14:paraId="3A58EB70">
      <w:pPr>
        <w:pStyle w:val="32"/>
        <w:spacing w:before="160" w:after="60"/>
        <w:rPr>
          <w:szCs w:val="24"/>
        </w:rPr>
      </w:pPr>
      <w:r>
        <w:rPr>
          <w:b/>
          <w:bCs/>
          <w:szCs w:val="24"/>
        </w:rPr>
        <w:t>2.1 Modelo de negocio</w:t>
      </w:r>
    </w:p>
    <w:p w14:paraId="32546EF2">
      <w:pPr>
        <w:pStyle w:val="32"/>
        <w:spacing w:before="80" w:after="80"/>
        <w:ind w:left="720" w:leftChars="0" w:firstLine="708" w:firstLineChars="0"/>
        <w:rPr>
          <w:color w:val="000000"/>
        </w:rPr>
      </w:pPr>
      <w:r>
        <w:t xml:space="preserve">Sincinaty </w:t>
      </w:r>
      <w:r>
        <w:rPr>
          <w:color w:val="000000"/>
        </w:rPr>
        <w:t>opera como plataforma intermediaria de dos lados: conecta a turistas (nacionales, internacionales y locales) con prestadores de servicios turísticos verificados del departamento de Sucre. El valor que genera es bidireccional: al turista le ofrece una experiencia de planificación integrada y personalizada; al prestador, acceso a un mercado más amplio y visibilidad digital estructurada.</w:t>
      </w:r>
    </w:p>
    <w:p w14:paraId="0157E63D">
      <w:pPr>
        <w:pStyle w:val="32"/>
        <w:spacing w:before="80" w:after="80"/>
        <w:ind w:left="720" w:leftChars="0" w:firstLine="708" w:firstLineChars="0"/>
        <w:rPr>
          <w:color w:val="000000"/>
        </w:rPr>
      </w:pPr>
      <w:r>
        <w:rPr>
          <w:color w:val="000000"/>
        </w:rPr>
        <w:t xml:space="preserve">El modelo de ingresos se sustenta en tres fuentes: comisiones por reservas completadas a través de la plataforma, cuotas de membresía a prestadores que desean mayor visibilidad o funcionalidades avanzadas, y publicidad de negocios locales dentro del entorno de la plataforma. </w:t>
      </w:r>
    </w:p>
    <w:p w14:paraId="0066C5C2">
      <w:pPr>
        <w:pStyle w:val="32"/>
        <w:spacing w:before="80" w:after="80"/>
        <w:ind w:left="720" w:leftChars="0" w:firstLine="708" w:firstLineChars="0"/>
        <w:rPr>
          <w:color w:val="000000"/>
        </w:rPr>
      </w:pPr>
      <w:r>
        <w:rPr>
          <w:color w:val="000000"/>
        </w:rPr>
        <w:t>La propuesta de valor central de Sincinaty es: descubre, planifica y reserva experiencias turísticas en Sucre desde un solo lugar, con información verificada, recomendaciones personalizadas y un ecosistema de prestadores confiables.</w:t>
      </w:r>
    </w:p>
    <w:p w14:paraId="257F7663">
      <w:pPr>
        <w:pStyle w:val="32"/>
        <w:spacing w:before="80" w:after="80"/>
        <w:rPr>
          <w:color w:val="000000"/>
        </w:rPr>
      </w:pPr>
    </w:p>
    <w:p w14:paraId="6D490F74">
      <w:pPr>
        <w:pStyle w:val="32"/>
        <w:numPr>
          <w:ilvl w:val="1"/>
          <w:numId w:val="2"/>
        </w:numPr>
        <w:spacing w:before="80" w:after="80"/>
        <w:rPr>
          <w:b/>
          <w:bCs/>
          <w:color w:val="000000"/>
        </w:rPr>
      </w:pPr>
      <w:r>
        <w:rPr>
          <w:b/>
          <w:bCs/>
          <w:color w:val="000000"/>
        </w:rPr>
        <w:t>Capacidades de negocio</w:t>
      </w:r>
    </w:p>
    <w:p w14:paraId="3CA27549">
      <w:pPr>
        <w:spacing w:before="80" w:after="80"/>
        <w:ind w:left="720" w:leftChars="0" w:firstLine="708" w:firstLineChars="0"/>
      </w:pPr>
      <w:r>
        <w:t>Las capacidades son las habilidades organizacionales que Sincinaty debe dominar para ejecutar su estrategia. Se identifican seis capacidades críticas:</w:t>
      </w:r>
    </w:p>
    <w:p w14:paraId="6C32ACE9">
      <w:pPr>
        <w:spacing w:before="80" w:after="80"/>
        <w:ind w:left="720"/>
      </w:pPr>
    </w:p>
    <w:p w14:paraId="6E009AC1">
      <w:pPr>
        <w:spacing w:before="80" w:after="80"/>
        <w:ind w:left="720"/>
      </w:pPr>
    </w:p>
    <w:tbl>
      <w:tblPr>
        <w:tblStyle w:val="57"/>
        <w:tblW w:w="0" w:type="auto"/>
        <w:tblInd w:w="622"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726"/>
        <w:gridCol w:w="2274"/>
        <w:gridCol w:w="5922"/>
      </w:tblGrid>
      <w:tr w14:paraId="7B9578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26" w:type="dxa"/>
          </w:tcPr>
          <w:p w14:paraId="4929C864">
            <w:pPr>
              <w:spacing w:before="80" w:after="80"/>
              <w:jc w:val="center"/>
              <w:rPr>
                <w:b/>
                <w:bCs/>
              </w:rPr>
            </w:pPr>
            <w:r>
              <w:rPr>
                <w:b/>
                <w:bCs/>
              </w:rPr>
              <w:t>#</w:t>
            </w:r>
          </w:p>
        </w:tc>
        <w:tc>
          <w:tcPr>
            <w:tcW w:w="2274" w:type="dxa"/>
          </w:tcPr>
          <w:p w14:paraId="62F989C7">
            <w:pPr>
              <w:spacing w:before="80" w:after="80"/>
              <w:jc w:val="center"/>
              <w:rPr>
                <w:b/>
                <w:bCs/>
              </w:rPr>
            </w:pPr>
            <w:r>
              <w:rPr>
                <w:b/>
                <w:bCs/>
              </w:rPr>
              <w:t>Capacidad</w:t>
            </w:r>
          </w:p>
        </w:tc>
        <w:tc>
          <w:tcPr>
            <w:tcW w:w="5922" w:type="dxa"/>
          </w:tcPr>
          <w:p w14:paraId="1A279540">
            <w:pPr>
              <w:spacing w:before="80" w:after="80"/>
              <w:jc w:val="center"/>
              <w:rPr>
                <w:b/>
                <w:bCs/>
              </w:rPr>
            </w:pPr>
            <w:r>
              <w:rPr>
                <w:b/>
                <w:bCs/>
              </w:rPr>
              <w:t>Por qué es crítica</w:t>
            </w:r>
          </w:p>
        </w:tc>
      </w:tr>
      <w:tr w14:paraId="50E10C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26" w:type="dxa"/>
            <w:shd w:val="clear" w:color="auto" w:fill="F1F1F1" w:themeFill="background1" w:themeFillShade="F2"/>
          </w:tcPr>
          <w:p w14:paraId="3043D9DF">
            <w:pPr>
              <w:spacing w:before="80" w:after="80"/>
              <w:jc w:val="both"/>
              <w:rPr>
                <w:b/>
                <w:bCs/>
              </w:rPr>
            </w:pPr>
            <w:r>
              <w:rPr>
                <w:b/>
                <w:bCs/>
              </w:rPr>
              <w:t>1</w:t>
            </w:r>
          </w:p>
        </w:tc>
        <w:tc>
          <w:tcPr>
            <w:tcW w:w="2274" w:type="dxa"/>
            <w:shd w:val="clear" w:color="auto" w:fill="F1F1F1" w:themeFill="background1" w:themeFillShade="F2"/>
          </w:tcPr>
          <w:p w14:paraId="360A0313">
            <w:pPr>
              <w:spacing w:before="80" w:after="80"/>
              <w:jc w:val="both"/>
            </w:pPr>
            <w:r>
              <w:t>Curaduría de información turística de Sucre</w:t>
            </w:r>
          </w:p>
        </w:tc>
        <w:tc>
          <w:tcPr>
            <w:tcW w:w="5922" w:type="dxa"/>
            <w:shd w:val="clear" w:color="auto" w:fill="F1F1F1" w:themeFill="background1" w:themeFillShade="F2"/>
          </w:tcPr>
          <w:p w14:paraId="3924B92F">
            <w:pPr>
              <w:spacing w:before="80" w:after="80"/>
              <w:jc w:val="both"/>
              <w:rPr>
                <w:szCs w:val="24"/>
              </w:rPr>
            </w:pPr>
            <w:r>
              <w:rPr>
                <w:szCs w:val="24"/>
              </w:rPr>
              <w:t>La diferenciación de Sincinaty frente a plataformas genéricas reside en tener información profunda, localizada y actualizada sobre los atractivos del departamento. Sin esta capacidad, la plataforma es indistinguible de un buscador genérico.</w:t>
            </w:r>
          </w:p>
        </w:tc>
      </w:tr>
      <w:tr w14:paraId="256E7F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26" w:type="dxa"/>
          </w:tcPr>
          <w:p w14:paraId="64A0CF37">
            <w:pPr>
              <w:spacing w:before="80" w:after="80"/>
              <w:jc w:val="both"/>
              <w:rPr>
                <w:b/>
                <w:bCs/>
              </w:rPr>
            </w:pPr>
            <w:r>
              <w:rPr>
                <w:b/>
                <w:bCs/>
              </w:rPr>
              <w:t>2</w:t>
            </w:r>
          </w:p>
        </w:tc>
        <w:tc>
          <w:tcPr>
            <w:tcW w:w="2274" w:type="dxa"/>
          </w:tcPr>
          <w:p w14:paraId="083A5F81">
            <w:pPr>
              <w:spacing w:before="80" w:after="80"/>
              <w:jc w:val="both"/>
            </w:pPr>
            <w:r>
              <w:t>Gestión de relaciones con prestadores de servicios</w:t>
            </w:r>
          </w:p>
        </w:tc>
        <w:tc>
          <w:tcPr>
            <w:tcW w:w="5922" w:type="dxa"/>
          </w:tcPr>
          <w:p w14:paraId="426E8844">
            <w:pPr>
              <w:spacing w:before="80" w:after="80"/>
              <w:jc w:val="both"/>
              <w:rPr>
                <w:szCs w:val="24"/>
              </w:rPr>
            </w:pPr>
            <w:r>
              <w:rPr>
                <w:szCs w:val="24"/>
              </w:rPr>
              <w:t xml:space="preserve">Sin prestadores de calidad, la oferta no tiene valor real. Esta capacidad garantiza que la plataforma cuente con contenido confiable </w:t>
            </w:r>
            <w:r>
              <w:rPr>
                <w:rFonts w:hint="default"/>
                <w:szCs w:val="24"/>
                <w:lang w:val="es-ES"/>
              </w:rPr>
              <w:t xml:space="preserve">y </w:t>
            </w:r>
            <w:r>
              <w:rPr>
                <w:szCs w:val="24"/>
              </w:rPr>
              <w:t>que el turista pueda reservar con tranquilidad.</w:t>
            </w:r>
          </w:p>
        </w:tc>
      </w:tr>
      <w:tr w14:paraId="3FC82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26" w:type="dxa"/>
            <w:shd w:val="clear" w:color="auto" w:fill="F1F1F1" w:themeFill="background1" w:themeFillShade="F2"/>
          </w:tcPr>
          <w:p w14:paraId="1B2139AB">
            <w:pPr>
              <w:spacing w:before="80" w:after="80"/>
              <w:jc w:val="both"/>
              <w:rPr>
                <w:b/>
                <w:bCs/>
              </w:rPr>
            </w:pPr>
            <w:r>
              <w:rPr>
                <w:b/>
                <w:bCs/>
              </w:rPr>
              <w:t>3</w:t>
            </w:r>
          </w:p>
        </w:tc>
        <w:tc>
          <w:tcPr>
            <w:tcW w:w="2274" w:type="dxa"/>
            <w:shd w:val="clear" w:color="auto" w:fill="F1F1F1" w:themeFill="background1" w:themeFillShade="F2"/>
          </w:tcPr>
          <w:p w14:paraId="64AE13FC">
            <w:pPr>
              <w:spacing w:before="80" w:after="80"/>
              <w:jc w:val="both"/>
            </w:pPr>
            <w:r>
              <w:t>Personalización de la experiencia del usuario</w:t>
            </w:r>
          </w:p>
        </w:tc>
        <w:tc>
          <w:tcPr>
            <w:tcW w:w="5922" w:type="dxa"/>
            <w:shd w:val="clear" w:color="auto" w:fill="F1F1F1" w:themeFill="background1" w:themeFillShade="F2"/>
          </w:tcPr>
          <w:p w14:paraId="0541939A">
            <w:pPr>
              <w:spacing w:before="80" w:after="80"/>
              <w:jc w:val="both"/>
              <w:rPr>
                <w:szCs w:val="24"/>
              </w:rPr>
            </w:pPr>
            <w:r>
              <w:rPr>
                <w:szCs w:val="24"/>
              </w:rPr>
              <w:t>Es el núcleo de la propuesta de valor. Una plataforma que entiende al turista y le ofrece lo que busca genera retención, conversión y diferenciación ante competidores genéricos.</w:t>
            </w:r>
          </w:p>
        </w:tc>
      </w:tr>
      <w:tr w14:paraId="5FA0269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26" w:type="dxa"/>
          </w:tcPr>
          <w:p w14:paraId="7BB58D68">
            <w:pPr>
              <w:spacing w:before="80" w:after="80"/>
              <w:jc w:val="both"/>
              <w:rPr>
                <w:b/>
                <w:bCs/>
              </w:rPr>
            </w:pPr>
            <w:r>
              <w:rPr>
                <w:b/>
                <w:bCs/>
              </w:rPr>
              <w:t>4</w:t>
            </w:r>
          </w:p>
        </w:tc>
        <w:tc>
          <w:tcPr>
            <w:tcW w:w="2274" w:type="dxa"/>
          </w:tcPr>
          <w:p w14:paraId="7EFEC2B1">
            <w:pPr>
              <w:spacing w:before="80" w:after="80"/>
              <w:jc w:val="both"/>
            </w:pPr>
            <w:r>
              <w:t xml:space="preserve">Gestión </w:t>
            </w:r>
            <w:r>
              <w:rPr>
                <w:rFonts w:hint="default"/>
                <w:lang w:val="es-ES"/>
              </w:rPr>
              <w:t>de</w:t>
            </w:r>
            <w:r>
              <w:t xml:space="preserve"> reservas</w:t>
            </w:r>
          </w:p>
        </w:tc>
        <w:tc>
          <w:tcPr>
            <w:tcW w:w="5922" w:type="dxa"/>
          </w:tcPr>
          <w:p w14:paraId="0E800082">
            <w:pPr>
              <w:spacing w:before="80" w:after="80"/>
              <w:jc w:val="both"/>
              <w:rPr>
                <w:szCs w:val="24"/>
              </w:rPr>
            </w:pPr>
            <w:r>
              <w:rPr>
                <w:szCs w:val="24"/>
              </w:rPr>
              <w:t>La confianza del turista para reservar depende de un proceso claro, seguro y transparente. Sin esta capacidad, el modelo de ingresos no escala.</w:t>
            </w:r>
          </w:p>
        </w:tc>
      </w:tr>
      <w:tr w14:paraId="6989FF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26" w:type="dxa"/>
            <w:shd w:val="clear" w:color="auto" w:fill="F1F1F1" w:themeFill="background1" w:themeFillShade="F2"/>
          </w:tcPr>
          <w:p w14:paraId="1DF60F08">
            <w:pPr>
              <w:spacing w:before="80" w:after="80"/>
              <w:jc w:val="both"/>
              <w:rPr>
                <w:b/>
                <w:bCs/>
              </w:rPr>
            </w:pPr>
            <w:r>
              <w:rPr>
                <w:b/>
                <w:bCs/>
              </w:rPr>
              <w:t>5</w:t>
            </w:r>
          </w:p>
        </w:tc>
        <w:tc>
          <w:tcPr>
            <w:tcW w:w="2274" w:type="dxa"/>
            <w:shd w:val="clear" w:color="auto" w:fill="F1F1F1" w:themeFill="background1" w:themeFillShade="F2"/>
          </w:tcPr>
          <w:p w14:paraId="03AB7004">
            <w:pPr>
              <w:spacing w:before="80" w:after="80"/>
              <w:jc w:val="both"/>
            </w:pPr>
            <w:r>
              <w:t>Construcción y gestión de la reputación del ecosistema</w:t>
            </w:r>
          </w:p>
        </w:tc>
        <w:tc>
          <w:tcPr>
            <w:tcW w:w="5922" w:type="dxa"/>
            <w:shd w:val="clear" w:color="auto" w:fill="F1F1F1" w:themeFill="background1" w:themeFillShade="F2"/>
          </w:tcPr>
          <w:p w14:paraId="62F4EF37">
            <w:pPr>
              <w:tabs>
                <w:tab w:val="left" w:pos="1708"/>
              </w:tabs>
              <w:spacing w:before="80" w:after="80"/>
              <w:jc w:val="both"/>
              <w:rPr>
                <w:szCs w:val="24"/>
              </w:rPr>
            </w:pPr>
            <w:r>
              <w:rPr>
                <w:szCs w:val="24"/>
              </w:rPr>
              <w:t>La confianza del usuario es el activo más valioso de una plataforma de servicios. En un mercado local, la reputación digital puede impulsar o hundir la adopción masiva.</w:t>
            </w:r>
          </w:p>
        </w:tc>
      </w:tr>
      <w:tr w14:paraId="0771A0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26" w:type="dxa"/>
          </w:tcPr>
          <w:p w14:paraId="1ED58D0F">
            <w:pPr>
              <w:spacing w:before="80" w:after="80"/>
              <w:jc w:val="both"/>
              <w:rPr>
                <w:b/>
                <w:bCs/>
              </w:rPr>
            </w:pPr>
            <w:r>
              <w:rPr>
                <w:b/>
                <w:bCs/>
              </w:rPr>
              <w:t>6</w:t>
            </w:r>
          </w:p>
        </w:tc>
        <w:tc>
          <w:tcPr>
            <w:tcW w:w="2274" w:type="dxa"/>
          </w:tcPr>
          <w:p w14:paraId="01912F4D">
            <w:pPr>
              <w:spacing w:before="80" w:after="80"/>
              <w:jc w:val="both"/>
            </w:pPr>
            <w:r>
              <w:t xml:space="preserve">Gestión de alianzas estratégicas e institucionales </w:t>
            </w:r>
          </w:p>
        </w:tc>
        <w:tc>
          <w:tcPr>
            <w:tcW w:w="5922" w:type="dxa"/>
          </w:tcPr>
          <w:p w14:paraId="39D04EF3">
            <w:pPr>
              <w:spacing w:before="80" w:after="80"/>
              <w:jc w:val="both"/>
              <w:rPr>
                <w:szCs w:val="24"/>
              </w:rPr>
            </w:pPr>
            <w:r>
              <w:rPr>
                <w:szCs w:val="24"/>
              </w:rPr>
              <w:t>El turismo en Sucre tiene una fuerte dimensión institucional. Las alianzas con la Gobernación, alcaldías y gremios dan legitimidad, acceso a infraestructura pública y visibilidad que un startup no puede lograr por sí sola.</w:t>
            </w:r>
          </w:p>
        </w:tc>
      </w:tr>
    </w:tbl>
    <w:p w14:paraId="2C20E5CD">
      <w:pPr>
        <w:spacing w:before="160" w:after="60"/>
        <w:rPr>
          <w:b/>
          <w:bCs/>
          <w:sz w:val="21"/>
          <w:szCs w:val="21"/>
        </w:rPr>
      </w:pPr>
    </w:p>
    <w:p w14:paraId="52ADCB42">
      <w:pPr>
        <w:pStyle w:val="32"/>
        <w:numPr>
          <w:ilvl w:val="1"/>
          <w:numId w:val="2"/>
        </w:numPr>
        <w:spacing w:before="160" w:after="60"/>
        <w:rPr>
          <w:b/>
          <w:bCs/>
          <w:szCs w:val="24"/>
        </w:rPr>
      </w:pPr>
      <w:r>
        <w:rPr>
          <w:b/>
          <w:bCs/>
          <w:szCs w:val="24"/>
        </w:rPr>
        <w:t>Procesos de negocio</w:t>
      </w:r>
    </w:p>
    <w:p w14:paraId="38FF8272">
      <w:pPr>
        <w:pStyle w:val="32"/>
        <w:spacing w:before="80" w:after="80"/>
        <w:rPr>
          <w:color w:val="000000"/>
          <w:szCs w:val="24"/>
        </w:rPr>
      </w:pPr>
      <w:r>
        <w:rPr>
          <w:color w:val="000000"/>
          <w:szCs w:val="24"/>
        </w:rPr>
        <w:t>Sincinaty opera a través de seis procesos estructurados, distribuidos en dos categorías:</w:t>
      </w:r>
    </w:p>
    <w:p w14:paraId="16C9F91B">
      <w:pPr>
        <w:pStyle w:val="32"/>
        <w:spacing w:before="80" w:after="80"/>
        <w:rPr>
          <w:color w:val="000000"/>
          <w:szCs w:val="24"/>
        </w:rPr>
      </w:pPr>
    </w:p>
    <w:tbl>
      <w:tblPr>
        <w:tblStyle w:val="57"/>
        <w:tblW w:w="0" w:type="auto"/>
        <w:tblInd w:w="632"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52"/>
        <w:gridCol w:w="3917"/>
        <w:gridCol w:w="3275"/>
      </w:tblGrid>
      <w:tr w14:paraId="1F4BDDF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52" w:type="dxa"/>
          </w:tcPr>
          <w:p w14:paraId="1E72126E">
            <w:pPr>
              <w:pStyle w:val="32"/>
              <w:spacing w:before="80" w:after="80"/>
              <w:ind w:left="0"/>
              <w:jc w:val="center"/>
              <w:rPr>
                <w:b w:val="0"/>
                <w:bCs w:val="0"/>
                <w:color w:val="000000"/>
                <w:szCs w:val="24"/>
              </w:rPr>
            </w:pPr>
            <w:r>
              <w:rPr>
                <w:b/>
                <w:bCs/>
                <w:color w:val="000000"/>
                <w:szCs w:val="24"/>
              </w:rPr>
              <w:t>Proceso</w:t>
            </w:r>
          </w:p>
        </w:tc>
        <w:tc>
          <w:tcPr>
            <w:tcW w:w="3917" w:type="dxa"/>
          </w:tcPr>
          <w:p w14:paraId="1939BAB7">
            <w:pPr>
              <w:pStyle w:val="32"/>
              <w:spacing w:before="80" w:after="80"/>
              <w:ind w:left="0"/>
              <w:jc w:val="center"/>
              <w:rPr>
                <w:b/>
                <w:bCs/>
                <w:color w:val="000000"/>
                <w:szCs w:val="24"/>
              </w:rPr>
            </w:pPr>
            <w:r>
              <w:rPr>
                <w:b/>
                <w:bCs/>
                <w:color w:val="000000"/>
                <w:szCs w:val="24"/>
              </w:rPr>
              <w:t>Descripción</w:t>
            </w:r>
          </w:p>
        </w:tc>
        <w:tc>
          <w:tcPr>
            <w:tcW w:w="3275" w:type="dxa"/>
          </w:tcPr>
          <w:p w14:paraId="56BCAD29">
            <w:pPr>
              <w:pStyle w:val="32"/>
              <w:spacing w:before="80" w:after="80"/>
              <w:ind w:left="0"/>
              <w:jc w:val="center"/>
              <w:rPr>
                <w:b/>
                <w:bCs/>
                <w:color w:val="000000"/>
                <w:szCs w:val="24"/>
              </w:rPr>
            </w:pPr>
            <w:r>
              <w:rPr>
                <w:b/>
                <w:bCs/>
                <w:color w:val="000000"/>
                <w:szCs w:val="24"/>
              </w:rPr>
              <w:t>Resultado esperado</w:t>
            </w:r>
          </w:p>
        </w:tc>
      </w:tr>
      <w:tr w14:paraId="2C85D6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44" w:type="dxa"/>
            <w:gridSpan w:val="3"/>
            <w:shd w:val="clear" w:color="auto" w:fill="F1F1F1" w:themeFill="background1" w:themeFillShade="F2"/>
          </w:tcPr>
          <w:p w14:paraId="52DE12D8">
            <w:pPr>
              <w:pStyle w:val="32"/>
              <w:spacing w:before="80" w:after="80"/>
              <w:ind w:left="0"/>
              <w:jc w:val="left"/>
              <w:rPr>
                <w:b/>
                <w:bCs/>
                <w:color w:val="000000"/>
                <w:szCs w:val="24"/>
              </w:rPr>
            </w:pPr>
            <w:r>
              <w:rPr>
                <w:b/>
                <w:bCs/>
                <w:color w:val="000000"/>
                <w:szCs w:val="24"/>
              </w:rPr>
              <w:t>OPERACIÓN CENTRAL</w:t>
            </w:r>
          </w:p>
        </w:tc>
      </w:tr>
      <w:tr w14:paraId="4CB1E6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52" w:type="dxa"/>
          </w:tcPr>
          <w:p w14:paraId="3C8EAE3C">
            <w:pPr>
              <w:pStyle w:val="32"/>
              <w:spacing w:before="80" w:after="80"/>
              <w:ind w:left="0"/>
              <w:jc w:val="both"/>
              <w:rPr>
                <w:b/>
                <w:bCs/>
                <w:color w:val="000000"/>
                <w:szCs w:val="24"/>
              </w:rPr>
            </w:pPr>
            <w:r>
              <w:rPr>
                <w:b/>
                <w:bCs/>
                <w:color w:val="000000"/>
                <w:szCs w:val="24"/>
              </w:rPr>
              <w:t xml:space="preserve">Gestión de prestadores </w:t>
            </w:r>
          </w:p>
        </w:tc>
        <w:tc>
          <w:tcPr>
            <w:tcW w:w="3917" w:type="dxa"/>
          </w:tcPr>
          <w:p w14:paraId="48BF1068">
            <w:pPr>
              <w:pStyle w:val="32"/>
              <w:spacing w:before="80" w:after="80"/>
              <w:ind w:left="0"/>
              <w:jc w:val="both"/>
              <w:rPr>
                <w:color w:val="000000"/>
                <w:szCs w:val="24"/>
              </w:rPr>
            </w:pPr>
            <w:r>
              <w:rPr>
                <w:szCs w:val="24"/>
              </w:rPr>
              <w:t>Registro, validación, onboarding y monitoreo continuo de proveedores. Incluye verificación de calidad, cumplimiento de criterios mínimos y actualización periódica.</w:t>
            </w:r>
          </w:p>
        </w:tc>
        <w:tc>
          <w:tcPr>
            <w:tcW w:w="3275" w:type="dxa"/>
          </w:tcPr>
          <w:p w14:paraId="64E5531A">
            <w:pPr>
              <w:pStyle w:val="32"/>
              <w:spacing w:before="80" w:after="80"/>
              <w:ind w:left="0"/>
              <w:jc w:val="both"/>
              <w:rPr>
                <w:color w:val="000000"/>
                <w:szCs w:val="24"/>
              </w:rPr>
            </w:pPr>
            <w:r>
              <w:rPr>
                <w:szCs w:val="24"/>
              </w:rPr>
              <w:t>Catálogo de prestadores confiables y verificados.</w:t>
            </w:r>
          </w:p>
        </w:tc>
      </w:tr>
      <w:tr w14:paraId="453E9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52" w:type="dxa"/>
            <w:shd w:val="clear" w:color="auto" w:fill="F1F1F1" w:themeFill="background1" w:themeFillShade="F2"/>
          </w:tcPr>
          <w:p w14:paraId="5FF06F49">
            <w:pPr>
              <w:pStyle w:val="32"/>
              <w:spacing w:before="80" w:after="80"/>
              <w:ind w:left="0"/>
              <w:jc w:val="both"/>
              <w:rPr>
                <w:b/>
                <w:bCs/>
                <w:color w:val="000000"/>
                <w:szCs w:val="24"/>
              </w:rPr>
            </w:pPr>
            <w:r>
              <w:rPr>
                <w:b/>
                <w:bCs/>
                <w:color w:val="000000"/>
                <w:szCs w:val="24"/>
              </w:rPr>
              <w:t>Gestión del contenido turístico</w:t>
            </w:r>
          </w:p>
        </w:tc>
        <w:tc>
          <w:tcPr>
            <w:tcW w:w="3917" w:type="dxa"/>
            <w:shd w:val="clear" w:color="auto" w:fill="F1F1F1" w:themeFill="background1" w:themeFillShade="F2"/>
          </w:tcPr>
          <w:p w14:paraId="25EA266D">
            <w:pPr>
              <w:pStyle w:val="32"/>
              <w:spacing w:before="80" w:after="80"/>
              <w:ind w:left="0"/>
              <w:jc w:val="both"/>
              <w:rPr>
                <w:color w:val="000000"/>
                <w:szCs w:val="24"/>
              </w:rPr>
            </w:pPr>
            <w:r>
              <w:rPr>
                <w:szCs w:val="24"/>
              </w:rPr>
              <w:t>Curaduría, producción y actualización de información sobre destinos, rutas, festividades, gastronomía y atractivos naturales y culturales del departamento.</w:t>
            </w:r>
          </w:p>
        </w:tc>
        <w:tc>
          <w:tcPr>
            <w:tcW w:w="3275" w:type="dxa"/>
            <w:shd w:val="clear" w:color="auto" w:fill="F1F1F1" w:themeFill="background1" w:themeFillShade="F2"/>
          </w:tcPr>
          <w:p w14:paraId="22D0F473">
            <w:pPr>
              <w:pStyle w:val="32"/>
              <w:spacing w:before="80" w:after="80"/>
              <w:ind w:left="0"/>
              <w:jc w:val="both"/>
              <w:rPr>
                <w:color w:val="000000"/>
                <w:szCs w:val="24"/>
              </w:rPr>
            </w:pPr>
            <w:r>
              <w:rPr>
                <w:szCs w:val="24"/>
              </w:rPr>
              <w:t>Información de alta calidad que distingue a Sincinaty de plataformas genéricas.</w:t>
            </w:r>
          </w:p>
        </w:tc>
      </w:tr>
      <w:tr w14:paraId="552578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52" w:type="dxa"/>
          </w:tcPr>
          <w:p w14:paraId="0C9596EF">
            <w:pPr>
              <w:pStyle w:val="32"/>
              <w:spacing w:before="80" w:after="80"/>
              <w:ind w:left="0"/>
              <w:jc w:val="both"/>
              <w:rPr>
                <w:b/>
                <w:bCs/>
                <w:color w:val="000000"/>
                <w:szCs w:val="24"/>
              </w:rPr>
            </w:pPr>
            <w:r>
              <w:rPr>
                <w:b/>
                <w:bCs/>
                <w:color w:val="000000"/>
                <w:szCs w:val="24"/>
              </w:rPr>
              <w:t xml:space="preserve">Gestión de reservas </w:t>
            </w:r>
          </w:p>
        </w:tc>
        <w:tc>
          <w:tcPr>
            <w:tcW w:w="3917" w:type="dxa"/>
          </w:tcPr>
          <w:p w14:paraId="61CC1674">
            <w:pPr>
              <w:pStyle w:val="32"/>
              <w:spacing w:before="80" w:after="80"/>
              <w:ind w:left="0"/>
              <w:jc w:val="both"/>
              <w:rPr>
                <w:rFonts w:hint="default"/>
                <w:color w:val="000000"/>
                <w:szCs w:val="24"/>
                <w:lang w:val="es-ES"/>
              </w:rPr>
            </w:pPr>
            <w:r>
              <w:rPr>
                <w:szCs w:val="24"/>
              </w:rPr>
              <w:t>Procesamiento de reservas</w:t>
            </w:r>
            <w:r>
              <w:rPr>
                <w:rFonts w:hint="default"/>
                <w:szCs w:val="24"/>
                <w:lang w:val="es-ES"/>
              </w:rPr>
              <w:t xml:space="preserve"> y </w:t>
            </w:r>
            <w:r>
              <w:rPr>
                <w:szCs w:val="24"/>
              </w:rPr>
              <w:t>confirmación con el prestador</w:t>
            </w:r>
            <w:r>
              <w:rPr>
                <w:rFonts w:hint="default"/>
                <w:szCs w:val="24"/>
                <w:lang w:val="es-ES"/>
              </w:rPr>
              <w:t>.</w:t>
            </w:r>
          </w:p>
        </w:tc>
        <w:tc>
          <w:tcPr>
            <w:tcW w:w="3275" w:type="dxa"/>
          </w:tcPr>
          <w:p w14:paraId="3863B009">
            <w:pPr>
              <w:pStyle w:val="32"/>
              <w:spacing w:before="80" w:after="80"/>
              <w:ind w:left="0"/>
              <w:jc w:val="both"/>
              <w:rPr>
                <w:rFonts w:hint="default"/>
                <w:szCs w:val="24"/>
                <w:lang w:val="es-ES"/>
              </w:rPr>
            </w:pPr>
            <w:r>
              <w:rPr>
                <w:rFonts w:hint="default"/>
                <w:szCs w:val="24"/>
                <w:lang w:val="es-ES"/>
              </w:rPr>
              <w:t>Sistemas de reservas y confirmación por parte del prestador para generar confianza entre ambas partes.</w:t>
            </w:r>
          </w:p>
        </w:tc>
      </w:tr>
      <w:tr w14:paraId="64055B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52" w:type="dxa"/>
            <w:shd w:val="clear" w:color="auto" w:fill="F1F1F1" w:themeFill="background1" w:themeFillShade="F2"/>
          </w:tcPr>
          <w:p w14:paraId="199CB5CD">
            <w:pPr>
              <w:pStyle w:val="32"/>
              <w:spacing w:before="80" w:after="80"/>
              <w:ind w:left="0"/>
              <w:jc w:val="both"/>
              <w:rPr>
                <w:b/>
                <w:bCs/>
                <w:color w:val="000000"/>
                <w:szCs w:val="24"/>
              </w:rPr>
            </w:pPr>
            <w:r>
              <w:rPr>
                <w:b/>
                <w:bCs/>
                <w:color w:val="000000"/>
                <w:szCs w:val="24"/>
              </w:rPr>
              <w:t xml:space="preserve">Gestión de reseñas y calidad </w:t>
            </w:r>
          </w:p>
        </w:tc>
        <w:tc>
          <w:tcPr>
            <w:tcW w:w="3917" w:type="dxa"/>
            <w:shd w:val="clear" w:color="auto" w:fill="F1F1F1" w:themeFill="background1" w:themeFillShade="F2"/>
          </w:tcPr>
          <w:p w14:paraId="2BF73890">
            <w:pPr>
              <w:pStyle w:val="32"/>
              <w:spacing w:before="80" w:after="80"/>
              <w:ind w:left="0"/>
              <w:jc w:val="both"/>
              <w:rPr>
                <w:color w:val="000000"/>
                <w:szCs w:val="24"/>
              </w:rPr>
            </w:pPr>
            <w:r>
              <w:rPr>
                <w:szCs w:val="24"/>
              </w:rPr>
              <w:t>Recolección, moderación y publicación de evaluaciones. Incluye análisis de satisfacción y retroalimentación a los proveedores.</w:t>
            </w:r>
          </w:p>
        </w:tc>
        <w:tc>
          <w:tcPr>
            <w:tcW w:w="3275" w:type="dxa"/>
            <w:shd w:val="clear" w:color="auto" w:fill="F1F1F1" w:themeFill="background1" w:themeFillShade="F2"/>
          </w:tcPr>
          <w:p w14:paraId="4641C3E7">
            <w:pPr>
              <w:pStyle w:val="32"/>
              <w:spacing w:before="80" w:after="80"/>
              <w:ind w:left="0"/>
              <w:jc w:val="both"/>
              <w:rPr>
                <w:color w:val="000000"/>
                <w:szCs w:val="24"/>
              </w:rPr>
            </w:pPr>
            <w:r>
              <w:rPr>
                <w:szCs w:val="24"/>
              </w:rPr>
              <w:t>Sistema de reputación robusto que orienta al turista y motiva a los prestadores.</w:t>
            </w:r>
          </w:p>
        </w:tc>
      </w:tr>
      <w:tr w14:paraId="4F4B33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44" w:type="dxa"/>
            <w:gridSpan w:val="3"/>
          </w:tcPr>
          <w:p w14:paraId="2C478878">
            <w:pPr>
              <w:pStyle w:val="32"/>
              <w:spacing w:before="80" w:after="80"/>
              <w:ind w:left="0"/>
              <w:jc w:val="both"/>
              <w:rPr>
                <w:b/>
                <w:bCs/>
                <w:color w:val="000000"/>
                <w:szCs w:val="24"/>
              </w:rPr>
            </w:pPr>
            <w:r>
              <w:rPr>
                <w:b/>
                <w:bCs/>
                <w:color w:val="000000"/>
                <w:szCs w:val="24"/>
              </w:rPr>
              <w:t>SOPORTE</w:t>
            </w:r>
          </w:p>
        </w:tc>
      </w:tr>
      <w:tr w14:paraId="7858CA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52" w:type="dxa"/>
            <w:shd w:val="clear" w:color="auto" w:fill="F1F1F1" w:themeFill="background1" w:themeFillShade="F2"/>
            <w:vAlign w:val="center"/>
          </w:tcPr>
          <w:p w14:paraId="3D001B72">
            <w:pPr>
              <w:pStyle w:val="32"/>
              <w:spacing w:before="80" w:after="80"/>
              <w:ind w:left="0"/>
              <w:jc w:val="both"/>
              <w:rPr>
                <w:b/>
                <w:bCs/>
                <w:color w:val="000000"/>
                <w:szCs w:val="24"/>
              </w:rPr>
            </w:pPr>
            <w:r>
              <w:rPr>
                <w:b/>
                <w:bCs/>
                <w:szCs w:val="24"/>
              </w:rPr>
              <w:t>Atención y soporte al usuario</w:t>
            </w:r>
          </w:p>
        </w:tc>
        <w:tc>
          <w:tcPr>
            <w:tcW w:w="3917" w:type="dxa"/>
            <w:shd w:val="clear" w:color="auto" w:fill="F1F1F1" w:themeFill="background1" w:themeFillShade="F2"/>
          </w:tcPr>
          <w:p w14:paraId="4829A8AC">
            <w:pPr>
              <w:pStyle w:val="32"/>
              <w:spacing w:before="80" w:after="80"/>
              <w:ind w:left="0"/>
              <w:jc w:val="both"/>
              <w:rPr>
                <w:color w:val="000000"/>
                <w:szCs w:val="24"/>
              </w:rPr>
            </w:pPr>
            <w:r>
              <w:rPr>
                <w:szCs w:val="24"/>
              </w:rPr>
              <w:t>Gestión de consultas, reclamaciones e incidencias de turistas y prestadores. Resolución de conflictos y seguimiento post-experiencia.</w:t>
            </w:r>
          </w:p>
        </w:tc>
        <w:tc>
          <w:tcPr>
            <w:tcW w:w="3275" w:type="dxa"/>
            <w:shd w:val="clear" w:color="auto" w:fill="F1F1F1" w:themeFill="background1" w:themeFillShade="F2"/>
          </w:tcPr>
          <w:p w14:paraId="0138BA89">
            <w:pPr>
              <w:pStyle w:val="32"/>
              <w:spacing w:before="80" w:after="80"/>
              <w:ind w:left="0"/>
              <w:jc w:val="both"/>
              <w:rPr>
                <w:color w:val="000000"/>
                <w:szCs w:val="24"/>
              </w:rPr>
            </w:pPr>
            <w:r>
              <w:rPr>
                <w:szCs w:val="24"/>
              </w:rPr>
              <w:t>Usuarios satisfechos. Reducción de fricciones que afectan la retención.</w:t>
            </w:r>
          </w:p>
        </w:tc>
      </w:tr>
      <w:tr w14:paraId="2543FE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52" w:type="dxa"/>
            <w:vAlign w:val="center"/>
          </w:tcPr>
          <w:p w14:paraId="0159807A">
            <w:pPr>
              <w:pStyle w:val="32"/>
              <w:spacing w:before="80" w:after="80"/>
              <w:ind w:left="0"/>
              <w:jc w:val="both"/>
              <w:rPr>
                <w:b/>
                <w:bCs/>
                <w:color w:val="000000"/>
                <w:szCs w:val="24"/>
              </w:rPr>
            </w:pPr>
            <w:r>
              <w:rPr>
                <w:b/>
                <w:bCs/>
                <w:szCs w:val="24"/>
              </w:rPr>
              <w:t>Gestión de alianzas y ecosistema</w:t>
            </w:r>
          </w:p>
        </w:tc>
        <w:tc>
          <w:tcPr>
            <w:tcW w:w="3917" w:type="dxa"/>
          </w:tcPr>
          <w:p w14:paraId="61A28A08">
            <w:pPr>
              <w:pStyle w:val="32"/>
              <w:tabs>
                <w:tab w:val="left" w:pos="1273"/>
              </w:tabs>
              <w:spacing w:before="80" w:after="80"/>
              <w:ind w:left="0"/>
              <w:jc w:val="both"/>
              <w:rPr>
                <w:color w:val="000000"/>
                <w:szCs w:val="24"/>
              </w:rPr>
            </w:pPr>
            <w:r>
              <w:rPr>
                <w:szCs w:val="24"/>
              </w:rPr>
              <w:t>Identificación, negociación y mantenimiento de alianzas estratégicas con entidades públicas, gremios, medios digitales y operadores de turismo.</w:t>
            </w:r>
          </w:p>
        </w:tc>
        <w:tc>
          <w:tcPr>
            <w:tcW w:w="3275" w:type="dxa"/>
          </w:tcPr>
          <w:p w14:paraId="33963A36">
            <w:pPr>
              <w:pStyle w:val="32"/>
              <w:spacing w:before="80" w:after="80"/>
              <w:ind w:left="0"/>
              <w:jc w:val="both"/>
              <w:rPr>
                <w:color w:val="000000"/>
                <w:szCs w:val="24"/>
              </w:rPr>
            </w:pPr>
            <w:r>
              <w:rPr>
                <w:szCs w:val="24"/>
              </w:rPr>
              <w:t>Red de aliados consolidada que amplía la oferta, la credibilidad y el alcance comercial.</w:t>
            </w:r>
          </w:p>
        </w:tc>
      </w:tr>
    </w:tbl>
    <w:p w14:paraId="6A7DF583">
      <w:pPr>
        <w:spacing w:before="80" w:after="80"/>
      </w:pPr>
    </w:p>
    <w:p w14:paraId="035783BF">
      <w:pPr>
        <w:pStyle w:val="32"/>
        <w:numPr>
          <w:ilvl w:val="1"/>
          <w:numId w:val="2"/>
        </w:numPr>
        <w:spacing w:before="160" w:after="60"/>
        <w:rPr>
          <w:b/>
          <w:bCs/>
          <w:szCs w:val="24"/>
        </w:rPr>
      </w:pPr>
      <w:r>
        <w:rPr>
          <w:b/>
          <w:bCs/>
          <w:szCs w:val="24"/>
        </w:rPr>
        <w:t xml:space="preserve">Estructura Organizacional </w:t>
      </w:r>
    </w:p>
    <w:p w14:paraId="6669809E">
      <w:pPr>
        <w:spacing w:before="160" w:after="60"/>
        <w:ind w:left="720" w:leftChars="0" w:firstLine="708" w:firstLineChars="0"/>
        <w:rPr>
          <w:szCs w:val="24"/>
        </w:rPr>
      </w:pPr>
      <w:r>
        <w:rPr>
          <w:color w:val="000000"/>
        </w:rPr>
        <w:t>La estructura organizacional de Sincinaty está diseñada para ser ágil, centrada en el usuario y orientada a la gestión del ecosistema. Se organiza en cuatro áreas funcionales con roles claramente definidos:</w:t>
      </w:r>
    </w:p>
    <w:tbl>
      <w:tblPr>
        <w:tblStyle w:val="57"/>
        <w:tblW w:w="0" w:type="auto"/>
        <w:tblInd w:w="622"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494"/>
        <w:gridCol w:w="3117"/>
        <w:gridCol w:w="3341"/>
      </w:tblGrid>
      <w:tr w14:paraId="5A5172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94" w:type="dxa"/>
          </w:tcPr>
          <w:p w14:paraId="62A725AF">
            <w:pPr>
              <w:pStyle w:val="32"/>
              <w:spacing w:before="80" w:after="80"/>
              <w:ind w:left="0"/>
              <w:rPr>
                <w:b/>
                <w:bCs/>
              </w:rPr>
            </w:pPr>
            <w:r>
              <w:rPr>
                <w:b/>
                <w:bCs/>
              </w:rPr>
              <w:t>Área / Rol</w:t>
            </w:r>
          </w:p>
        </w:tc>
        <w:tc>
          <w:tcPr>
            <w:tcW w:w="3117" w:type="dxa"/>
          </w:tcPr>
          <w:p w14:paraId="415D9CFD">
            <w:pPr>
              <w:pStyle w:val="32"/>
              <w:spacing w:before="80" w:after="80"/>
              <w:ind w:left="0"/>
              <w:rPr>
                <w:b/>
                <w:bCs/>
              </w:rPr>
            </w:pPr>
            <w:r>
              <w:rPr>
                <w:b/>
                <w:bCs/>
              </w:rPr>
              <w:t>Responsabilidades</w:t>
            </w:r>
          </w:p>
        </w:tc>
        <w:tc>
          <w:tcPr>
            <w:tcW w:w="3341" w:type="dxa"/>
          </w:tcPr>
          <w:p w14:paraId="3F5C7DC3">
            <w:pPr>
              <w:pStyle w:val="32"/>
              <w:spacing w:before="80" w:after="80"/>
              <w:ind w:left="0"/>
              <w:rPr>
                <w:b/>
                <w:bCs/>
              </w:rPr>
            </w:pPr>
            <w:r>
              <w:rPr>
                <w:b/>
                <w:bCs/>
              </w:rPr>
              <w:t>Interacción principal</w:t>
            </w:r>
          </w:p>
        </w:tc>
      </w:tr>
      <w:tr w14:paraId="7F3354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94" w:type="dxa"/>
            <w:shd w:val="clear" w:color="auto" w:fill="F1F1F1" w:themeFill="background1" w:themeFillShade="F2"/>
            <w:vAlign w:val="center"/>
          </w:tcPr>
          <w:p w14:paraId="0198642F">
            <w:pPr>
              <w:spacing w:before="80" w:after="80"/>
              <w:jc w:val="both"/>
              <w:rPr>
                <w:b/>
                <w:bCs/>
                <w:szCs w:val="24"/>
              </w:rPr>
            </w:pPr>
            <w:r>
              <w:rPr>
                <w:b/>
                <w:bCs/>
                <w:szCs w:val="24"/>
              </w:rPr>
              <w:t>Dirección General</w:t>
            </w:r>
          </w:p>
        </w:tc>
        <w:tc>
          <w:tcPr>
            <w:tcW w:w="3117" w:type="dxa"/>
            <w:shd w:val="clear" w:color="auto" w:fill="F1F1F1" w:themeFill="background1" w:themeFillShade="F2"/>
          </w:tcPr>
          <w:p w14:paraId="4E480044">
            <w:pPr>
              <w:pStyle w:val="32"/>
              <w:spacing w:before="80" w:after="80"/>
              <w:ind w:left="0"/>
              <w:jc w:val="both"/>
              <w:rPr>
                <w:szCs w:val="24"/>
              </w:rPr>
            </w:pPr>
            <w:r>
              <w:rPr>
                <w:szCs w:val="24"/>
              </w:rPr>
              <w:t>Define la visión estratégica, gestiona las alianzas institucionales de alto nivel y toma decisiones sobre el modelo de negocio.</w:t>
            </w:r>
          </w:p>
        </w:tc>
        <w:tc>
          <w:tcPr>
            <w:tcW w:w="3341" w:type="dxa"/>
            <w:shd w:val="clear" w:color="auto" w:fill="F1F1F1" w:themeFill="background1" w:themeFillShade="F2"/>
          </w:tcPr>
          <w:p w14:paraId="3B3F1C74">
            <w:pPr>
              <w:pStyle w:val="32"/>
              <w:spacing w:before="80" w:after="80"/>
              <w:ind w:left="0"/>
              <w:jc w:val="both"/>
              <w:rPr>
                <w:szCs w:val="24"/>
              </w:rPr>
            </w:pPr>
            <w:r>
              <w:rPr>
                <w:szCs w:val="24"/>
              </w:rPr>
              <w:t>Gobernación, Fontur, Cámara de Comercio, inversores.</w:t>
            </w:r>
          </w:p>
        </w:tc>
      </w:tr>
      <w:tr w14:paraId="73D343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94" w:type="dxa"/>
            <w:vAlign w:val="center"/>
          </w:tcPr>
          <w:p w14:paraId="6F461B17">
            <w:pPr>
              <w:pStyle w:val="32"/>
              <w:spacing w:before="80" w:after="80"/>
              <w:ind w:left="0"/>
              <w:jc w:val="both"/>
              <w:rPr>
                <w:b/>
                <w:bCs/>
                <w:szCs w:val="24"/>
              </w:rPr>
            </w:pPr>
            <w:r>
              <w:rPr>
                <w:b/>
                <w:bCs/>
                <w:szCs w:val="24"/>
              </w:rPr>
              <w:t>Área de Contenido y Curaduría</w:t>
            </w:r>
          </w:p>
        </w:tc>
        <w:tc>
          <w:tcPr>
            <w:tcW w:w="3117" w:type="dxa"/>
          </w:tcPr>
          <w:p w14:paraId="6F8A321F">
            <w:pPr>
              <w:pStyle w:val="32"/>
              <w:spacing w:before="80" w:after="80"/>
              <w:ind w:left="0"/>
              <w:jc w:val="both"/>
              <w:rPr>
                <w:szCs w:val="24"/>
              </w:rPr>
            </w:pPr>
            <w:r>
              <w:rPr>
                <w:szCs w:val="24"/>
              </w:rPr>
              <w:t>Gestiona la información turística del departamento: levantamiento, validación, actualización y producción editorial de destinos, rutas y experiencias.</w:t>
            </w:r>
          </w:p>
        </w:tc>
        <w:tc>
          <w:tcPr>
            <w:tcW w:w="3341" w:type="dxa"/>
          </w:tcPr>
          <w:p w14:paraId="23B1B757">
            <w:pPr>
              <w:pStyle w:val="32"/>
              <w:spacing w:before="80" w:after="80"/>
              <w:ind w:left="0"/>
              <w:jc w:val="both"/>
              <w:rPr>
                <w:szCs w:val="24"/>
              </w:rPr>
            </w:pPr>
            <w:r>
              <w:rPr>
                <w:szCs w:val="24"/>
              </w:rPr>
              <w:t>Prestadores, instituciones municipales, medios digitales.</w:t>
            </w:r>
          </w:p>
        </w:tc>
      </w:tr>
      <w:tr w14:paraId="2D3719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94" w:type="dxa"/>
            <w:shd w:val="clear" w:color="auto" w:fill="F1F1F1" w:themeFill="background1" w:themeFillShade="F2"/>
            <w:vAlign w:val="center"/>
          </w:tcPr>
          <w:p w14:paraId="0AD5FB63">
            <w:pPr>
              <w:pStyle w:val="32"/>
              <w:spacing w:before="80" w:after="80"/>
              <w:ind w:left="0"/>
              <w:jc w:val="both"/>
              <w:rPr>
                <w:b/>
                <w:bCs/>
                <w:szCs w:val="24"/>
              </w:rPr>
            </w:pPr>
            <w:r>
              <w:rPr>
                <w:b/>
                <w:bCs/>
                <w:szCs w:val="24"/>
              </w:rPr>
              <w:t>Área de Relaciones con Prestadores</w:t>
            </w:r>
          </w:p>
        </w:tc>
        <w:tc>
          <w:tcPr>
            <w:tcW w:w="3117" w:type="dxa"/>
            <w:shd w:val="clear" w:color="auto" w:fill="F1F1F1" w:themeFill="background1" w:themeFillShade="F2"/>
          </w:tcPr>
          <w:p w14:paraId="4E19C986">
            <w:pPr>
              <w:pStyle w:val="32"/>
              <w:spacing w:before="80" w:after="80"/>
              <w:ind w:left="0"/>
              <w:jc w:val="both"/>
              <w:rPr>
                <w:szCs w:val="24"/>
              </w:rPr>
            </w:pPr>
            <w:r>
              <w:rPr>
                <w:szCs w:val="24"/>
              </w:rPr>
              <w:t>Onboarding, capacitación, soporte y monitoreo de los proveedores registrados en la plataforma. Gestiona la calidad del catálogo.</w:t>
            </w:r>
          </w:p>
        </w:tc>
        <w:tc>
          <w:tcPr>
            <w:tcW w:w="3341" w:type="dxa"/>
            <w:shd w:val="clear" w:color="auto" w:fill="F1F1F1" w:themeFill="background1" w:themeFillShade="F2"/>
          </w:tcPr>
          <w:p w14:paraId="4E54FB3C">
            <w:pPr>
              <w:pStyle w:val="32"/>
              <w:spacing w:before="80" w:after="80"/>
              <w:ind w:left="0"/>
              <w:jc w:val="both"/>
              <w:rPr>
                <w:szCs w:val="24"/>
              </w:rPr>
            </w:pPr>
            <w:r>
              <w:rPr>
                <w:szCs w:val="24"/>
              </w:rPr>
              <w:t>Guías, hoteles, restaurantes, operadores de turismo.</w:t>
            </w:r>
          </w:p>
        </w:tc>
      </w:tr>
      <w:tr w14:paraId="2F61FE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94" w:type="dxa"/>
            <w:vAlign w:val="center"/>
          </w:tcPr>
          <w:p w14:paraId="35E08C0A">
            <w:pPr>
              <w:pStyle w:val="32"/>
              <w:spacing w:before="80" w:after="80"/>
              <w:ind w:left="0"/>
              <w:jc w:val="both"/>
              <w:rPr>
                <w:b/>
                <w:bCs/>
                <w:szCs w:val="24"/>
              </w:rPr>
            </w:pPr>
            <w:r>
              <w:rPr>
                <w:b/>
                <w:bCs/>
                <w:szCs w:val="24"/>
              </w:rPr>
              <w:t>Área de Experiencia del Usuario y Reputación</w:t>
            </w:r>
          </w:p>
        </w:tc>
        <w:tc>
          <w:tcPr>
            <w:tcW w:w="3117" w:type="dxa"/>
          </w:tcPr>
          <w:p w14:paraId="02692A16">
            <w:pPr>
              <w:pStyle w:val="32"/>
              <w:spacing w:before="80" w:after="80"/>
              <w:ind w:left="0"/>
              <w:jc w:val="both"/>
              <w:rPr>
                <w:szCs w:val="24"/>
              </w:rPr>
            </w:pPr>
            <w:r>
              <w:rPr>
                <w:szCs w:val="24"/>
              </w:rPr>
              <w:t>Diseña el recorrido del turista en la plataforma, gestiona el sistema de reseñas, modera evaluaciones y analiza indicadores de satisfacción.</w:t>
            </w:r>
          </w:p>
        </w:tc>
        <w:tc>
          <w:tcPr>
            <w:tcW w:w="3341" w:type="dxa"/>
          </w:tcPr>
          <w:p w14:paraId="71CECAAC">
            <w:pPr>
              <w:pStyle w:val="32"/>
              <w:spacing w:before="80" w:after="80"/>
              <w:ind w:left="0"/>
              <w:jc w:val="both"/>
              <w:rPr>
                <w:szCs w:val="24"/>
              </w:rPr>
            </w:pPr>
            <w:r>
              <w:rPr>
                <w:szCs w:val="24"/>
              </w:rPr>
              <w:t>Turistas, prestadores (retroalimentación).</w:t>
            </w:r>
          </w:p>
          <w:p w14:paraId="1780484A">
            <w:pPr>
              <w:jc w:val="both"/>
              <w:rPr>
                <w:szCs w:val="24"/>
              </w:rPr>
            </w:pPr>
          </w:p>
        </w:tc>
      </w:tr>
      <w:tr w14:paraId="779AA7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94" w:type="dxa"/>
            <w:shd w:val="clear" w:color="auto" w:fill="F1F1F1" w:themeFill="background1" w:themeFillShade="F2"/>
            <w:vAlign w:val="center"/>
          </w:tcPr>
          <w:p w14:paraId="5D6D4725">
            <w:pPr>
              <w:pStyle w:val="32"/>
              <w:spacing w:before="80" w:after="80"/>
              <w:ind w:left="0"/>
              <w:jc w:val="both"/>
              <w:rPr>
                <w:rFonts w:hint="default"/>
                <w:b/>
                <w:bCs/>
                <w:szCs w:val="24"/>
                <w:lang w:val="es-ES"/>
              </w:rPr>
            </w:pPr>
            <w:r>
              <w:rPr>
                <w:b/>
                <w:bCs/>
                <w:szCs w:val="24"/>
              </w:rPr>
              <w:t xml:space="preserve">Área de </w:t>
            </w:r>
            <w:r>
              <w:rPr>
                <w:rFonts w:hint="default"/>
                <w:b/>
                <w:bCs/>
                <w:szCs w:val="24"/>
                <w:lang w:val="es-ES"/>
              </w:rPr>
              <w:t>reservas</w:t>
            </w:r>
          </w:p>
        </w:tc>
        <w:tc>
          <w:tcPr>
            <w:tcW w:w="3117" w:type="dxa"/>
            <w:shd w:val="clear" w:color="auto" w:fill="F1F1F1" w:themeFill="background1" w:themeFillShade="F2"/>
          </w:tcPr>
          <w:p w14:paraId="444F3DB1">
            <w:pPr>
              <w:pStyle w:val="32"/>
              <w:spacing w:before="80" w:after="80"/>
              <w:ind w:left="0"/>
              <w:jc w:val="both"/>
              <w:rPr>
                <w:rFonts w:hint="default"/>
                <w:szCs w:val="24"/>
                <w:lang w:val="es-ES"/>
              </w:rPr>
            </w:pPr>
            <w:r>
              <w:rPr>
                <w:szCs w:val="24"/>
              </w:rPr>
              <w:t>Gestiona el ciclo de reserva</w:t>
            </w:r>
            <w:r>
              <w:rPr>
                <w:rFonts w:hint="default"/>
                <w:szCs w:val="24"/>
                <w:lang w:val="es-ES"/>
              </w:rPr>
              <w:t>.</w:t>
            </w:r>
          </w:p>
        </w:tc>
        <w:tc>
          <w:tcPr>
            <w:tcW w:w="3341" w:type="dxa"/>
            <w:shd w:val="clear" w:color="auto" w:fill="F1F1F1" w:themeFill="background1" w:themeFillShade="F2"/>
          </w:tcPr>
          <w:p w14:paraId="2EFE94AE">
            <w:pPr>
              <w:pStyle w:val="32"/>
              <w:tabs>
                <w:tab w:val="left" w:pos="954"/>
              </w:tabs>
              <w:spacing w:before="80" w:after="80"/>
              <w:ind w:left="0"/>
              <w:jc w:val="both"/>
              <w:rPr>
                <w:szCs w:val="24"/>
              </w:rPr>
            </w:pPr>
            <w:r>
              <w:rPr>
                <w:szCs w:val="24"/>
              </w:rPr>
              <w:t>Turistas, prestadores, aliados de pago.</w:t>
            </w:r>
          </w:p>
        </w:tc>
      </w:tr>
    </w:tbl>
    <w:p w14:paraId="2508C15E">
      <w:pPr>
        <w:spacing w:before="80" w:after="80"/>
      </w:pPr>
    </w:p>
    <w:p w14:paraId="4A706A80">
      <w:pPr>
        <w:pStyle w:val="32"/>
        <w:numPr>
          <w:ilvl w:val="1"/>
          <w:numId w:val="2"/>
        </w:numPr>
        <w:spacing w:before="80" w:after="80"/>
        <w:rPr>
          <w:b/>
          <w:bCs/>
        </w:rPr>
      </w:pPr>
      <w:r>
        <w:rPr>
          <w:b/>
          <w:bCs/>
        </w:rPr>
        <w:t xml:space="preserve">Servicios de negocio </w:t>
      </w:r>
    </w:p>
    <w:p w14:paraId="06F207C7">
      <w:pPr>
        <w:spacing w:before="80" w:after="80"/>
        <w:ind w:left="720" w:leftChars="0" w:firstLine="708" w:firstLineChars="0"/>
        <w:rPr>
          <w:b/>
          <w:bCs/>
        </w:rPr>
      </w:pPr>
      <w:r>
        <w:rPr>
          <w:color w:val="000000"/>
        </w:rPr>
        <w:t>Los servicios de negocio son las capacidades que Sincinaty pone a disposición de sus clientes y socios. Se distinguen servicios orientados al turista, al prestador y a las instituciones aliadas:</w:t>
      </w:r>
    </w:p>
    <w:p w14:paraId="0511DAB6">
      <w:pPr>
        <w:spacing w:before="80" w:after="80"/>
        <w:ind w:left="720"/>
        <w:rPr>
          <w:b/>
          <w:bCs/>
        </w:rPr>
      </w:pPr>
    </w:p>
    <w:tbl>
      <w:tblPr>
        <w:tblStyle w:val="57"/>
        <w:tblW w:w="0" w:type="auto"/>
        <w:tblInd w:w="603"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843"/>
        <w:gridCol w:w="3957"/>
        <w:gridCol w:w="3173"/>
      </w:tblGrid>
      <w:tr w14:paraId="190250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377" w:type="dxa"/>
          </w:tcPr>
          <w:p w14:paraId="685ECD1D">
            <w:pPr>
              <w:spacing w:before="80" w:after="80"/>
              <w:jc w:val="center"/>
              <w:rPr>
                <w:b/>
                <w:bCs/>
                <w:szCs w:val="24"/>
              </w:rPr>
            </w:pPr>
            <w:r>
              <w:rPr>
                <w:b/>
                <w:bCs/>
                <w:szCs w:val="24"/>
              </w:rPr>
              <w:t>Servicio</w:t>
            </w:r>
          </w:p>
        </w:tc>
        <w:tc>
          <w:tcPr>
            <w:tcW w:w="4253" w:type="dxa"/>
          </w:tcPr>
          <w:p w14:paraId="17EFD290">
            <w:pPr>
              <w:spacing w:before="80" w:after="80"/>
              <w:jc w:val="center"/>
              <w:rPr>
                <w:b/>
                <w:bCs/>
                <w:szCs w:val="24"/>
              </w:rPr>
            </w:pPr>
            <w:r>
              <w:rPr>
                <w:b/>
                <w:bCs/>
                <w:szCs w:val="24"/>
              </w:rPr>
              <w:t>Descripción</w:t>
            </w:r>
          </w:p>
        </w:tc>
        <w:tc>
          <w:tcPr>
            <w:tcW w:w="3322" w:type="dxa"/>
          </w:tcPr>
          <w:p w14:paraId="666DAFE8">
            <w:pPr>
              <w:spacing w:before="80" w:after="80"/>
              <w:jc w:val="center"/>
              <w:rPr>
                <w:b/>
                <w:bCs/>
                <w:szCs w:val="24"/>
              </w:rPr>
            </w:pPr>
            <w:r>
              <w:rPr>
                <w:b/>
                <w:bCs/>
                <w:szCs w:val="24"/>
              </w:rPr>
              <w:t>Beneficiario</w:t>
            </w:r>
          </w:p>
        </w:tc>
      </w:tr>
      <w:tr w14:paraId="39BD55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377" w:type="dxa"/>
            <w:shd w:val="clear" w:color="auto" w:fill="F1F1F1" w:themeFill="background1" w:themeFillShade="F2"/>
            <w:vAlign w:val="center"/>
          </w:tcPr>
          <w:p w14:paraId="08C66E87">
            <w:pPr>
              <w:spacing w:before="80" w:after="80"/>
              <w:jc w:val="left"/>
              <w:rPr>
                <w:b w:val="0"/>
                <w:bCs w:val="0"/>
                <w:szCs w:val="24"/>
              </w:rPr>
            </w:pPr>
            <w:r>
              <w:rPr>
                <w:b/>
                <w:bCs/>
                <w:szCs w:val="24"/>
              </w:rPr>
              <w:t>Descubrimiento de experiencias</w:t>
            </w:r>
          </w:p>
        </w:tc>
        <w:tc>
          <w:tcPr>
            <w:tcW w:w="4253" w:type="dxa"/>
            <w:shd w:val="clear" w:color="auto" w:fill="F1F1F1" w:themeFill="background1" w:themeFillShade="F2"/>
          </w:tcPr>
          <w:p w14:paraId="3F8AD60F">
            <w:pPr>
              <w:spacing w:before="80" w:after="80"/>
              <w:jc w:val="both"/>
              <w:rPr>
                <w:b/>
                <w:bCs/>
                <w:szCs w:val="24"/>
              </w:rPr>
            </w:pPr>
            <w:r>
              <w:rPr>
                <w:szCs w:val="24"/>
              </w:rPr>
              <w:t>Catálogo curado de destinos, rutas, actividades y festividades del departamento de Sucre, con filtros por tipo de turismo, municipio y temporada.</w:t>
            </w:r>
          </w:p>
        </w:tc>
        <w:tc>
          <w:tcPr>
            <w:tcW w:w="3322" w:type="dxa"/>
            <w:shd w:val="clear" w:color="auto" w:fill="F1F1F1" w:themeFill="background1" w:themeFillShade="F2"/>
          </w:tcPr>
          <w:p w14:paraId="4C42CCF3">
            <w:pPr>
              <w:spacing w:before="80" w:after="80"/>
              <w:jc w:val="both"/>
              <w:rPr>
                <w:b/>
                <w:bCs/>
                <w:szCs w:val="24"/>
              </w:rPr>
            </w:pPr>
            <w:r>
              <w:rPr>
                <w:szCs w:val="24"/>
              </w:rPr>
              <w:t>Turistas nacionales, internacionales y locales.</w:t>
            </w:r>
          </w:p>
        </w:tc>
      </w:tr>
      <w:tr w14:paraId="24838B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377" w:type="dxa"/>
            <w:vAlign w:val="center"/>
          </w:tcPr>
          <w:p w14:paraId="2F822311">
            <w:pPr>
              <w:spacing w:before="80" w:after="80"/>
              <w:jc w:val="left"/>
              <w:rPr>
                <w:b w:val="0"/>
                <w:bCs w:val="0"/>
                <w:szCs w:val="24"/>
              </w:rPr>
            </w:pPr>
            <w:r>
              <w:rPr>
                <w:b/>
                <w:bCs/>
                <w:szCs w:val="24"/>
              </w:rPr>
              <w:t>Planificación personalizada de itinerarios</w:t>
            </w:r>
          </w:p>
        </w:tc>
        <w:tc>
          <w:tcPr>
            <w:tcW w:w="4253" w:type="dxa"/>
          </w:tcPr>
          <w:p w14:paraId="2E880411">
            <w:pPr>
              <w:spacing w:before="80" w:after="80"/>
              <w:jc w:val="both"/>
              <w:rPr>
                <w:b/>
                <w:bCs/>
                <w:szCs w:val="24"/>
              </w:rPr>
            </w:pPr>
            <w:r>
              <w:rPr>
                <w:szCs w:val="24"/>
              </w:rPr>
              <w:t>El usuario construye un itinerario adaptado a su perfil, intereses y tiempo disponible, con recomendaciones basadas en su historial y preferencias.</w:t>
            </w:r>
          </w:p>
        </w:tc>
        <w:tc>
          <w:tcPr>
            <w:tcW w:w="3322" w:type="dxa"/>
          </w:tcPr>
          <w:p w14:paraId="3310BF31">
            <w:pPr>
              <w:spacing w:before="80" w:after="80"/>
              <w:jc w:val="both"/>
              <w:rPr>
                <w:b/>
                <w:bCs/>
                <w:szCs w:val="24"/>
              </w:rPr>
            </w:pPr>
            <w:r>
              <w:rPr>
                <w:szCs w:val="24"/>
              </w:rPr>
              <w:t>Turistas.</w:t>
            </w:r>
          </w:p>
        </w:tc>
      </w:tr>
      <w:tr w14:paraId="77C72A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377" w:type="dxa"/>
            <w:shd w:val="clear" w:color="auto" w:fill="F1F1F1" w:themeFill="background1" w:themeFillShade="F2"/>
          </w:tcPr>
          <w:p w14:paraId="65889928">
            <w:pPr>
              <w:spacing w:before="80" w:after="80"/>
              <w:jc w:val="left"/>
              <w:rPr>
                <w:b w:val="0"/>
                <w:bCs w:val="0"/>
                <w:szCs w:val="24"/>
              </w:rPr>
            </w:pPr>
            <w:r>
              <w:rPr>
                <w:b/>
                <w:bCs/>
                <w:szCs w:val="24"/>
              </w:rPr>
              <w:t>Reserva y confirmación de servicios</w:t>
            </w:r>
          </w:p>
        </w:tc>
        <w:tc>
          <w:tcPr>
            <w:tcW w:w="4253" w:type="dxa"/>
            <w:shd w:val="clear" w:color="auto" w:fill="F1F1F1" w:themeFill="background1" w:themeFillShade="F2"/>
          </w:tcPr>
          <w:p w14:paraId="44687517">
            <w:pPr>
              <w:spacing w:before="80" w:after="80"/>
              <w:jc w:val="both"/>
              <w:rPr>
                <w:rFonts w:hint="default"/>
                <w:b/>
                <w:bCs/>
                <w:szCs w:val="24"/>
                <w:lang w:val="es-ES"/>
              </w:rPr>
            </w:pPr>
            <w:r>
              <w:rPr>
                <w:szCs w:val="24"/>
              </w:rPr>
              <w:t>Canal directo para reservar con prestadores verificados</w:t>
            </w:r>
            <w:r>
              <w:rPr>
                <w:rFonts w:hint="default"/>
                <w:szCs w:val="24"/>
                <w:lang w:val="es-ES"/>
              </w:rPr>
              <w:t xml:space="preserve"> y</w:t>
            </w:r>
            <w:r>
              <w:rPr>
                <w:szCs w:val="24"/>
              </w:rPr>
              <w:t xml:space="preserve"> con confirmación en tiempo real</w:t>
            </w:r>
            <w:r>
              <w:rPr>
                <w:rFonts w:hint="default"/>
                <w:szCs w:val="24"/>
                <w:lang w:val="es-ES"/>
              </w:rPr>
              <w:t>.</w:t>
            </w:r>
          </w:p>
        </w:tc>
        <w:tc>
          <w:tcPr>
            <w:tcW w:w="3322" w:type="dxa"/>
            <w:shd w:val="clear" w:color="auto" w:fill="F1F1F1" w:themeFill="background1" w:themeFillShade="F2"/>
          </w:tcPr>
          <w:p w14:paraId="7660B9DC">
            <w:pPr>
              <w:spacing w:before="80" w:after="80"/>
              <w:jc w:val="both"/>
              <w:rPr>
                <w:b/>
                <w:bCs/>
                <w:szCs w:val="24"/>
              </w:rPr>
            </w:pPr>
            <w:r>
              <w:rPr>
                <w:szCs w:val="24"/>
              </w:rPr>
              <w:t>Turistas y prestadores.</w:t>
            </w:r>
          </w:p>
        </w:tc>
      </w:tr>
      <w:tr w14:paraId="2CDDA0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377" w:type="dxa"/>
            <w:vAlign w:val="center"/>
          </w:tcPr>
          <w:p w14:paraId="2EAADB58">
            <w:pPr>
              <w:spacing w:before="80" w:after="80"/>
              <w:jc w:val="left"/>
              <w:rPr>
                <w:b w:val="0"/>
                <w:bCs w:val="0"/>
                <w:szCs w:val="24"/>
              </w:rPr>
            </w:pPr>
            <w:r>
              <w:rPr>
                <w:b/>
                <w:bCs/>
                <w:szCs w:val="24"/>
              </w:rPr>
              <w:t>Portal de prestadores</w:t>
            </w:r>
          </w:p>
        </w:tc>
        <w:tc>
          <w:tcPr>
            <w:tcW w:w="4253" w:type="dxa"/>
          </w:tcPr>
          <w:p w14:paraId="6BAD7956">
            <w:pPr>
              <w:spacing w:before="80" w:after="80"/>
              <w:jc w:val="both"/>
              <w:rPr>
                <w:b/>
                <w:bCs/>
                <w:szCs w:val="24"/>
              </w:rPr>
            </w:pPr>
            <w:r>
              <w:rPr>
                <w:szCs w:val="24"/>
              </w:rPr>
              <w:t>Espacio donde los proveedores gestionan su perfil, publican su oferta, reciben reservas, consultan sus calificaciones y acceden a formación básica en turismo digital.</w:t>
            </w:r>
          </w:p>
        </w:tc>
        <w:tc>
          <w:tcPr>
            <w:tcW w:w="3322" w:type="dxa"/>
          </w:tcPr>
          <w:p w14:paraId="7914C52F">
            <w:pPr>
              <w:spacing w:before="80" w:after="80"/>
              <w:jc w:val="both"/>
              <w:rPr>
                <w:b/>
                <w:bCs/>
                <w:szCs w:val="24"/>
              </w:rPr>
            </w:pPr>
            <w:r>
              <w:rPr>
                <w:szCs w:val="24"/>
              </w:rPr>
              <w:t>Prestadores de servicios turísticos.</w:t>
            </w:r>
          </w:p>
        </w:tc>
      </w:tr>
      <w:tr w14:paraId="35FCE2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377" w:type="dxa"/>
            <w:shd w:val="clear" w:color="auto" w:fill="F1F1F1" w:themeFill="background1" w:themeFillShade="F2"/>
          </w:tcPr>
          <w:p w14:paraId="4D621A4C">
            <w:pPr>
              <w:spacing w:before="80" w:after="80"/>
              <w:jc w:val="left"/>
              <w:rPr>
                <w:b w:val="0"/>
                <w:bCs w:val="0"/>
                <w:szCs w:val="24"/>
              </w:rPr>
            </w:pPr>
            <w:r>
              <w:rPr>
                <w:b/>
                <w:bCs/>
                <w:szCs w:val="24"/>
              </w:rPr>
              <w:t>Sistema de reseñas verificadas</w:t>
            </w:r>
          </w:p>
        </w:tc>
        <w:tc>
          <w:tcPr>
            <w:tcW w:w="4253" w:type="dxa"/>
            <w:shd w:val="clear" w:color="auto" w:fill="F1F1F1" w:themeFill="background1" w:themeFillShade="F2"/>
          </w:tcPr>
          <w:p w14:paraId="4797B55E">
            <w:pPr>
              <w:spacing w:before="80" w:after="80"/>
              <w:jc w:val="both"/>
              <w:rPr>
                <w:b/>
                <w:bCs/>
                <w:szCs w:val="24"/>
              </w:rPr>
            </w:pPr>
            <w:r>
              <w:rPr>
                <w:szCs w:val="24"/>
              </w:rPr>
              <w:t>Plataforma de evaluación post-experiencia donde los turistas califican y comentan sobre prestadores y destinos. Las reseñas son verificadas y moderadas.</w:t>
            </w:r>
          </w:p>
        </w:tc>
        <w:tc>
          <w:tcPr>
            <w:tcW w:w="3322" w:type="dxa"/>
            <w:shd w:val="clear" w:color="auto" w:fill="F1F1F1" w:themeFill="background1" w:themeFillShade="F2"/>
          </w:tcPr>
          <w:p w14:paraId="2215B63C">
            <w:pPr>
              <w:spacing w:before="80" w:after="80"/>
              <w:jc w:val="both"/>
              <w:rPr>
                <w:b/>
                <w:bCs/>
                <w:szCs w:val="24"/>
              </w:rPr>
            </w:pPr>
            <w:r>
              <w:rPr>
                <w:szCs w:val="24"/>
              </w:rPr>
              <w:t>Turistas (información) y prestadores (retroalimentación).</w:t>
            </w:r>
          </w:p>
        </w:tc>
      </w:tr>
      <w:tr w14:paraId="00243B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377" w:type="dxa"/>
            <w:vAlign w:val="center"/>
          </w:tcPr>
          <w:p w14:paraId="44AEEA4F">
            <w:pPr>
              <w:spacing w:before="80" w:after="80"/>
              <w:jc w:val="left"/>
              <w:rPr>
                <w:b w:val="0"/>
                <w:bCs w:val="0"/>
                <w:szCs w:val="24"/>
              </w:rPr>
            </w:pPr>
            <w:r>
              <w:rPr>
                <w:b/>
                <w:bCs/>
                <w:szCs w:val="24"/>
              </w:rPr>
              <w:t>Inteligencia turística regional</w:t>
            </w:r>
          </w:p>
        </w:tc>
        <w:tc>
          <w:tcPr>
            <w:tcW w:w="4253" w:type="dxa"/>
          </w:tcPr>
          <w:p w14:paraId="055FB3BE">
            <w:pPr>
              <w:tabs>
                <w:tab w:val="left" w:pos="2036"/>
              </w:tabs>
              <w:spacing w:before="80" w:after="80"/>
              <w:jc w:val="both"/>
              <w:rPr>
                <w:b/>
                <w:bCs/>
                <w:szCs w:val="24"/>
              </w:rPr>
            </w:pPr>
            <w:r>
              <w:rPr>
                <w:szCs w:val="24"/>
              </w:rPr>
              <w:t>Reportes y análisis de comportamiento del visitante, tendencias de demanda y desempeño del ecosistema, compartidos con aliados institucionales.</w:t>
            </w:r>
          </w:p>
        </w:tc>
        <w:tc>
          <w:tcPr>
            <w:tcW w:w="3322" w:type="dxa"/>
          </w:tcPr>
          <w:p w14:paraId="437F27BC">
            <w:pPr>
              <w:spacing w:before="80" w:after="80"/>
              <w:jc w:val="both"/>
              <w:rPr>
                <w:b/>
                <w:bCs/>
                <w:szCs w:val="24"/>
              </w:rPr>
            </w:pPr>
            <w:r>
              <w:rPr>
                <w:szCs w:val="24"/>
              </w:rPr>
              <w:t>Gobernación, Fontur, Cámara de Comercio.</w:t>
            </w:r>
          </w:p>
        </w:tc>
      </w:tr>
    </w:tbl>
    <w:p w14:paraId="3686D88A">
      <w:pPr>
        <w:spacing w:before="80" w:after="80"/>
        <w:ind w:left="720"/>
        <w:rPr>
          <w:b/>
          <w:bCs/>
        </w:rPr>
      </w:pPr>
    </w:p>
    <w:p w14:paraId="7141B1A4">
      <w:pPr>
        <w:pStyle w:val="32"/>
        <w:numPr>
          <w:ilvl w:val="0"/>
          <w:numId w:val="2"/>
        </w:numPr>
        <w:spacing w:before="80" w:after="80"/>
        <w:rPr>
          <w:b/>
          <w:bCs/>
        </w:rPr>
      </w:pPr>
      <w:r>
        <w:rPr>
          <w:b/>
          <w:bCs/>
        </w:rPr>
        <w:t>Análisis</w:t>
      </w:r>
      <w:r>
        <w:rPr>
          <w:rFonts w:hint="default"/>
          <w:b/>
          <w:bCs/>
          <w:lang w:val="es-ES"/>
        </w:rPr>
        <w:t xml:space="preserve">  </w:t>
      </w:r>
      <w:r>
        <w:rPr>
          <w:b/>
          <w:bCs/>
        </w:rPr>
        <w:t>AS-IS vs TO-BE</w:t>
      </w:r>
    </w:p>
    <w:p w14:paraId="6CBD7997">
      <w:pPr>
        <w:pStyle w:val="32"/>
        <w:spacing w:before="80" w:after="80"/>
        <w:ind w:left="360" w:firstLine="704" w:firstLineChars="0"/>
      </w:pPr>
      <w:r>
        <w:rPr>
          <w:color w:val="000000"/>
        </w:rPr>
        <w:t>La tabla comparativa a continuación contrasta el estado actual del ecosistema turístico de Sucre (AS-IS) con el estado futuro que Sincinaty busca construir (TO-BE), en términos de procesos, datos y toma de decisiones. El análisis permite identificar las brechas que la arquitectura de negocio debe cerrar.</w:t>
      </w:r>
    </w:p>
    <w:p w14:paraId="194F5DA9">
      <w:pPr>
        <w:spacing w:before="80" w:after="80"/>
        <w:ind w:left="360"/>
        <w:rPr>
          <w:b/>
          <w:bCs/>
        </w:rPr>
      </w:pPr>
      <w:r>
        <w:rPr>
          <w:b/>
          <w:bCs/>
        </w:rPr>
        <w:t>Procesos de operación central</w:t>
      </w:r>
    </w:p>
    <w:tbl>
      <w:tblPr>
        <w:tblStyle w:val="57"/>
        <w:tblW w:w="0" w:type="auto"/>
        <w:tblInd w:w="612"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803"/>
        <w:gridCol w:w="4204"/>
        <w:gridCol w:w="2957"/>
      </w:tblGrid>
      <w:tr w14:paraId="06B1A3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03" w:type="dxa"/>
          </w:tcPr>
          <w:p w14:paraId="006EF84C">
            <w:pPr>
              <w:spacing w:before="80" w:after="80"/>
              <w:rPr>
                <w:b/>
                <w:bCs/>
                <w:szCs w:val="24"/>
              </w:rPr>
            </w:pPr>
            <w:r>
              <w:rPr>
                <w:b/>
                <w:bCs/>
                <w:szCs w:val="24"/>
              </w:rPr>
              <w:t>Dimensión</w:t>
            </w:r>
          </w:p>
        </w:tc>
        <w:tc>
          <w:tcPr>
            <w:tcW w:w="4204" w:type="dxa"/>
          </w:tcPr>
          <w:p w14:paraId="3C382D10">
            <w:pPr>
              <w:spacing w:before="80" w:after="80"/>
              <w:rPr>
                <w:b/>
                <w:bCs/>
                <w:szCs w:val="24"/>
              </w:rPr>
            </w:pPr>
            <w:r>
              <w:rPr>
                <w:b/>
                <w:bCs/>
                <w:szCs w:val="24"/>
              </w:rPr>
              <w:t>AS-IS (Estado Actual)</w:t>
            </w:r>
          </w:p>
        </w:tc>
        <w:tc>
          <w:tcPr>
            <w:tcW w:w="2957" w:type="dxa"/>
          </w:tcPr>
          <w:p w14:paraId="52259428">
            <w:pPr>
              <w:spacing w:before="80" w:after="80"/>
              <w:rPr>
                <w:b/>
                <w:bCs/>
                <w:szCs w:val="24"/>
              </w:rPr>
            </w:pPr>
            <w:r>
              <w:rPr>
                <w:b/>
                <w:bCs/>
                <w:szCs w:val="24"/>
              </w:rPr>
              <w:t>TO-BE (Estado futuro con Sincinaty</w:t>
            </w:r>
          </w:p>
        </w:tc>
      </w:tr>
      <w:tr w14:paraId="2CEFF4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03" w:type="dxa"/>
            <w:shd w:val="clear" w:color="auto" w:fill="F1F1F1" w:themeFill="background1" w:themeFillShade="F2"/>
          </w:tcPr>
          <w:p w14:paraId="67DCADC4">
            <w:pPr>
              <w:spacing w:before="80" w:after="80"/>
              <w:rPr>
                <w:b/>
                <w:bCs/>
                <w:szCs w:val="24"/>
              </w:rPr>
            </w:pPr>
            <w:r>
              <w:rPr>
                <w:b/>
                <w:bCs/>
                <w:szCs w:val="24"/>
              </w:rPr>
              <w:t>Procesos de difusión turística</w:t>
            </w:r>
          </w:p>
        </w:tc>
        <w:tc>
          <w:tcPr>
            <w:tcW w:w="4204" w:type="dxa"/>
            <w:shd w:val="clear" w:color="auto" w:fill="F1F1F1" w:themeFill="background1" w:themeFillShade="F2"/>
          </w:tcPr>
          <w:p w14:paraId="18032BF8">
            <w:pPr>
              <w:spacing w:before="80" w:after="80"/>
              <w:rPr>
                <w:szCs w:val="24"/>
              </w:rPr>
            </w:pPr>
            <w:r>
              <w:rPr>
                <w:szCs w:val="24"/>
              </w:rPr>
              <w:t>La información se distribuye de forma desarticulada: folletos físicos, redes sociales de prestadores individuales y páginas web desactualizadas. No existe un canal unificado.</w:t>
            </w:r>
          </w:p>
        </w:tc>
        <w:tc>
          <w:tcPr>
            <w:tcW w:w="2957" w:type="dxa"/>
            <w:shd w:val="clear" w:color="auto" w:fill="F1F1F1" w:themeFill="background1" w:themeFillShade="F2"/>
          </w:tcPr>
          <w:p w14:paraId="4CBA94EC">
            <w:pPr>
              <w:spacing w:before="80" w:after="80"/>
              <w:jc w:val="left"/>
              <w:rPr>
                <w:szCs w:val="24"/>
              </w:rPr>
            </w:pPr>
            <w:r>
              <w:rPr>
                <w:szCs w:val="24"/>
              </w:rPr>
              <w:t>Sincinaty centraliza y cuida el contenido turístico del departamento, distribuyendo información actualizada, estructurada y diferenciada a través de un único canal digital.</w:t>
            </w:r>
          </w:p>
        </w:tc>
      </w:tr>
      <w:tr w14:paraId="008B70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03" w:type="dxa"/>
          </w:tcPr>
          <w:p w14:paraId="0C8A93FA">
            <w:pPr>
              <w:spacing w:before="80" w:after="80"/>
              <w:rPr>
                <w:b/>
                <w:bCs/>
                <w:szCs w:val="24"/>
              </w:rPr>
            </w:pPr>
            <w:r>
              <w:rPr>
                <w:b/>
                <w:bCs/>
                <w:szCs w:val="24"/>
              </w:rPr>
              <w:t>Proceso de descubrimiento del turista</w:t>
            </w:r>
          </w:p>
        </w:tc>
        <w:tc>
          <w:tcPr>
            <w:tcW w:w="4204" w:type="dxa"/>
          </w:tcPr>
          <w:p w14:paraId="3B5B8C5A">
            <w:pPr>
              <w:spacing w:before="80" w:after="80"/>
              <w:rPr>
                <w:szCs w:val="24"/>
              </w:rPr>
            </w:pPr>
            <w:r>
              <w:rPr>
                <w:szCs w:val="24"/>
              </w:rPr>
              <w:t>El turista debe recurrir a múltiples fuentes (Google, TripAdvisor, conocidos) para armar un itinerario sobre Sucre. La información es genérica e incompleta.</w:t>
            </w:r>
          </w:p>
        </w:tc>
        <w:tc>
          <w:tcPr>
            <w:tcW w:w="2957" w:type="dxa"/>
          </w:tcPr>
          <w:p w14:paraId="42242AD1">
            <w:pPr>
              <w:spacing w:before="80" w:after="80"/>
              <w:rPr>
                <w:szCs w:val="24"/>
              </w:rPr>
            </w:pPr>
            <w:r>
              <w:rPr>
                <w:szCs w:val="24"/>
              </w:rPr>
              <w:t>El turista descubre, explora y planifica su experiencia en Sucre desde una sola plataforma, con recomendaciones personalizadas según su perfil e intereses.</w:t>
            </w:r>
          </w:p>
        </w:tc>
      </w:tr>
      <w:tr w14:paraId="30AD939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03" w:type="dxa"/>
            <w:shd w:val="clear" w:color="auto" w:fill="F1F1F1" w:themeFill="background1" w:themeFillShade="F2"/>
          </w:tcPr>
          <w:p w14:paraId="0071C4B5">
            <w:pPr>
              <w:jc w:val="both"/>
              <w:rPr>
                <w:b/>
                <w:bCs/>
                <w:szCs w:val="24"/>
              </w:rPr>
            </w:pPr>
            <w:r>
              <w:rPr>
                <w:b/>
                <w:bCs/>
                <w:szCs w:val="24"/>
              </w:rPr>
              <w:t>Proceso de reservas</w:t>
            </w:r>
          </w:p>
        </w:tc>
        <w:tc>
          <w:tcPr>
            <w:tcW w:w="4204" w:type="dxa"/>
            <w:shd w:val="clear" w:color="auto" w:fill="F1F1F1" w:themeFill="background1" w:themeFillShade="F2"/>
          </w:tcPr>
          <w:p w14:paraId="2793FB65">
            <w:pPr>
              <w:spacing w:before="80" w:after="80"/>
              <w:jc w:val="both"/>
              <w:rPr>
                <w:szCs w:val="24"/>
              </w:rPr>
            </w:pPr>
            <w:r>
              <w:rPr>
                <w:szCs w:val="24"/>
              </w:rPr>
              <w:t>Las reservas se hacen por teléfono o WhatsApp de forma directa con el prestador, sin confirmación formal, sin gestión de pago integrado y con alta tasa de cancelación.</w:t>
            </w:r>
          </w:p>
        </w:tc>
        <w:tc>
          <w:tcPr>
            <w:tcW w:w="2957" w:type="dxa"/>
            <w:shd w:val="clear" w:color="auto" w:fill="F1F1F1" w:themeFill="background1" w:themeFillShade="F2"/>
          </w:tcPr>
          <w:p w14:paraId="73201409">
            <w:pPr>
              <w:spacing w:before="80" w:after="80"/>
              <w:jc w:val="both"/>
              <w:rPr>
                <w:rFonts w:hint="default"/>
                <w:b/>
                <w:bCs/>
                <w:szCs w:val="24"/>
                <w:lang w:val="es-ES"/>
              </w:rPr>
            </w:pPr>
            <w:r>
              <w:rPr>
                <w:szCs w:val="24"/>
              </w:rPr>
              <w:t>Las reservas se gestionan en la plataforma con confirmación automática</w:t>
            </w:r>
            <w:r>
              <w:rPr>
                <w:rFonts w:hint="default"/>
                <w:szCs w:val="24"/>
                <w:lang w:val="es-ES"/>
              </w:rPr>
              <w:t>.</w:t>
            </w:r>
          </w:p>
        </w:tc>
      </w:tr>
      <w:tr w14:paraId="561514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03" w:type="dxa"/>
          </w:tcPr>
          <w:p w14:paraId="0E04FDAD">
            <w:pPr>
              <w:spacing w:before="80" w:after="80"/>
              <w:rPr>
                <w:b/>
                <w:bCs/>
                <w:szCs w:val="24"/>
              </w:rPr>
            </w:pPr>
            <w:r>
              <w:rPr>
                <w:b/>
                <w:bCs/>
                <w:szCs w:val="24"/>
              </w:rPr>
              <w:t>Gestión de prestadores</w:t>
            </w:r>
          </w:p>
        </w:tc>
        <w:tc>
          <w:tcPr>
            <w:tcW w:w="4204" w:type="dxa"/>
          </w:tcPr>
          <w:p w14:paraId="70849130">
            <w:pPr>
              <w:spacing w:before="80" w:after="80"/>
              <w:rPr>
                <w:szCs w:val="24"/>
              </w:rPr>
            </w:pPr>
            <w:r>
              <w:rPr>
                <w:szCs w:val="24"/>
              </w:rPr>
              <w:t>Los prestadores operan de forma independiente, sin estándares de calidad verificables ni visibilidad digital estructurada. El acceso al mercado depende de redes personales.</w:t>
            </w:r>
          </w:p>
        </w:tc>
        <w:tc>
          <w:tcPr>
            <w:tcW w:w="2957" w:type="dxa"/>
          </w:tcPr>
          <w:p w14:paraId="28C2D93F">
            <w:pPr>
              <w:spacing w:before="80" w:after="80"/>
              <w:rPr>
                <w:szCs w:val="24"/>
              </w:rPr>
            </w:pPr>
            <w:r>
              <w:rPr>
                <w:szCs w:val="24"/>
              </w:rPr>
              <w:t>Sincinaty registra, valida y acompaña a los prestadores en su presencia digital, exigiendo estándares mínimos de calidad y ofreciéndoles un canal de ventas permanente.</w:t>
            </w:r>
          </w:p>
        </w:tc>
      </w:tr>
      <w:tr w14:paraId="704D3E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03" w:type="dxa"/>
            <w:shd w:val="clear" w:color="auto" w:fill="F1F1F1" w:themeFill="background1" w:themeFillShade="F2"/>
          </w:tcPr>
          <w:p w14:paraId="002DEBFF">
            <w:pPr>
              <w:spacing w:before="80" w:after="80"/>
              <w:rPr>
                <w:b w:val="0"/>
                <w:bCs w:val="0"/>
                <w:szCs w:val="24"/>
              </w:rPr>
            </w:pPr>
            <w:r>
              <w:rPr>
                <w:b/>
                <w:bCs/>
                <w:szCs w:val="24"/>
              </w:rPr>
              <w:t>Sistema de reputación</w:t>
            </w:r>
          </w:p>
        </w:tc>
        <w:tc>
          <w:tcPr>
            <w:tcW w:w="4204" w:type="dxa"/>
            <w:shd w:val="clear" w:color="auto" w:fill="F1F1F1" w:themeFill="background1" w:themeFillShade="F2"/>
          </w:tcPr>
          <w:p w14:paraId="7CC34B6F">
            <w:pPr>
              <w:spacing w:before="80" w:after="80"/>
              <w:rPr>
                <w:szCs w:val="24"/>
              </w:rPr>
            </w:pPr>
            <w:r>
              <w:rPr>
                <w:szCs w:val="24"/>
              </w:rPr>
              <w:t>No existe un sistema de reseñas confiable para el turismo en Sucre. Las valoraciones son anecdóticas o inexistentes, lo que dificulta la toma de decisión del turista.</w:t>
            </w:r>
          </w:p>
        </w:tc>
        <w:tc>
          <w:tcPr>
            <w:tcW w:w="2957" w:type="dxa"/>
            <w:shd w:val="clear" w:color="auto" w:fill="F1F1F1" w:themeFill="background1" w:themeFillShade="F2"/>
          </w:tcPr>
          <w:p w14:paraId="6B31CB32">
            <w:pPr>
              <w:spacing w:before="80" w:after="80"/>
              <w:rPr>
                <w:szCs w:val="24"/>
              </w:rPr>
            </w:pPr>
            <w:r>
              <w:rPr>
                <w:szCs w:val="24"/>
              </w:rPr>
              <w:t>La plataforma cuenta con un sistema de reseñas verificadas que construye la reputación de prestadores y destinos, orientando las decisiones del turista y motivando la mejora continua.</w:t>
            </w:r>
          </w:p>
        </w:tc>
      </w:tr>
      <w:tr w14:paraId="76B619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03" w:type="dxa"/>
          </w:tcPr>
          <w:p w14:paraId="5E6BCE91">
            <w:pPr>
              <w:spacing w:before="80" w:after="80"/>
              <w:rPr>
                <w:b w:val="0"/>
                <w:bCs w:val="0"/>
                <w:szCs w:val="24"/>
              </w:rPr>
            </w:pPr>
            <w:r>
              <w:rPr>
                <w:b/>
                <w:bCs/>
                <w:szCs w:val="24"/>
              </w:rPr>
              <w:t>Datos y toma de decisiones</w:t>
            </w:r>
          </w:p>
        </w:tc>
        <w:tc>
          <w:tcPr>
            <w:tcW w:w="4204" w:type="dxa"/>
          </w:tcPr>
          <w:p w14:paraId="68E073A7">
            <w:pPr>
              <w:spacing w:before="80" w:after="80"/>
              <w:rPr>
                <w:szCs w:val="24"/>
              </w:rPr>
            </w:pPr>
            <w:r>
              <w:rPr>
                <w:szCs w:val="24"/>
              </w:rPr>
              <w:t>Las instituciones y prestadores no cuentan con datos consolidados sobre el comportamiento del turista (rutas preferidas, temporadas, perfiles de visitante). La planificación es intuitiva.</w:t>
            </w:r>
          </w:p>
        </w:tc>
        <w:tc>
          <w:tcPr>
            <w:tcW w:w="2957" w:type="dxa"/>
          </w:tcPr>
          <w:p w14:paraId="05C1CBDA">
            <w:pPr>
              <w:spacing w:before="80" w:after="80"/>
              <w:rPr>
                <w:szCs w:val="24"/>
              </w:rPr>
            </w:pPr>
            <w:r>
              <w:rPr>
                <w:szCs w:val="24"/>
              </w:rPr>
              <w:t>Sincinaty genera datos sobre preferencias, reservas y evaluaciones que alimentan decisiones del prestador, de la empresa y de las instituciones públicas para orientar la política turística regional.</w:t>
            </w:r>
          </w:p>
        </w:tc>
      </w:tr>
      <w:tr w14:paraId="4B4D15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03" w:type="dxa"/>
            <w:shd w:val="clear" w:color="auto" w:fill="F1F1F1" w:themeFill="background1" w:themeFillShade="F2"/>
          </w:tcPr>
          <w:p w14:paraId="42F0A8EA">
            <w:pPr>
              <w:spacing w:before="80" w:after="80"/>
              <w:rPr>
                <w:b w:val="0"/>
                <w:bCs w:val="0"/>
                <w:szCs w:val="24"/>
              </w:rPr>
            </w:pPr>
            <w:r>
              <w:rPr>
                <w:b/>
                <w:bCs/>
                <w:szCs w:val="24"/>
              </w:rPr>
              <w:t>Alianzas y ecosistema</w:t>
            </w:r>
          </w:p>
        </w:tc>
        <w:tc>
          <w:tcPr>
            <w:tcW w:w="4204" w:type="dxa"/>
            <w:shd w:val="clear" w:color="auto" w:fill="F1F1F1" w:themeFill="background1" w:themeFillShade="F2"/>
          </w:tcPr>
          <w:p w14:paraId="258D03A2">
            <w:pPr>
              <w:spacing w:before="80" w:after="80"/>
              <w:rPr>
                <w:szCs w:val="24"/>
              </w:rPr>
            </w:pPr>
            <w:r>
              <w:rPr>
                <w:szCs w:val="24"/>
              </w:rPr>
              <w:t>Las relaciones entre instituciones públicas, gremios y prestadores son informales y reactivas. No existe un actor que articule el ecosistema turístico de forma sistemática.</w:t>
            </w:r>
          </w:p>
        </w:tc>
        <w:tc>
          <w:tcPr>
            <w:tcW w:w="2957" w:type="dxa"/>
            <w:shd w:val="clear" w:color="auto" w:fill="F1F1F1" w:themeFill="background1" w:themeFillShade="F2"/>
          </w:tcPr>
          <w:p w14:paraId="2DD12389">
            <w:pPr>
              <w:spacing w:before="80" w:after="80"/>
              <w:rPr>
                <w:szCs w:val="24"/>
              </w:rPr>
            </w:pPr>
            <w:r>
              <w:rPr>
                <w:szCs w:val="24"/>
              </w:rPr>
              <w:t>Sincinaty actúa como orquestador del ecosistema, manteniendo alianzas formales con la Gobernación, Fontur, Cámara de Comercio y medios digitales que potencian la plataforma.</w:t>
            </w:r>
          </w:p>
        </w:tc>
      </w:tr>
    </w:tbl>
    <w:p w14:paraId="4AFF1D83">
      <w:pPr>
        <w:bidi w:val="0"/>
      </w:pPr>
    </w:p>
    <w:p w14:paraId="780F0C02">
      <w:pPr>
        <w:bidi w:val="0"/>
        <w:ind w:firstLine="708" w:firstLineChars="0"/>
      </w:pPr>
      <w:r>
        <w:t>La brecha más significativa entre el AS-IS y el TO-BE no es tecnológica: es organizacional y de datos. Sucre cuenta hoy con una oferta turística real y valiosa, pero carece de un actor que la articule, la valide y la c+omunique de forma estructurada. Sincinaty cierra esa brecha operando como orquestador del ecosistema, no como simple directorio de servicios.</w:t>
      </w:r>
    </w:p>
    <w:p w14:paraId="003478E8">
      <w:pPr>
        <w:spacing w:before="80" w:after="80"/>
        <w:ind w:left="360"/>
      </w:pPr>
    </w:p>
    <w:p w14:paraId="00026828">
      <w:pPr>
        <w:spacing w:before="80" w:after="80"/>
        <w:ind w:left="360"/>
        <w:rPr>
          <w:b/>
          <w:bCs/>
        </w:rPr>
      </w:pPr>
      <w:r>
        <w:rPr>
          <w:b/>
          <w:bCs/>
        </w:rPr>
        <w:t>4. Análisis crítico: consecuencias de no definir una arquitectura empresarial.</w:t>
      </w:r>
    </w:p>
    <w:p w14:paraId="7E4DB441">
      <w:pPr>
        <w:bidi w:val="0"/>
        <w:ind w:firstLine="708" w:firstLineChars="0"/>
      </w:pPr>
      <w:r>
        <w:t>La siguiente sección responde a la pregunta central del taller: ¿qué problemas tendría Sincinaty si no define una Arquitectura Empresarial? El análisis se organiza en cinco dimensiones de riesgo, todas ellas de naturaleza organizacional y estratégica —no tecnológica.</w:t>
      </w:r>
    </w:p>
    <w:p w14:paraId="22645641">
      <w:pPr>
        <w:spacing w:before="80" w:after="80"/>
        <w:ind w:left="360"/>
        <w:rPr>
          <w:b/>
          <w:bCs/>
        </w:rPr>
      </w:pPr>
    </w:p>
    <w:tbl>
      <w:tblPr>
        <w:tblStyle w:val="2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3007"/>
        <w:gridCol w:w="3004"/>
      </w:tblGrid>
      <w:tr w14:paraId="1A363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9" w:type="dxa"/>
          </w:tcPr>
          <w:p w14:paraId="67BFC4B3">
            <w:pPr>
              <w:spacing w:before="80" w:after="80"/>
              <w:rPr>
                <w:b/>
                <w:bCs/>
              </w:rPr>
            </w:pPr>
            <w:r>
              <w:rPr>
                <w:b/>
                <w:bCs/>
              </w:rPr>
              <w:t>Dimensión de riesgo</w:t>
            </w:r>
          </w:p>
        </w:tc>
        <w:tc>
          <w:tcPr>
            <w:tcW w:w="3007" w:type="dxa"/>
          </w:tcPr>
          <w:p w14:paraId="42E9E42A">
            <w:pPr>
              <w:spacing w:before="80" w:after="80"/>
              <w:rPr>
                <w:b/>
                <w:bCs/>
              </w:rPr>
            </w:pPr>
            <w:r>
              <w:rPr>
                <w:b/>
                <w:bCs/>
              </w:rPr>
              <w:t xml:space="preserve">Problema concreto sin AE </w:t>
            </w:r>
          </w:p>
        </w:tc>
        <w:tc>
          <w:tcPr>
            <w:tcW w:w="3004" w:type="dxa"/>
          </w:tcPr>
          <w:p w14:paraId="21E2F0A2">
            <w:pPr>
              <w:spacing w:before="80" w:after="80"/>
              <w:rPr>
                <w:b/>
                <w:bCs/>
              </w:rPr>
            </w:pPr>
            <w:r>
              <w:rPr>
                <w:b/>
                <w:bCs/>
              </w:rPr>
              <w:t xml:space="preserve">Consecuencia para Sincinaty </w:t>
            </w:r>
          </w:p>
        </w:tc>
      </w:tr>
      <w:tr w14:paraId="1E45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9" w:type="dxa"/>
            <w:vAlign w:val="center"/>
          </w:tcPr>
          <w:p w14:paraId="2C83D8DC">
            <w:pPr>
              <w:spacing w:before="80" w:after="80"/>
              <w:rPr>
                <w:szCs w:val="24"/>
              </w:rPr>
            </w:pPr>
            <w:r>
              <w:rPr>
                <w:b/>
                <w:bCs/>
                <w:szCs w:val="24"/>
              </w:rPr>
              <w:t>Desalineación estratégica</w:t>
            </w:r>
          </w:p>
        </w:tc>
        <w:tc>
          <w:tcPr>
            <w:tcW w:w="3007" w:type="dxa"/>
          </w:tcPr>
          <w:p w14:paraId="59233A2D">
            <w:pPr>
              <w:spacing w:before="80" w:after="80"/>
              <w:rPr>
                <w:szCs w:val="24"/>
              </w:rPr>
            </w:pPr>
            <w:r>
              <w:rPr>
                <w:szCs w:val="24"/>
              </w:rPr>
              <w:t>Sin una arquitectura que conecte la visión con los procesos, cada área operaría con su propia interpretación de la estrategia. El equipo de contenido podría priorizar información diferente a lo que el área de prestadores ofrece; el equipo de experiencia podría diseñar flujos que no coinciden con lo que la dirección prometió a las instituciones.</w:t>
            </w:r>
          </w:p>
        </w:tc>
        <w:tc>
          <w:tcPr>
            <w:tcW w:w="3004" w:type="dxa"/>
          </w:tcPr>
          <w:p w14:paraId="377BAA6A">
            <w:pPr>
              <w:spacing w:before="80" w:after="80"/>
              <w:rPr>
                <w:szCs w:val="24"/>
              </w:rPr>
            </w:pPr>
            <w:r>
              <w:rPr>
                <w:szCs w:val="24"/>
              </w:rPr>
              <w:t>Incoherencia entre lo que Sincinaty promete y lo que entrega. Pérdida de confianza de turistas, prestadores e instituciones aliadas.</w:t>
            </w:r>
          </w:p>
        </w:tc>
      </w:tr>
      <w:tr w14:paraId="41A68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9" w:type="dxa"/>
            <w:vAlign w:val="center"/>
          </w:tcPr>
          <w:p w14:paraId="6735DA3B">
            <w:pPr>
              <w:spacing w:before="80" w:after="80"/>
              <w:rPr>
                <w:szCs w:val="24"/>
              </w:rPr>
            </w:pPr>
            <w:r>
              <w:rPr>
                <w:b/>
                <w:bCs/>
                <w:szCs w:val="24"/>
              </w:rPr>
              <w:t>Procesos sin integración</w:t>
            </w:r>
          </w:p>
        </w:tc>
        <w:tc>
          <w:tcPr>
            <w:tcW w:w="3007" w:type="dxa"/>
          </w:tcPr>
          <w:p w14:paraId="1801FF26">
            <w:pPr>
              <w:spacing w:before="80" w:after="80"/>
              <w:rPr>
                <w:szCs w:val="24"/>
              </w:rPr>
            </w:pPr>
            <w:r>
              <w:rPr>
                <w:szCs w:val="24"/>
              </w:rPr>
              <w:t>Sin un mapa de procesos definido, la gestión de prestadores, el contenido, las reservas y las reseñas operarían como islas desconectadas. Un prestador podría estar activo en el catálogo pero con datos desactualizados; un turista podría hacer una reserva que el prestador nunca recibió.</w:t>
            </w:r>
          </w:p>
        </w:tc>
        <w:tc>
          <w:tcPr>
            <w:tcW w:w="3004" w:type="dxa"/>
          </w:tcPr>
          <w:p w14:paraId="1FA615FF">
            <w:pPr>
              <w:spacing w:before="80" w:after="80"/>
              <w:rPr>
                <w:szCs w:val="24"/>
              </w:rPr>
            </w:pPr>
            <w:r>
              <w:rPr>
                <w:szCs w:val="24"/>
              </w:rPr>
              <w:t>Fallos operativos frecuentes, experiencias deficientes para el usuario y deterioro de la reputación de la plataforma en un mercado local donde el boca a boca es determinante.</w:t>
            </w:r>
          </w:p>
        </w:tc>
      </w:tr>
      <w:tr w14:paraId="1900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9" w:type="dxa"/>
            <w:vAlign w:val="center"/>
          </w:tcPr>
          <w:p w14:paraId="49F2EA9D">
            <w:pPr>
              <w:spacing w:before="80" w:after="80"/>
              <w:rPr>
                <w:b/>
                <w:bCs/>
                <w:szCs w:val="24"/>
              </w:rPr>
            </w:pPr>
            <w:r>
              <w:rPr>
                <w:b/>
                <w:bCs/>
                <w:szCs w:val="24"/>
              </w:rPr>
              <w:t>Decisiones basadas en intuición</w:t>
            </w:r>
          </w:p>
        </w:tc>
        <w:tc>
          <w:tcPr>
            <w:tcW w:w="3007" w:type="dxa"/>
          </w:tcPr>
          <w:p w14:paraId="071F6A12">
            <w:pPr>
              <w:spacing w:before="80" w:after="80"/>
              <w:rPr>
                <w:szCs w:val="24"/>
              </w:rPr>
            </w:pPr>
            <w:r>
              <w:rPr>
                <w:szCs w:val="24"/>
              </w:rPr>
              <w:t>Sin una arquitectura de negocio que estructure el flujo de información, Sincinaty no sabría qué destinos generan mayor interés, qué prestadores tienen mejor desempeño o en qué temporadas concentrar sus esfuerzos de captación. Las decisiones se tomarían por intuición.</w:t>
            </w:r>
          </w:p>
        </w:tc>
        <w:tc>
          <w:tcPr>
            <w:tcW w:w="3004" w:type="dxa"/>
          </w:tcPr>
          <w:p w14:paraId="5B34F0A1">
            <w:pPr>
              <w:spacing w:before="80" w:after="80"/>
              <w:rPr>
                <w:szCs w:val="24"/>
              </w:rPr>
            </w:pPr>
            <w:r>
              <w:rPr>
                <w:szCs w:val="24"/>
              </w:rPr>
              <w:t>Recursos mal asignados, oportunidades perdidas y dificultad para demostrar impacto a las instituciones aliadas, que requieren datos para justificar su respaldo.</w:t>
            </w:r>
          </w:p>
        </w:tc>
      </w:tr>
      <w:tr w14:paraId="38033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9" w:type="dxa"/>
            <w:vAlign w:val="center"/>
          </w:tcPr>
          <w:p w14:paraId="06EB1FE5">
            <w:pPr>
              <w:spacing w:before="80" w:after="80"/>
              <w:rPr>
                <w:b/>
                <w:bCs/>
                <w:szCs w:val="24"/>
              </w:rPr>
            </w:pPr>
            <w:r>
              <w:rPr>
                <w:b/>
                <w:bCs/>
                <w:szCs w:val="24"/>
              </w:rPr>
              <w:t>Escala sin estructura</w:t>
            </w:r>
          </w:p>
        </w:tc>
        <w:tc>
          <w:tcPr>
            <w:tcW w:w="3007" w:type="dxa"/>
          </w:tcPr>
          <w:p w14:paraId="053349B2">
            <w:pPr>
              <w:spacing w:before="80" w:after="80"/>
              <w:rPr>
                <w:szCs w:val="24"/>
              </w:rPr>
            </w:pPr>
            <w:r>
              <w:rPr>
                <w:szCs w:val="24"/>
              </w:rPr>
              <w:t>Si Sincinaty crece en número de prestadores, usuarios y municipios sin una arquitectura definida, cada nueva incorporación añadiría complejidad sin un orden claro. Los procesos de onboarding, soporte y moderación colapsarían porque no estarían estandarizados.</w:t>
            </w:r>
          </w:p>
        </w:tc>
        <w:tc>
          <w:tcPr>
            <w:tcW w:w="3004" w:type="dxa"/>
          </w:tcPr>
          <w:p w14:paraId="1B9ED94E">
            <w:pPr>
              <w:spacing w:before="80" w:after="80"/>
              <w:rPr>
                <w:szCs w:val="24"/>
              </w:rPr>
            </w:pPr>
            <w:r>
              <w:rPr>
                <w:szCs w:val="24"/>
              </w:rPr>
              <w:t>Incapacidad para escalar de manera sostenible. La calidad del catálogo y del servicio se deterioraría precisamente cuando más usuarios llegan a la plataforma.</w:t>
            </w:r>
          </w:p>
        </w:tc>
      </w:tr>
      <w:tr w14:paraId="7DA8A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9" w:type="dxa"/>
            <w:vAlign w:val="center"/>
          </w:tcPr>
          <w:p w14:paraId="17C67328">
            <w:pPr>
              <w:spacing w:before="80" w:after="80"/>
              <w:rPr>
                <w:b/>
                <w:bCs/>
                <w:szCs w:val="24"/>
              </w:rPr>
            </w:pPr>
            <w:r>
              <w:rPr>
                <w:b/>
                <w:bCs/>
                <w:szCs w:val="24"/>
              </w:rPr>
              <w:t>Pérdida de legitimidad institucional</w:t>
            </w:r>
          </w:p>
        </w:tc>
        <w:tc>
          <w:tcPr>
            <w:tcW w:w="3007" w:type="dxa"/>
          </w:tcPr>
          <w:p w14:paraId="333C927C">
            <w:pPr>
              <w:spacing w:before="80" w:after="80"/>
              <w:rPr>
                <w:szCs w:val="24"/>
              </w:rPr>
            </w:pPr>
            <w:r>
              <w:rPr>
                <w:szCs w:val="24"/>
              </w:rPr>
              <w:t>Las alianzas con la Gobernación, Fontur y la Cámara de Comercio requieren que Sincinaty pueda demostrar cómo opera, qué genera y cómo se alinea con la política pública de turismo del departamento. Sin una arquitectura documentada, la empresa no puede responder esas preguntas con rigor.</w:t>
            </w:r>
          </w:p>
        </w:tc>
        <w:tc>
          <w:tcPr>
            <w:tcW w:w="3004" w:type="dxa"/>
          </w:tcPr>
          <w:p w14:paraId="35CC676E">
            <w:pPr>
              <w:spacing w:before="80" w:after="80"/>
              <w:rPr>
                <w:szCs w:val="24"/>
              </w:rPr>
            </w:pPr>
            <w:r>
              <w:rPr>
                <w:szCs w:val="24"/>
              </w:rPr>
              <w:t>Pérdida de alianzas estratégicas que son, en el corto plazo, el principal activo de legitimidad de la plataforma frente a turistas y prestadores que aún no la conocen.</w:t>
            </w:r>
          </w:p>
        </w:tc>
      </w:tr>
    </w:tbl>
    <w:p w14:paraId="5C970197">
      <w:pPr>
        <w:spacing w:before="80" w:after="80"/>
        <w:rPr>
          <w:color w:val="000000"/>
        </w:rPr>
      </w:pPr>
    </w:p>
    <w:p w14:paraId="144A9414">
      <w:r>
        <w:br w:type="page"/>
      </w:r>
    </w:p>
    <w:p w14:paraId="3AA8E2F3">
      <w:pPr>
        <w:spacing w:before="80" w:after="80"/>
        <w:rPr>
          <w:b/>
          <w:bCs/>
        </w:rPr>
      </w:pPr>
      <w:r>
        <w:rPr>
          <w:b/>
          <w:bCs/>
        </w:rPr>
        <w:t>Conclusiones</w:t>
      </w:r>
    </w:p>
    <w:p w14:paraId="42D412F1">
      <w:pPr>
        <w:bidi w:val="0"/>
        <w:rPr>
          <w:rFonts w:hint="default"/>
          <w:lang w:val="es-ES"/>
        </w:rPr>
      </w:pPr>
      <w:r>
        <w:t>En síntesis, la Arquitectura Empresarial no es un ejercicio académico para Sincinaty: es la condición que hace posible que un startup local del departamento de Sucre pueda operar con coherencia, crecer con orden y generar el impacto turístico y económico que justifica su razón de ser. Sin ella, la plataforma podría existir técnicamente, pero fracasaría organizacionalmente, que es precisamente donde residen las barreras reales del mercado que busca transformar.</w:t>
      </w:r>
      <w:r>
        <w:rPr>
          <w:rFonts w:hint="default"/>
          <w:lang w:val="es-ES"/>
        </w:rPr>
        <w:t xml:space="preserve"> El análisis AS-IS vs TO-BE reveló que la principal brecha no es tecnológica sino de articulación: Sucre tiene atractivos reales, pero carece de un actor que los organice, valide y comunique de forma estructurada; Sincinaty no crea el turismo del departamento, sino que lo hace visible, accesible y confiable. El análisis crítico, por su parte, demostró que operar sin una Arquitectura Empresarial expondría a Sincinaty a riesgos de alto impacto —desalineación estratégica, procesos desintegrados, decisiones intuitivas, incapacidad de escala y pérdida de legitimidad institucional— cualquiera de los cuales sería suficiente para comprometer la viabilidad del proyecto en un mercado local donde la confianza y la reputación son activos primarios.</w:t>
      </w:r>
    </w:p>
    <w:sectPr>
      <w:headerReference r:id="rId5" w:type="default"/>
      <w:pgSz w:w="12240" w:h="15840"/>
      <w:pgMar w:top="1440" w:right="1440" w:bottom="1440" w:left="1440" w:header="680"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HIKNAF+TimesNewRoman,Bold">
    <w:altName w:val="Times New Roman"/>
    <w:panose1 w:val="00000000000000000000"/>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96BA6">
    <w:pPr>
      <w:pStyle w:val="24"/>
      <w:tabs>
        <w:tab w:val="left" w:pos="488"/>
        <w:tab w:val="right" w:pos="9356"/>
        <w:tab w:val="clear" w:pos="8838"/>
      </w:tabs>
      <w:rPr>
        <w:rFonts w:cs="Times New Roman"/>
      </w:rPr>
    </w:pPr>
  </w:p>
  <w:sdt>
    <w:sdtPr>
      <w:rPr>
        <w:rFonts w:cs="Times New Roman"/>
      </w:rPr>
      <w:id w:val="-1739240714"/>
    </w:sdtPr>
    <w:sdtEndPr>
      <w:rPr>
        <w:rFonts w:cs="Times New Roman"/>
      </w:rPr>
    </w:sdtEndPr>
    <w:sdtContent>
      <w:p w14:paraId="42F639BD">
        <w:pPr>
          <w:pStyle w:val="24"/>
          <w:tabs>
            <w:tab w:val="left" w:pos="488"/>
            <w:tab w:val="right" w:pos="9356"/>
            <w:tab w:val="clear" w:pos="8838"/>
          </w:tabs>
          <w:jc w:val="right"/>
          <w:rPr>
            <w:rFonts w:cs="Times New Roman"/>
          </w:rPr>
        </w:pPr>
        <w:r>
          <w:rPr>
            <w:rFonts w:cs="Times New Roman"/>
            <w:i/>
            <w:color w:val="404040" w:themeColor="text1" w:themeTint="BF"/>
            <w14:textFill>
              <w14:solidFill>
                <w14:schemeClr w14:val="tx1">
                  <w14:lumMod w14:val="75000"/>
                  <w14:lumOff w14:val="25000"/>
                </w14:schemeClr>
              </w14:solidFill>
            </w14:textFill>
          </w:rPr>
          <w:drawing>
            <wp:anchor distT="0" distB="0" distL="114300" distR="114300" simplePos="0" relativeHeight="251659264" behindDoc="0" locked="0" layoutInCell="1" allowOverlap="1">
              <wp:simplePos x="0" y="0"/>
              <wp:positionH relativeFrom="column">
                <wp:posOffset>4149090</wp:posOffset>
              </wp:positionH>
              <wp:positionV relativeFrom="paragraph">
                <wp:posOffset>71755</wp:posOffset>
              </wp:positionV>
              <wp:extent cx="1559560" cy="477520"/>
              <wp:effectExtent l="0" t="0" r="254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noChangeArrowheads="1"/>
                      </pic:cNvPicPr>
                    </pic:nvPicPr>
                    <pic:blipFill>
                      <a:blip r:embed="rId1">
                        <a:extLst>
                          <a:ext uri="{28A0092B-C50C-407E-A947-70E740481C1C}">
                            <a14:useLocalDpi xmlns:a14="http://schemas.microsoft.com/office/drawing/2010/main" val="0"/>
                          </a:ext>
                        </a:extLst>
                      </a:blip>
                      <a:srcRect l="61939" t="12795" r="4155" b="13597"/>
                      <a:stretch>
                        <a:fillRect/>
                      </a:stretch>
                    </pic:blipFill>
                    <pic:spPr>
                      <a:xfrm>
                        <a:off x="0" y="0"/>
                        <a:ext cx="1559560" cy="477520"/>
                      </a:xfrm>
                      <a:prstGeom prst="rect">
                        <a:avLst/>
                      </a:prstGeom>
                      <a:noFill/>
                      <a:ln>
                        <a:noFill/>
                      </a:ln>
                    </pic:spPr>
                  </pic:pic>
                </a:graphicData>
              </a:graphic>
            </wp:anchor>
          </w:drawing>
        </w: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es-ES"/>
          </w:rPr>
          <w:t>8</w:t>
        </w:r>
        <w:r>
          <w:rPr>
            <w:rFonts w:cs="Times New Roman"/>
          </w:rPr>
          <w:fldChar w:fldCharType="end"/>
        </w:r>
      </w:p>
      <w:tbl>
        <w:tblPr>
          <w:tblStyle w:val="29"/>
          <w:tblW w:w="3174" w:type="dxa"/>
          <w:tblInd w:w="-284" w:type="dxa"/>
          <w:tblBorders>
            <w:top w:val="none" w:color="auto" w:sz="0" w:space="0"/>
            <w:left w:val="none" w:color="auto" w:sz="0" w:space="0"/>
            <w:bottom w:val="single" w:color="585858" w:themeColor="text1" w:themeTint="A6" w:sz="4" w:space="0"/>
            <w:right w:val="none" w:color="auto" w:sz="0" w:space="0"/>
            <w:insideH w:val="single" w:color="585858" w:themeColor="text1" w:themeTint="A6" w:sz="4" w:space="0"/>
            <w:insideV w:val="single" w:color="585858" w:themeColor="text1" w:themeTint="A6" w:sz="4" w:space="0"/>
          </w:tblBorders>
          <w:tblLayout w:type="autofit"/>
          <w:tblCellMar>
            <w:top w:w="0" w:type="dxa"/>
            <w:left w:w="108" w:type="dxa"/>
            <w:bottom w:w="0" w:type="dxa"/>
            <w:right w:w="108" w:type="dxa"/>
          </w:tblCellMar>
        </w:tblPr>
        <w:tblGrid>
          <w:gridCol w:w="3174"/>
        </w:tblGrid>
        <w:tr w14:paraId="021023C9">
          <w:tblPrEx>
            <w:tblBorders>
              <w:top w:val="none" w:color="auto" w:sz="0" w:space="0"/>
              <w:left w:val="none" w:color="auto" w:sz="0" w:space="0"/>
              <w:bottom w:val="single" w:color="585858" w:themeColor="text1" w:themeTint="A6" w:sz="4" w:space="0"/>
              <w:right w:val="none" w:color="auto" w:sz="0" w:space="0"/>
              <w:insideH w:val="single" w:color="585858" w:themeColor="text1" w:themeTint="A6" w:sz="4" w:space="0"/>
              <w:insideV w:val="single" w:color="585858" w:themeColor="text1" w:themeTint="A6" w:sz="4" w:space="0"/>
            </w:tblBorders>
            <w:tblCellMar>
              <w:top w:w="0" w:type="dxa"/>
              <w:left w:w="108" w:type="dxa"/>
              <w:bottom w:w="0" w:type="dxa"/>
              <w:right w:w="108" w:type="dxa"/>
            </w:tblCellMar>
          </w:tblPrEx>
          <w:trPr>
            <w:trHeight w:val="709" w:hRule="atLeast"/>
          </w:trPr>
          <w:tc>
            <w:tcPr>
              <w:tcW w:w="3174" w:type="dxa"/>
            </w:tcPr>
            <w:p w14:paraId="7A5AA245">
              <w:pPr>
                <w:spacing w:after="0" w:line="240" w:lineRule="auto"/>
                <w:jc w:val="right"/>
                <w:rPr>
                  <w:rFonts w:cs="Times New Roman"/>
                  <w:i/>
                  <w:color w:val="404040" w:themeColor="text1" w:themeTint="BF"/>
                  <w14:textFill>
                    <w14:solidFill>
                      <w14:schemeClr w14:val="tx1">
                        <w14:lumMod w14:val="75000"/>
                        <w14:lumOff w14:val="25000"/>
                      </w14:schemeClr>
                    </w14:solidFill>
                  </w14:textFill>
                </w:rPr>
              </w:pPr>
              <w:r>
                <w:rPr>
                  <w:rFonts w:cs="Times New Roman"/>
                  <w:i/>
                  <w:color w:val="404040" w:themeColor="text1" w:themeTint="BF"/>
                  <w14:textFill>
                    <w14:solidFill>
                      <w14:schemeClr w14:val="tx1">
                        <w14:lumMod w14:val="75000"/>
                        <w14:lumOff w14:val="25000"/>
                      </w14:schemeClr>
                    </w14:solidFill>
                  </w14:textFill>
                </w:rPr>
                <w:t>Sincinaty</w:t>
              </w:r>
            </w:p>
          </w:tc>
        </w:tr>
      </w:tbl>
      <w:p w14:paraId="40398D18">
        <w:pPr>
          <w:pStyle w:val="24"/>
          <w:jc w:val="center"/>
          <w:rPr>
            <w:rFonts w:cs="Times New Roman"/>
          </w:rPr>
        </w:pPr>
      </w:p>
    </w:sdtContent>
  </w:sdt>
  <w:p w14:paraId="7AE6989A">
    <w:pPr>
      <w:pStyle w:val="24"/>
      <w:spacing w:line="360" w:lineRule="auto"/>
      <w:jc w:val="cente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7812C1"/>
    <w:multiLevelType w:val="multilevel"/>
    <w:tmpl w:val="557812C1"/>
    <w:lvl w:ilvl="0" w:tentative="0">
      <w:start w:val="1"/>
      <w:numFmt w:val="decimal"/>
      <w:lvlText w:val="%1."/>
      <w:lvlJc w:val="left"/>
      <w:pPr>
        <w:ind w:left="720" w:hanging="360"/>
      </w:pPr>
      <w:rPr>
        <w:rFonts w:hint="default"/>
      </w:rPr>
    </w:lvl>
    <w:lvl w:ilvl="1" w:tentative="0">
      <w:start w:val="2"/>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abstractNum w:abstractNumId="1">
    <w:nsid w:val="7D3C4CBF"/>
    <w:multiLevelType w:val="multilevel"/>
    <w:tmpl w:val="7D3C4CBF"/>
    <w:lvl w:ilvl="0" w:tentative="0">
      <w:start w:val="2"/>
      <w:numFmt w:val="decimal"/>
      <w:lvlText w:val="%1"/>
      <w:lvlJc w:val="left"/>
      <w:pPr>
        <w:ind w:left="360" w:hanging="360"/>
      </w:pPr>
      <w:rPr>
        <w:rFonts w:hint="default"/>
      </w:rPr>
    </w:lvl>
    <w:lvl w:ilvl="1" w:tentative="0">
      <w:start w:val="2"/>
      <w:numFmt w:val="decimal"/>
      <w:lvlText w:val="%1.%2"/>
      <w:lvlJc w:val="left"/>
      <w:pPr>
        <w:ind w:left="1080" w:hanging="36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4680" w:hanging="108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480" w:hanging="1440"/>
      </w:pPr>
      <w:rPr>
        <w:rFonts w:hint="default"/>
      </w:rPr>
    </w:lvl>
    <w:lvl w:ilvl="8" w:tentative="0">
      <w:start w:val="1"/>
      <w:numFmt w:val="decimal"/>
      <w:lvlText w:val="%1.%2.%3.%4.%5.%6.%7.%8.%9"/>
      <w:lvlJc w:val="left"/>
      <w:pPr>
        <w:ind w:left="756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B7F"/>
    <w:rsid w:val="00000BF1"/>
    <w:rsid w:val="00004ED0"/>
    <w:rsid w:val="00014B36"/>
    <w:rsid w:val="00015029"/>
    <w:rsid w:val="00025511"/>
    <w:rsid w:val="00026125"/>
    <w:rsid w:val="00030340"/>
    <w:rsid w:val="0003398B"/>
    <w:rsid w:val="00036358"/>
    <w:rsid w:val="00042198"/>
    <w:rsid w:val="000421D2"/>
    <w:rsid w:val="000469A1"/>
    <w:rsid w:val="00047297"/>
    <w:rsid w:val="0004790B"/>
    <w:rsid w:val="00051345"/>
    <w:rsid w:val="000520DF"/>
    <w:rsid w:val="000530FD"/>
    <w:rsid w:val="00055102"/>
    <w:rsid w:val="00057211"/>
    <w:rsid w:val="00057670"/>
    <w:rsid w:val="0006597A"/>
    <w:rsid w:val="00066268"/>
    <w:rsid w:val="00072654"/>
    <w:rsid w:val="000766D5"/>
    <w:rsid w:val="00082DF3"/>
    <w:rsid w:val="0008339D"/>
    <w:rsid w:val="00087569"/>
    <w:rsid w:val="0009533A"/>
    <w:rsid w:val="00096076"/>
    <w:rsid w:val="000963A0"/>
    <w:rsid w:val="000A4F87"/>
    <w:rsid w:val="000A7E9A"/>
    <w:rsid w:val="000B3F03"/>
    <w:rsid w:val="000B7F36"/>
    <w:rsid w:val="000C6E2E"/>
    <w:rsid w:val="000D167E"/>
    <w:rsid w:val="000D2EC6"/>
    <w:rsid w:val="000E24F2"/>
    <w:rsid w:val="000E4EB5"/>
    <w:rsid w:val="000E676C"/>
    <w:rsid w:val="000F3EAA"/>
    <w:rsid w:val="000F734E"/>
    <w:rsid w:val="00104D02"/>
    <w:rsid w:val="00107146"/>
    <w:rsid w:val="00107E00"/>
    <w:rsid w:val="001137F0"/>
    <w:rsid w:val="00134C81"/>
    <w:rsid w:val="00134D25"/>
    <w:rsid w:val="001378D5"/>
    <w:rsid w:val="00141F85"/>
    <w:rsid w:val="00142973"/>
    <w:rsid w:val="00143285"/>
    <w:rsid w:val="00150963"/>
    <w:rsid w:val="00151A45"/>
    <w:rsid w:val="001540AE"/>
    <w:rsid w:val="00161945"/>
    <w:rsid w:val="00161B8C"/>
    <w:rsid w:val="0016302C"/>
    <w:rsid w:val="00163D39"/>
    <w:rsid w:val="00163E4F"/>
    <w:rsid w:val="001666C8"/>
    <w:rsid w:val="0017081F"/>
    <w:rsid w:val="00180DC6"/>
    <w:rsid w:val="00182C7A"/>
    <w:rsid w:val="001832EA"/>
    <w:rsid w:val="00185D17"/>
    <w:rsid w:val="0019160E"/>
    <w:rsid w:val="00193541"/>
    <w:rsid w:val="0019363D"/>
    <w:rsid w:val="00195EE7"/>
    <w:rsid w:val="00197D42"/>
    <w:rsid w:val="001A2AED"/>
    <w:rsid w:val="001A3689"/>
    <w:rsid w:val="001A6110"/>
    <w:rsid w:val="001A6CB0"/>
    <w:rsid w:val="001B74D7"/>
    <w:rsid w:val="001D3DB5"/>
    <w:rsid w:val="001E001B"/>
    <w:rsid w:val="001E0350"/>
    <w:rsid w:val="001E2208"/>
    <w:rsid w:val="001E79C7"/>
    <w:rsid w:val="001F149A"/>
    <w:rsid w:val="001F206C"/>
    <w:rsid w:val="001F3355"/>
    <w:rsid w:val="001F3902"/>
    <w:rsid w:val="001F3A72"/>
    <w:rsid w:val="001F3D82"/>
    <w:rsid w:val="001F4B20"/>
    <w:rsid w:val="001F6ECB"/>
    <w:rsid w:val="002019C6"/>
    <w:rsid w:val="00203137"/>
    <w:rsid w:val="00205D6C"/>
    <w:rsid w:val="00213D61"/>
    <w:rsid w:val="00213EE4"/>
    <w:rsid w:val="002168DC"/>
    <w:rsid w:val="00220C5B"/>
    <w:rsid w:val="002228F5"/>
    <w:rsid w:val="00224E66"/>
    <w:rsid w:val="002254F0"/>
    <w:rsid w:val="00227D4B"/>
    <w:rsid w:val="002308D7"/>
    <w:rsid w:val="002327B1"/>
    <w:rsid w:val="00233FC5"/>
    <w:rsid w:val="002364DD"/>
    <w:rsid w:val="0024153F"/>
    <w:rsid w:val="00241C03"/>
    <w:rsid w:val="00247BD0"/>
    <w:rsid w:val="00250157"/>
    <w:rsid w:val="00253E8C"/>
    <w:rsid w:val="00254D2C"/>
    <w:rsid w:val="00256BE3"/>
    <w:rsid w:val="002629EA"/>
    <w:rsid w:val="00263D1C"/>
    <w:rsid w:val="00267D3B"/>
    <w:rsid w:val="00271086"/>
    <w:rsid w:val="00273123"/>
    <w:rsid w:val="002754E8"/>
    <w:rsid w:val="00275C4E"/>
    <w:rsid w:val="0028054B"/>
    <w:rsid w:val="00284220"/>
    <w:rsid w:val="00291620"/>
    <w:rsid w:val="00295456"/>
    <w:rsid w:val="00296BBB"/>
    <w:rsid w:val="002B2A23"/>
    <w:rsid w:val="002B7A0E"/>
    <w:rsid w:val="002C0712"/>
    <w:rsid w:val="002C2333"/>
    <w:rsid w:val="002C5A1E"/>
    <w:rsid w:val="002C7433"/>
    <w:rsid w:val="002C7BA4"/>
    <w:rsid w:val="002D2C51"/>
    <w:rsid w:val="002D65DD"/>
    <w:rsid w:val="002E0B89"/>
    <w:rsid w:val="002E1A5B"/>
    <w:rsid w:val="002E7432"/>
    <w:rsid w:val="002F10D8"/>
    <w:rsid w:val="002F1B64"/>
    <w:rsid w:val="002F43B5"/>
    <w:rsid w:val="002F686B"/>
    <w:rsid w:val="00302E99"/>
    <w:rsid w:val="003157D7"/>
    <w:rsid w:val="00320B09"/>
    <w:rsid w:val="00321759"/>
    <w:rsid w:val="00323D9C"/>
    <w:rsid w:val="003248C2"/>
    <w:rsid w:val="00340018"/>
    <w:rsid w:val="0034013E"/>
    <w:rsid w:val="00351A1E"/>
    <w:rsid w:val="00352821"/>
    <w:rsid w:val="003531C4"/>
    <w:rsid w:val="0035669F"/>
    <w:rsid w:val="0037416F"/>
    <w:rsid w:val="00381763"/>
    <w:rsid w:val="00383698"/>
    <w:rsid w:val="00393EE5"/>
    <w:rsid w:val="003951C2"/>
    <w:rsid w:val="003A4033"/>
    <w:rsid w:val="003A4902"/>
    <w:rsid w:val="003A5FF8"/>
    <w:rsid w:val="003A7115"/>
    <w:rsid w:val="003A7FC6"/>
    <w:rsid w:val="003B2050"/>
    <w:rsid w:val="003B22F2"/>
    <w:rsid w:val="003C0EB5"/>
    <w:rsid w:val="003C18DE"/>
    <w:rsid w:val="003C2917"/>
    <w:rsid w:val="003C32C0"/>
    <w:rsid w:val="003C4E08"/>
    <w:rsid w:val="003C521F"/>
    <w:rsid w:val="003C7CEE"/>
    <w:rsid w:val="003C7F74"/>
    <w:rsid w:val="003E11F7"/>
    <w:rsid w:val="003E2845"/>
    <w:rsid w:val="003E78D5"/>
    <w:rsid w:val="003F0DDA"/>
    <w:rsid w:val="003F315B"/>
    <w:rsid w:val="004026AF"/>
    <w:rsid w:val="00416818"/>
    <w:rsid w:val="004173D6"/>
    <w:rsid w:val="004175BB"/>
    <w:rsid w:val="00417F4B"/>
    <w:rsid w:val="0042385F"/>
    <w:rsid w:val="00424C59"/>
    <w:rsid w:val="004362CB"/>
    <w:rsid w:val="00447067"/>
    <w:rsid w:val="00450B8B"/>
    <w:rsid w:val="00453E3B"/>
    <w:rsid w:val="00457A82"/>
    <w:rsid w:val="004601D4"/>
    <w:rsid w:val="00470986"/>
    <w:rsid w:val="00472F38"/>
    <w:rsid w:val="00474452"/>
    <w:rsid w:val="00474F30"/>
    <w:rsid w:val="00482E79"/>
    <w:rsid w:val="0048343D"/>
    <w:rsid w:val="00485CF0"/>
    <w:rsid w:val="00494FDD"/>
    <w:rsid w:val="00496E54"/>
    <w:rsid w:val="004A743E"/>
    <w:rsid w:val="004B1480"/>
    <w:rsid w:val="004B2CA4"/>
    <w:rsid w:val="004B68BF"/>
    <w:rsid w:val="004B75B8"/>
    <w:rsid w:val="004C0DDC"/>
    <w:rsid w:val="004C2D4A"/>
    <w:rsid w:val="004C5A2E"/>
    <w:rsid w:val="004C69AF"/>
    <w:rsid w:val="004D08B2"/>
    <w:rsid w:val="004D45B9"/>
    <w:rsid w:val="004E1BD7"/>
    <w:rsid w:val="004E4046"/>
    <w:rsid w:val="004E64F9"/>
    <w:rsid w:val="004F47DB"/>
    <w:rsid w:val="004F47F2"/>
    <w:rsid w:val="004F6064"/>
    <w:rsid w:val="004F6CE8"/>
    <w:rsid w:val="004F7935"/>
    <w:rsid w:val="00501593"/>
    <w:rsid w:val="005070EB"/>
    <w:rsid w:val="00510632"/>
    <w:rsid w:val="0051279A"/>
    <w:rsid w:val="00520A61"/>
    <w:rsid w:val="005213E5"/>
    <w:rsid w:val="005269DE"/>
    <w:rsid w:val="0053134C"/>
    <w:rsid w:val="00533F7C"/>
    <w:rsid w:val="00534CA8"/>
    <w:rsid w:val="00536E6F"/>
    <w:rsid w:val="00540AE3"/>
    <w:rsid w:val="00543C70"/>
    <w:rsid w:val="0055002B"/>
    <w:rsid w:val="0055022F"/>
    <w:rsid w:val="0055228A"/>
    <w:rsid w:val="00555D8B"/>
    <w:rsid w:val="00555E04"/>
    <w:rsid w:val="00560D4C"/>
    <w:rsid w:val="00561E36"/>
    <w:rsid w:val="005646EE"/>
    <w:rsid w:val="00567C62"/>
    <w:rsid w:val="0057087F"/>
    <w:rsid w:val="005777AB"/>
    <w:rsid w:val="00582EFB"/>
    <w:rsid w:val="00587A8A"/>
    <w:rsid w:val="005930C0"/>
    <w:rsid w:val="005A0C04"/>
    <w:rsid w:val="005A5D6C"/>
    <w:rsid w:val="005A7ABC"/>
    <w:rsid w:val="005B0CF0"/>
    <w:rsid w:val="005B4483"/>
    <w:rsid w:val="005B512C"/>
    <w:rsid w:val="005C2D00"/>
    <w:rsid w:val="005C3ADC"/>
    <w:rsid w:val="005C4736"/>
    <w:rsid w:val="005C6489"/>
    <w:rsid w:val="005C7A3A"/>
    <w:rsid w:val="005D0D86"/>
    <w:rsid w:val="005D13C8"/>
    <w:rsid w:val="005D192C"/>
    <w:rsid w:val="005D2C8E"/>
    <w:rsid w:val="005D6B12"/>
    <w:rsid w:val="005E2A53"/>
    <w:rsid w:val="005E2CE7"/>
    <w:rsid w:val="005E751A"/>
    <w:rsid w:val="00606249"/>
    <w:rsid w:val="00620022"/>
    <w:rsid w:val="00642567"/>
    <w:rsid w:val="00644E81"/>
    <w:rsid w:val="0064530C"/>
    <w:rsid w:val="006468DD"/>
    <w:rsid w:val="0064735D"/>
    <w:rsid w:val="006520EE"/>
    <w:rsid w:val="00653C1A"/>
    <w:rsid w:val="00654BF2"/>
    <w:rsid w:val="00661629"/>
    <w:rsid w:val="0066256D"/>
    <w:rsid w:val="00662A49"/>
    <w:rsid w:val="00663A86"/>
    <w:rsid w:val="00670346"/>
    <w:rsid w:val="00673E38"/>
    <w:rsid w:val="00674229"/>
    <w:rsid w:val="006769BA"/>
    <w:rsid w:val="00684F41"/>
    <w:rsid w:val="0069166C"/>
    <w:rsid w:val="00693040"/>
    <w:rsid w:val="0069586B"/>
    <w:rsid w:val="006A049C"/>
    <w:rsid w:val="006A1675"/>
    <w:rsid w:val="006A3F3F"/>
    <w:rsid w:val="006A64D3"/>
    <w:rsid w:val="006A7DE6"/>
    <w:rsid w:val="006B5C54"/>
    <w:rsid w:val="006C206A"/>
    <w:rsid w:val="006C63E4"/>
    <w:rsid w:val="006D10C9"/>
    <w:rsid w:val="006D3C38"/>
    <w:rsid w:val="006E002C"/>
    <w:rsid w:val="006E2D3F"/>
    <w:rsid w:val="006E3A8A"/>
    <w:rsid w:val="006E64E1"/>
    <w:rsid w:val="006F4706"/>
    <w:rsid w:val="006F7FC2"/>
    <w:rsid w:val="00706BB2"/>
    <w:rsid w:val="00707DE3"/>
    <w:rsid w:val="00711F98"/>
    <w:rsid w:val="00716F35"/>
    <w:rsid w:val="00720C3E"/>
    <w:rsid w:val="00721EDC"/>
    <w:rsid w:val="007266C1"/>
    <w:rsid w:val="007278E5"/>
    <w:rsid w:val="0073020C"/>
    <w:rsid w:val="00735571"/>
    <w:rsid w:val="007436D2"/>
    <w:rsid w:val="0074634C"/>
    <w:rsid w:val="00746599"/>
    <w:rsid w:val="00764114"/>
    <w:rsid w:val="00766661"/>
    <w:rsid w:val="00767878"/>
    <w:rsid w:val="0077059A"/>
    <w:rsid w:val="00772144"/>
    <w:rsid w:val="00772808"/>
    <w:rsid w:val="00773B74"/>
    <w:rsid w:val="00774BDB"/>
    <w:rsid w:val="00776E3A"/>
    <w:rsid w:val="007835E2"/>
    <w:rsid w:val="0078382B"/>
    <w:rsid w:val="00783C24"/>
    <w:rsid w:val="0078753E"/>
    <w:rsid w:val="00791F81"/>
    <w:rsid w:val="00794E63"/>
    <w:rsid w:val="007A1348"/>
    <w:rsid w:val="007A28A2"/>
    <w:rsid w:val="007A433A"/>
    <w:rsid w:val="007B69CC"/>
    <w:rsid w:val="007B7DDE"/>
    <w:rsid w:val="007C6590"/>
    <w:rsid w:val="007D0BE4"/>
    <w:rsid w:val="007D0D04"/>
    <w:rsid w:val="007D21A7"/>
    <w:rsid w:val="007E01A0"/>
    <w:rsid w:val="007E3B8F"/>
    <w:rsid w:val="007F51CD"/>
    <w:rsid w:val="007F71CC"/>
    <w:rsid w:val="008034E2"/>
    <w:rsid w:val="00813C75"/>
    <w:rsid w:val="008140A7"/>
    <w:rsid w:val="00814A41"/>
    <w:rsid w:val="00821C46"/>
    <w:rsid w:val="00821EFB"/>
    <w:rsid w:val="00824751"/>
    <w:rsid w:val="0082478D"/>
    <w:rsid w:val="0083239E"/>
    <w:rsid w:val="00835253"/>
    <w:rsid w:val="00842475"/>
    <w:rsid w:val="008432AC"/>
    <w:rsid w:val="00846357"/>
    <w:rsid w:val="00846417"/>
    <w:rsid w:val="008647C7"/>
    <w:rsid w:val="00864E08"/>
    <w:rsid w:val="00870D1F"/>
    <w:rsid w:val="008775D2"/>
    <w:rsid w:val="0088025C"/>
    <w:rsid w:val="00880D2C"/>
    <w:rsid w:val="0088176B"/>
    <w:rsid w:val="00886961"/>
    <w:rsid w:val="0089232E"/>
    <w:rsid w:val="0089569B"/>
    <w:rsid w:val="008A7089"/>
    <w:rsid w:val="008B0D4E"/>
    <w:rsid w:val="008B5D82"/>
    <w:rsid w:val="008B65E9"/>
    <w:rsid w:val="008B7C7B"/>
    <w:rsid w:val="008C0727"/>
    <w:rsid w:val="008D3088"/>
    <w:rsid w:val="008D4921"/>
    <w:rsid w:val="008E07DD"/>
    <w:rsid w:val="008E5DB0"/>
    <w:rsid w:val="008F7096"/>
    <w:rsid w:val="0090094F"/>
    <w:rsid w:val="00910211"/>
    <w:rsid w:val="009105E4"/>
    <w:rsid w:val="009219A9"/>
    <w:rsid w:val="00922811"/>
    <w:rsid w:val="009259D6"/>
    <w:rsid w:val="00934DA8"/>
    <w:rsid w:val="00940532"/>
    <w:rsid w:val="0094207F"/>
    <w:rsid w:val="009469C7"/>
    <w:rsid w:val="0095473D"/>
    <w:rsid w:val="00960093"/>
    <w:rsid w:val="00961628"/>
    <w:rsid w:val="00965EDF"/>
    <w:rsid w:val="00971244"/>
    <w:rsid w:val="00973875"/>
    <w:rsid w:val="00975E09"/>
    <w:rsid w:val="00976264"/>
    <w:rsid w:val="00976CB2"/>
    <w:rsid w:val="00980B64"/>
    <w:rsid w:val="009831C1"/>
    <w:rsid w:val="009832B7"/>
    <w:rsid w:val="009842B6"/>
    <w:rsid w:val="00984FC2"/>
    <w:rsid w:val="00985004"/>
    <w:rsid w:val="00990306"/>
    <w:rsid w:val="00990A12"/>
    <w:rsid w:val="009912F9"/>
    <w:rsid w:val="009931FA"/>
    <w:rsid w:val="009A326A"/>
    <w:rsid w:val="009B0024"/>
    <w:rsid w:val="009B05E2"/>
    <w:rsid w:val="009B0D22"/>
    <w:rsid w:val="009B5A62"/>
    <w:rsid w:val="009B5D37"/>
    <w:rsid w:val="009C28DF"/>
    <w:rsid w:val="009C4AE4"/>
    <w:rsid w:val="009C5FDD"/>
    <w:rsid w:val="009C62B0"/>
    <w:rsid w:val="009D3AAE"/>
    <w:rsid w:val="009D5648"/>
    <w:rsid w:val="009E032E"/>
    <w:rsid w:val="009F1430"/>
    <w:rsid w:val="009F2EF0"/>
    <w:rsid w:val="009F4ADC"/>
    <w:rsid w:val="009F6169"/>
    <w:rsid w:val="009F7D4D"/>
    <w:rsid w:val="009F7D60"/>
    <w:rsid w:val="00A03F2F"/>
    <w:rsid w:val="00A054CE"/>
    <w:rsid w:val="00A13B1C"/>
    <w:rsid w:val="00A1517A"/>
    <w:rsid w:val="00A165C3"/>
    <w:rsid w:val="00A2303E"/>
    <w:rsid w:val="00A26AB0"/>
    <w:rsid w:val="00A30C7B"/>
    <w:rsid w:val="00A36DC5"/>
    <w:rsid w:val="00A416DD"/>
    <w:rsid w:val="00A467C1"/>
    <w:rsid w:val="00A47B00"/>
    <w:rsid w:val="00A47D63"/>
    <w:rsid w:val="00A555E0"/>
    <w:rsid w:val="00A64510"/>
    <w:rsid w:val="00A7222C"/>
    <w:rsid w:val="00A75043"/>
    <w:rsid w:val="00A80011"/>
    <w:rsid w:val="00A80654"/>
    <w:rsid w:val="00A815DA"/>
    <w:rsid w:val="00A81A69"/>
    <w:rsid w:val="00A81B2F"/>
    <w:rsid w:val="00A940BB"/>
    <w:rsid w:val="00A97C23"/>
    <w:rsid w:val="00AA62DD"/>
    <w:rsid w:val="00AB50EF"/>
    <w:rsid w:val="00AC061C"/>
    <w:rsid w:val="00AC0C4D"/>
    <w:rsid w:val="00AC1903"/>
    <w:rsid w:val="00AC486D"/>
    <w:rsid w:val="00AC48D7"/>
    <w:rsid w:val="00AC7F9C"/>
    <w:rsid w:val="00AE1366"/>
    <w:rsid w:val="00AE2A76"/>
    <w:rsid w:val="00AE39AE"/>
    <w:rsid w:val="00AE3EF9"/>
    <w:rsid w:val="00AE6DFB"/>
    <w:rsid w:val="00AE7979"/>
    <w:rsid w:val="00AF0CF8"/>
    <w:rsid w:val="00AF5D48"/>
    <w:rsid w:val="00B0785C"/>
    <w:rsid w:val="00B10ACE"/>
    <w:rsid w:val="00B116BF"/>
    <w:rsid w:val="00B11CA0"/>
    <w:rsid w:val="00B125C7"/>
    <w:rsid w:val="00B160B3"/>
    <w:rsid w:val="00B25015"/>
    <w:rsid w:val="00B27902"/>
    <w:rsid w:val="00B30FFB"/>
    <w:rsid w:val="00B3672D"/>
    <w:rsid w:val="00B36B6B"/>
    <w:rsid w:val="00B404D2"/>
    <w:rsid w:val="00B41892"/>
    <w:rsid w:val="00B45627"/>
    <w:rsid w:val="00B52C3D"/>
    <w:rsid w:val="00B568E8"/>
    <w:rsid w:val="00B60075"/>
    <w:rsid w:val="00B71E11"/>
    <w:rsid w:val="00B76BD9"/>
    <w:rsid w:val="00B770B1"/>
    <w:rsid w:val="00B820A6"/>
    <w:rsid w:val="00B83D8D"/>
    <w:rsid w:val="00B8743E"/>
    <w:rsid w:val="00B91B1C"/>
    <w:rsid w:val="00B91DDE"/>
    <w:rsid w:val="00B94297"/>
    <w:rsid w:val="00B950E2"/>
    <w:rsid w:val="00B95FD6"/>
    <w:rsid w:val="00BA18FC"/>
    <w:rsid w:val="00BB3304"/>
    <w:rsid w:val="00BB4915"/>
    <w:rsid w:val="00BB5558"/>
    <w:rsid w:val="00BB69D0"/>
    <w:rsid w:val="00BC0559"/>
    <w:rsid w:val="00BC201C"/>
    <w:rsid w:val="00BD61FD"/>
    <w:rsid w:val="00BE0890"/>
    <w:rsid w:val="00BE4828"/>
    <w:rsid w:val="00BE70A0"/>
    <w:rsid w:val="00BF6EA3"/>
    <w:rsid w:val="00C033F6"/>
    <w:rsid w:val="00C03BAD"/>
    <w:rsid w:val="00C13D38"/>
    <w:rsid w:val="00C20655"/>
    <w:rsid w:val="00C2183A"/>
    <w:rsid w:val="00C22AD9"/>
    <w:rsid w:val="00C22ADE"/>
    <w:rsid w:val="00C237A2"/>
    <w:rsid w:val="00C3577D"/>
    <w:rsid w:val="00C40836"/>
    <w:rsid w:val="00C438B3"/>
    <w:rsid w:val="00C45B7F"/>
    <w:rsid w:val="00C45FBF"/>
    <w:rsid w:val="00C575C8"/>
    <w:rsid w:val="00C64287"/>
    <w:rsid w:val="00C64A66"/>
    <w:rsid w:val="00C6525D"/>
    <w:rsid w:val="00C67323"/>
    <w:rsid w:val="00C773F4"/>
    <w:rsid w:val="00C80975"/>
    <w:rsid w:val="00C8335A"/>
    <w:rsid w:val="00C833FF"/>
    <w:rsid w:val="00CA0074"/>
    <w:rsid w:val="00CA1E74"/>
    <w:rsid w:val="00CA475C"/>
    <w:rsid w:val="00CA6A28"/>
    <w:rsid w:val="00CC0E8C"/>
    <w:rsid w:val="00CD2231"/>
    <w:rsid w:val="00CD3CB1"/>
    <w:rsid w:val="00CD3D20"/>
    <w:rsid w:val="00CD7099"/>
    <w:rsid w:val="00CE1E99"/>
    <w:rsid w:val="00CE3016"/>
    <w:rsid w:val="00CE313B"/>
    <w:rsid w:val="00CE3E69"/>
    <w:rsid w:val="00CE7A4A"/>
    <w:rsid w:val="00CE7F64"/>
    <w:rsid w:val="00CF267B"/>
    <w:rsid w:val="00CF444F"/>
    <w:rsid w:val="00D05384"/>
    <w:rsid w:val="00D05469"/>
    <w:rsid w:val="00D073FB"/>
    <w:rsid w:val="00D34D8B"/>
    <w:rsid w:val="00D35418"/>
    <w:rsid w:val="00D3552B"/>
    <w:rsid w:val="00D40356"/>
    <w:rsid w:val="00D427D4"/>
    <w:rsid w:val="00D456B1"/>
    <w:rsid w:val="00D52212"/>
    <w:rsid w:val="00D542D7"/>
    <w:rsid w:val="00D61899"/>
    <w:rsid w:val="00D639AE"/>
    <w:rsid w:val="00D64455"/>
    <w:rsid w:val="00D67608"/>
    <w:rsid w:val="00D67E3A"/>
    <w:rsid w:val="00D728BA"/>
    <w:rsid w:val="00D74D64"/>
    <w:rsid w:val="00D75F2C"/>
    <w:rsid w:val="00D832D9"/>
    <w:rsid w:val="00D859DD"/>
    <w:rsid w:val="00D90560"/>
    <w:rsid w:val="00D92510"/>
    <w:rsid w:val="00D92F36"/>
    <w:rsid w:val="00D93BBF"/>
    <w:rsid w:val="00DB2C2F"/>
    <w:rsid w:val="00DB46FE"/>
    <w:rsid w:val="00DB4AAE"/>
    <w:rsid w:val="00DB633F"/>
    <w:rsid w:val="00DC12FC"/>
    <w:rsid w:val="00DC2FB6"/>
    <w:rsid w:val="00DC36EA"/>
    <w:rsid w:val="00DC3BBE"/>
    <w:rsid w:val="00DD144E"/>
    <w:rsid w:val="00DD77D6"/>
    <w:rsid w:val="00DD7F10"/>
    <w:rsid w:val="00DE4E71"/>
    <w:rsid w:val="00DE7141"/>
    <w:rsid w:val="00DF25C6"/>
    <w:rsid w:val="00DF2655"/>
    <w:rsid w:val="00DF2923"/>
    <w:rsid w:val="00DF2C49"/>
    <w:rsid w:val="00DF3C67"/>
    <w:rsid w:val="00E006E4"/>
    <w:rsid w:val="00E013CF"/>
    <w:rsid w:val="00E17C10"/>
    <w:rsid w:val="00E26204"/>
    <w:rsid w:val="00E266EE"/>
    <w:rsid w:val="00E30190"/>
    <w:rsid w:val="00E33969"/>
    <w:rsid w:val="00E363D8"/>
    <w:rsid w:val="00E367F6"/>
    <w:rsid w:val="00E43B7F"/>
    <w:rsid w:val="00E523E6"/>
    <w:rsid w:val="00E55290"/>
    <w:rsid w:val="00E60039"/>
    <w:rsid w:val="00E66B34"/>
    <w:rsid w:val="00E67938"/>
    <w:rsid w:val="00E71CF1"/>
    <w:rsid w:val="00E769A4"/>
    <w:rsid w:val="00E774D6"/>
    <w:rsid w:val="00E80613"/>
    <w:rsid w:val="00E8317E"/>
    <w:rsid w:val="00E856F6"/>
    <w:rsid w:val="00E86E16"/>
    <w:rsid w:val="00E86EC0"/>
    <w:rsid w:val="00E9510B"/>
    <w:rsid w:val="00E976CC"/>
    <w:rsid w:val="00EA0203"/>
    <w:rsid w:val="00EA1CB1"/>
    <w:rsid w:val="00EA1FFC"/>
    <w:rsid w:val="00EA428A"/>
    <w:rsid w:val="00EA65CE"/>
    <w:rsid w:val="00EB385E"/>
    <w:rsid w:val="00ED1729"/>
    <w:rsid w:val="00ED37A2"/>
    <w:rsid w:val="00EE2E4E"/>
    <w:rsid w:val="00EE7CEB"/>
    <w:rsid w:val="00EF227A"/>
    <w:rsid w:val="00EF5D5E"/>
    <w:rsid w:val="00F02896"/>
    <w:rsid w:val="00F051CF"/>
    <w:rsid w:val="00F0613C"/>
    <w:rsid w:val="00F075FA"/>
    <w:rsid w:val="00F10A1A"/>
    <w:rsid w:val="00F11204"/>
    <w:rsid w:val="00F16E32"/>
    <w:rsid w:val="00F2717E"/>
    <w:rsid w:val="00F273CF"/>
    <w:rsid w:val="00F3119B"/>
    <w:rsid w:val="00F33261"/>
    <w:rsid w:val="00F33737"/>
    <w:rsid w:val="00F416D7"/>
    <w:rsid w:val="00F561EB"/>
    <w:rsid w:val="00F57CE7"/>
    <w:rsid w:val="00F6028C"/>
    <w:rsid w:val="00F60821"/>
    <w:rsid w:val="00F63850"/>
    <w:rsid w:val="00F700E1"/>
    <w:rsid w:val="00F7194D"/>
    <w:rsid w:val="00F75302"/>
    <w:rsid w:val="00F75975"/>
    <w:rsid w:val="00F77524"/>
    <w:rsid w:val="00F77A04"/>
    <w:rsid w:val="00F83FAE"/>
    <w:rsid w:val="00F87242"/>
    <w:rsid w:val="00F923C8"/>
    <w:rsid w:val="00F92A84"/>
    <w:rsid w:val="00F93D8D"/>
    <w:rsid w:val="00F94F95"/>
    <w:rsid w:val="00FA06C2"/>
    <w:rsid w:val="00FA1E02"/>
    <w:rsid w:val="00FB24EC"/>
    <w:rsid w:val="00FB52E5"/>
    <w:rsid w:val="00FC2027"/>
    <w:rsid w:val="00FC387E"/>
    <w:rsid w:val="00FC7E67"/>
    <w:rsid w:val="00FD2201"/>
    <w:rsid w:val="00FD6E59"/>
    <w:rsid w:val="00FE5B97"/>
    <w:rsid w:val="00FF0012"/>
    <w:rsid w:val="00FF1A19"/>
    <w:rsid w:val="00FF1C15"/>
    <w:rsid w:val="15AA2ADB"/>
    <w:rsid w:val="19231D27"/>
    <w:rsid w:val="1D44273D"/>
    <w:rsid w:val="201E3366"/>
    <w:rsid w:val="32FD5B5A"/>
    <w:rsid w:val="702F1E1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nhideWhenUsed="0"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qFormat="1" w:unhideWhenUsed="0"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0" w:semiHidden="0"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semiHidden="0" w:name="List Paragraph"/>
  </w:latentStyles>
  <w:style w:type="paragraph" w:default="1" w:styleId="1">
    <w:name w:val="Normal"/>
    <w:qFormat/>
    <w:uiPriority w:val="0"/>
    <w:pPr>
      <w:spacing w:after="200" w:line="276" w:lineRule="auto"/>
      <w:jc w:val="both"/>
    </w:pPr>
    <w:rPr>
      <w:rFonts w:ascii="Times New Roman" w:hAnsi="Times New Roman" w:eastAsiaTheme="minorEastAsia" w:cstheme="minorBidi"/>
      <w:sz w:val="24"/>
      <w:szCs w:val="22"/>
      <w:lang w:val="es-CO" w:eastAsia="es-CO" w:bidi="ar-SA"/>
    </w:rPr>
  </w:style>
  <w:style w:type="paragraph" w:styleId="2">
    <w:name w:val="heading 1"/>
    <w:basedOn w:val="1"/>
    <w:next w:val="1"/>
    <w:link w:val="48"/>
    <w:qFormat/>
    <w:uiPriority w:val="9"/>
    <w:pPr>
      <w:keepNext/>
      <w:keepLines/>
      <w:spacing w:before="240" w:after="0"/>
      <w:jc w:val="center"/>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link w:val="50"/>
    <w:unhideWhenUsed/>
    <w:qFormat/>
    <w:uiPriority w:val="9"/>
    <w:pPr>
      <w:keepNext/>
      <w:keepLines/>
      <w:spacing w:before="40" w:after="0"/>
      <w:jc w:val="left"/>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link w:val="35"/>
    <w:qFormat/>
    <w:uiPriority w:val="9"/>
    <w:pPr>
      <w:spacing w:before="100" w:beforeAutospacing="1" w:after="100" w:afterAutospacing="1" w:line="240" w:lineRule="auto"/>
      <w:outlineLvl w:val="2"/>
    </w:pPr>
    <w:rPr>
      <w:rFonts w:eastAsia="Times New Roman" w:cs="Times New Roman"/>
      <w:b/>
      <w:bCs/>
      <w:sz w:val="27"/>
      <w:szCs w:val="27"/>
      <w:lang w:val="es-ES" w:eastAsia="es-ES"/>
    </w:rPr>
  </w:style>
  <w:style w:type="paragraph" w:styleId="5">
    <w:name w:val="heading 4"/>
    <w:basedOn w:val="1"/>
    <w:next w:val="1"/>
    <w:link w:val="51"/>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52"/>
    <w:unhideWhenUsed/>
    <w:qFormat/>
    <w:uiPriority w:val="9"/>
    <w:pPr>
      <w:keepNext/>
      <w:keepLines/>
      <w:spacing w:before="40" w:after="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annotation reference"/>
    <w:semiHidden/>
    <w:unhideWhenUsed/>
    <w:qFormat/>
    <w:uiPriority w:val="99"/>
    <w:rPr>
      <w:sz w:val="16"/>
      <w:szCs w:val="16"/>
    </w:rPr>
  </w:style>
  <w:style w:type="character" w:styleId="10">
    <w:name w:val="footnote reference"/>
    <w:basedOn w:val="7"/>
    <w:semiHidden/>
    <w:unhideWhenUsed/>
    <w:qFormat/>
    <w:uiPriority w:val="99"/>
    <w:rPr>
      <w:vertAlign w:val="superscript"/>
    </w:rPr>
  </w:style>
  <w:style w:type="character" w:styleId="11">
    <w:name w:val="Hyperlink"/>
    <w:qFormat/>
    <w:uiPriority w:val="99"/>
    <w:rPr>
      <w:rFonts w:cs="Times New Roman"/>
      <w:color w:val="0000FF"/>
      <w:u w:val="single"/>
    </w:rPr>
  </w:style>
  <w:style w:type="character" w:styleId="12">
    <w:name w:val="page number"/>
    <w:basedOn w:val="7"/>
    <w:qFormat/>
    <w:uiPriority w:val="0"/>
  </w:style>
  <w:style w:type="character" w:styleId="13">
    <w:name w:val="Strong"/>
    <w:basedOn w:val="7"/>
    <w:qFormat/>
    <w:uiPriority w:val="22"/>
    <w:rPr>
      <w:b/>
      <w:bCs/>
    </w:rPr>
  </w:style>
  <w:style w:type="paragraph" w:styleId="14">
    <w:name w:val="toc 3"/>
    <w:basedOn w:val="1"/>
    <w:next w:val="1"/>
    <w:autoRedefine/>
    <w:unhideWhenUsed/>
    <w:qFormat/>
    <w:uiPriority w:val="39"/>
    <w:pPr>
      <w:tabs>
        <w:tab w:val="right" w:leader="dot" w:pos="9350"/>
      </w:tabs>
      <w:spacing w:after="100"/>
    </w:pPr>
  </w:style>
  <w:style w:type="paragraph" w:styleId="15">
    <w:name w:val="footnote text"/>
    <w:basedOn w:val="1"/>
    <w:link w:val="38"/>
    <w:semiHidden/>
    <w:uiPriority w:val="99"/>
    <w:pPr>
      <w:suppressAutoHyphens/>
      <w:spacing w:after="0" w:line="360" w:lineRule="auto"/>
    </w:pPr>
    <w:rPr>
      <w:rFonts w:ascii="Arial" w:hAnsi="Arial" w:eastAsia="Times New Roman" w:cs="Arial"/>
      <w:sz w:val="20"/>
      <w:szCs w:val="20"/>
      <w:lang w:eastAsia="ar-SA"/>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tabs>
        <w:tab w:val="right" w:leader="dot" w:pos="9350"/>
      </w:tabs>
      <w:spacing w:after="100"/>
    </w:pPr>
  </w:style>
  <w:style w:type="paragraph" w:styleId="18">
    <w:name w:val="endnote text"/>
    <w:basedOn w:val="1"/>
    <w:link w:val="39"/>
    <w:semiHidden/>
    <w:qFormat/>
    <w:uiPriority w:val="99"/>
    <w:pPr>
      <w:suppressAutoHyphens/>
      <w:spacing w:after="0" w:line="360" w:lineRule="auto"/>
    </w:pPr>
    <w:rPr>
      <w:rFonts w:ascii="Arial" w:hAnsi="Arial" w:eastAsia="Times New Roman" w:cs="Arial"/>
      <w:sz w:val="20"/>
      <w:szCs w:val="20"/>
      <w:lang w:eastAsia="ar-SA"/>
    </w:rPr>
  </w:style>
  <w:style w:type="paragraph" w:styleId="19">
    <w:name w:val="annotation subject"/>
    <w:basedOn w:val="20"/>
    <w:next w:val="20"/>
    <w:link w:val="43"/>
    <w:semiHidden/>
    <w:unhideWhenUsed/>
    <w:qFormat/>
    <w:uiPriority w:val="99"/>
    <w:rPr>
      <w:b/>
      <w:bCs/>
    </w:rPr>
  </w:style>
  <w:style w:type="paragraph" w:styleId="20">
    <w:name w:val="annotation text"/>
    <w:basedOn w:val="1"/>
    <w:link w:val="42"/>
    <w:semiHidden/>
    <w:unhideWhenUsed/>
    <w:qFormat/>
    <w:uiPriority w:val="99"/>
    <w:rPr>
      <w:rFonts w:ascii="Calibri" w:hAnsi="Calibri" w:eastAsia="Times New Roman" w:cs="Times New Roman"/>
      <w:sz w:val="20"/>
      <w:szCs w:val="20"/>
    </w:rPr>
  </w:style>
  <w:style w:type="paragraph" w:styleId="21">
    <w:name w:val="Balloon Text"/>
    <w:basedOn w:val="1"/>
    <w:link w:val="44"/>
    <w:semiHidden/>
    <w:unhideWhenUsed/>
    <w:qFormat/>
    <w:uiPriority w:val="99"/>
    <w:pPr>
      <w:spacing w:after="0" w:line="240" w:lineRule="auto"/>
    </w:pPr>
    <w:rPr>
      <w:rFonts w:ascii="Tahoma" w:hAnsi="Tahoma" w:eastAsia="Times New Roman" w:cs="Tahoma"/>
      <w:sz w:val="16"/>
      <w:szCs w:val="16"/>
    </w:rPr>
  </w:style>
  <w:style w:type="paragraph" w:styleId="22">
    <w:name w:val="toc 5"/>
    <w:basedOn w:val="1"/>
    <w:next w:val="1"/>
    <w:autoRedefine/>
    <w:unhideWhenUsed/>
    <w:uiPriority w:val="39"/>
    <w:pPr>
      <w:tabs>
        <w:tab w:val="right" w:leader="dot" w:pos="9350"/>
      </w:tabs>
      <w:spacing w:after="100"/>
      <w:ind w:firstLine="709"/>
    </w:pPr>
  </w:style>
  <w:style w:type="paragraph" w:styleId="23">
    <w:name w:val="toc 4"/>
    <w:basedOn w:val="1"/>
    <w:next w:val="1"/>
    <w:autoRedefine/>
    <w:unhideWhenUsed/>
    <w:qFormat/>
    <w:uiPriority w:val="39"/>
    <w:pPr>
      <w:tabs>
        <w:tab w:val="right" w:leader="dot" w:pos="9350"/>
      </w:tabs>
      <w:spacing w:after="100"/>
      <w:ind w:firstLine="709"/>
    </w:pPr>
  </w:style>
  <w:style w:type="paragraph" w:styleId="24">
    <w:name w:val="header"/>
    <w:basedOn w:val="1"/>
    <w:link w:val="30"/>
    <w:unhideWhenUsed/>
    <w:qFormat/>
    <w:uiPriority w:val="99"/>
    <w:pPr>
      <w:tabs>
        <w:tab w:val="center" w:pos="4419"/>
        <w:tab w:val="right" w:pos="8838"/>
      </w:tabs>
      <w:spacing w:after="0" w:line="240" w:lineRule="auto"/>
    </w:pPr>
  </w:style>
  <w:style w:type="paragraph" w:styleId="25">
    <w:name w:val="Normal (Web)"/>
    <w:basedOn w:val="1"/>
    <w:semiHidden/>
    <w:unhideWhenUsed/>
    <w:qFormat/>
    <w:uiPriority w:val="99"/>
    <w:pPr>
      <w:spacing w:before="100" w:beforeAutospacing="1" w:after="100" w:afterAutospacing="1" w:line="240" w:lineRule="auto"/>
    </w:pPr>
    <w:rPr>
      <w:rFonts w:eastAsia="Times New Roman" w:cs="Times New Roman"/>
      <w:szCs w:val="24"/>
      <w:lang w:eastAsia="es-ES"/>
    </w:rPr>
  </w:style>
  <w:style w:type="paragraph" w:styleId="26">
    <w:name w:val="footer"/>
    <w:basedOn w:val="1"/>
    <w:link w:val="31"/>
    <w:unhideWhenUsed/>
    <w:qFormat/>
    <w:uiPriority w:val="99"/>
    <w:pPr>
      <w:tabs>
        <w:tab w:val="center" w:pos="4419"/>
        <w:tab w:val="right" w:pos="8838"/>
      </w:tabs>
      <w:spacing w:after="0" w:line="240" w:lineRule="auto"/>
    </w:pPr>
  </w:style>
  <w:style w:type="paragraph" w:styleId="27">
    <w:name w:val="Body Text 3"/>
    <w:basedOn w:val="1"/>
    <w:link w:val="47"/>
    <w:unhideWhenUsed/>
    <w:qFormat/>
    <w:uiPriority w:val="0"/>
    <w:pPr>
      <w:suppressAutoHyphens/>
      <w:spacing w:after="120" w:line="240" w:lineRule="auto"/>
    </w:pPr>
    <w:rPr>
      <w:rFonts w:eastAsia="Times New Roman" w:cs="Calibri"/>
      <w:sz w:val="16"/>
      <w:szCs w:val="16"/>
      <w:lang w:eastAsia="ar-SA"/>
    </w:rPr>
  </w:style>
  <w:style w:type="paragraph" w:styleId="28">
    <w:name w:val="Plain Text"/>
    <w:basedOn w:val="1"/>
    <w:link w:val="41"/>
    <w:qFormat/>
    <w:uiPriority w:val="0"/>
    <w:pPr>
      <w:spacing w:after="0" w:line="240" w:lineRule="auto"/>
    </w:pPr>
    <w:rPr>
      <w:rFonts w:ascii="Courier New" w:hAnsi="Courier New" w:eastAsia="Times New Roman" w:cs="Times New Roman"/>
      <w:sz w:val="20"/>
      <w:szCs w:val="20"/>
      <w:lang w:val="es-ES" w:eastAsia="es-ES"/>
    </w:rPr>
  </w:style>
  <w:style w:type="table" w:styleId="2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Encabezado Car"/>
    <w:basedOn w:val="7"/>
    <w:link w:val="24"/>
    <w:qFormat/>
    <w:uiPriority w:val="99"/>
  </w:style>
  <w:style w:type="character" w:customStyle="1" w:styleId="31">
    <w:name w:val="Pie de página Car"/>
    <w:basedOn w:val="7"/>
    <w:link w:val="26"/>
    <w:qFormat/>
    <w:uiPriority w:val="99"/>
  </w:style>
  <w:style w:type="paragraph" w:styleId="32">
    <w:name w:val="List Paragraph"/>
    <w:basedOn w:val="1"/>
    <w:qFormat/>
    <w:uiPriority w:val="99"/>
    <w:pPr>
      <w:ind w:left="720"/>
      <w:contextualSpacing/>
    </w:pPr>
  </w:style>
  <w:style w:type="paragraph" w:customStyle="1" w:styleId="33">
    <w:name w:val="Default"/>
    <w:uiPriority w:val="0"/>
    <w:pPr>
      <w:autoSpaceDE w:val="0"/>
      <w:autoSpaceDN w:val="0"/>
      <w:adjustRightInd w:val="0"/>
    </w:pPr>
    <w:rPr>
      <w:rFonts w:ascii="Arial" w:hAnsi="Arial" w:eastAsia="Calibri" w:cs="Arial"/>
      <w:color w:val="000000"/>
      <w:sz w:val="24"/>
      <w:szCs w:val="24"/>
      <w:lang w:val="es-CO" w:eastAsia="es-ES" w:bidi="ar-SA"/>
    </w:rPr>
  </w:style>
  <w:style w:type="character" w:customStyle="1" w:styleId="34">
    <w:name w:val="apple-converted-space"/>
    <w:basedOn w:val="7"/>
    <w:uiPriority w:val="0"/>
  </w:style>
  <w:style w:type="character" w:customStyle="1" w:styleId="35">
    <w:name w:val="Título 3 Car"/>
    <w:basedOn w:val="7"/>
    <w:link w:val="4"/>
    <w:uiPriority w:val="9"/>
    <w:rPr>
      <w:rFonts w:ascii="Times New Roman" w:hAnsi="Times New Roman" w:eastAsia="Times New Roman" w:cs="Times New Roman"/>
      <w:b/>
      <w:bCs/>
      <w:sz w:val="27"/>
      <w:szCs w:val="27"/>
      <w:lang w:val="es-ES" w:eastAsia="es-ES"/>
    </w:rPr>
  </w:style>
  <w:style w:type="character" w:customStyle="1" w:styleId="36">
    <w:name w:val="Símbolo de nota al pie"/>
    <w:uiPriority w:val="99"/>
    <w:rPr>
      <w:rFonts w:cs="Times New Roman"/>
      <w:vertAlign w:val="superscript"/>
    </w:rPr>
  </w:style>
  <w:style w:type="character" w:customStyle="1" w:styleId="37">
    <w:name w:val="Símbolo de nota final"/>
    <w:qFormat/>
    <w:uiPriority w:val="99"/>
    <w:rPr>
      <w:rFonts w:cs="Times New Roman"/>
      <w:vertAlign w:val="superscript"/>
    </w:rPr>
  </w:style>
  <w:style w:type="character" w:customStyle="1" w:styleId="38">
    <w:name w:val="Texto nota pie Car"/>
    <w:basedOn w:val="7"/>
    <w:link w:val="15"/>
    <w:semiHidden/>
    <w:qFormat/>
    <w:uiPriority w:val="99"/>
    <w:rPr>
      <w:rFonts w:ascii="Arial" w:hAnsi="Arial" w:eastAsia="Times New Roman" w:cs="Arial"/>
      <w:sz w:val="20"/>
      <w:szCs w:val="20"/>
      <w:lang w:eastAsia="ar-SA"/>
    </w:rPr>
  </w:style>
  <w:style w:type="character" w:customStyle="1" w:styleId="39">
    <w:name w:val="Texto nota al final Car"/>
    <w:basedOn w:val="7"/>
    <w:link w:val="18"/>
    <w:semiHidden/>
    <w:qFormat/>
    <w:uiPriority w:val="99"/>
    <w:rPr>
      <w:rFonts w:ascii="Arial" w:hAnsi="Arial" w:eastAsia="Times New Roman" w:cs="Arial"/>
      <w:sz w:val="20"/>
      <w:szCs w:val="20"/>
      <w:lang w:eastAsia="ar-SA"/>
    </w:rPr>
  </w:style>
  <w:style w:type="table" w:customStyle="1" w:styleId="40">
    <w:name w:val="Tabla con cuadrícula1"/>
    <w:basedOn w:val="8"/>
    <w:uiPriority w:val="59"/>
    <w:rPr>
      <w:rFonts w:ascii="Calibri" w:hAnsi="Calibri"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1">
    <w:name w:val="Texto sin formato Car"/>
    <w:basedOn w:val="7"/>
    <w:link w:val="28"/>
    <w:uiPriority w:val="0"/>
    <w:rPr>
      <w:rFonts w:ascii="Courier New" w:hAnsi="Courier New" w:eastAsia="Times New Roman" w:cs="Times New Roman"/>
      <w:sz w:val="20"/>
      <w:szCs w:val="20"/>
      <w:lang w:val="es-ES" w:eastAsia="es-ES"/>
    </w:rPr>
  </w:style>
  <w:style w:type="character" w:customStyle="1" w:styleId="42">
    <w:name w:val="Texto comentario Car"/>
    <w:basedOn w:val="7"/>
    <w:link w:val="20"/>
    <w:semiHidden/>
    <w:qFormat/>
    <w:uiPriority w:val="99"/>
    <w:rPr>
      <w:rFonts w:ascii="Calibri" w:hAnsi="Calibri" w:eastAsia="Times New Roman" w:cs="Times New Roman"/>
      <w:sz w:val="20"/>
      <w:szCs w:val="20"/>
    </w:rPr>
  </w:style>
  <w:style w:type="character" w:customStyle="1" w:styleId="43">
    <w:name w:val="Asunto del comentario Car"/>
    <w:basedOn w:val="42"/>
    <w:link w:val="19"/>
    <w:semiHidden/>
    <w:uiPriority w:val="99"/>
    <w:rPr>
      <w:rFonts w:ascii="Calibri" w:hAnsi="Calibri" w:eastAsia="Times New Roman" w:cs="Times New Roman"/>
      <w:b/>
      <w:bCs/>
      <w:sz w:val="20"/>
      <w:szCs w:val="20"/>
    </w:rPr>
  </w:style>
  <w:style w:type="character" w:customStyle="1" w:styleId="44">
    <w:name w:val="Texto de globo Car"/>
    <w:basedOn w:val="7"/>
    <w:link w:val="21"/>
    <w:semiHidden/>
    <w:qFormat/>
    <w:uiPriority w:val="99"/>
    <w:rPr>
      <w:rFonts w:ascii="Tahoma" w:hAnsi="Tahoma" w:eastAsia="Times New Roman" w:cs="Tahoma"/>
      <w:sz w:val="16"/>
      <w:szCs w:val="16"/>
    </w:rPr>
  </w:style>
  <w:style w:type="character" w:customStyle="1" w:styleId="45">
    <w:name w:val="resdate"/>
    <w:basedOn w:val="7"/>
    <w:qFormat/>
    <w:uiPriority w:val="0"/>
  </w:style>
  <w:style w:type="paragraph" w:customStyle="1" w:styleId="46">
    <w:name w:val="Author"/>
    <w:basedOn w:val="33"/>
    <w:next w:val="33"/>
    <w:qFormat/>
    <w:uiPriority w:val="99"/>
    <w:rPr>
      <w:rFonts w:ascii="HIKNAF+TimesNewRoman,Bold" w:hAnsi="HIKNAF+TimesNewRoman,Bold" w:eastAsia="Times New Roman" w:cs="Times New Roman"/>
      <w:color w:val="auto"/>
      <w:lang w:val="es-ES"/>
    </w:rPr>
  </w:style>
  <w:style w:type="character" w:customStyle="1" w:styleId="47">
    <w:name w:val="Texto independiente 3 Car"/>
    <w:basedOn w:val="7"/>
    <w:link w:val="27"/>
    <w:qFormat/>
    <w:uiPriority w:val="0"/>
    <w:rPr>
      <w:rFonts w:ascii="Times New Roman" w:hAnsi="Times New Roman" w:eastAsia="Times New Roman" w:cs="Calibri"/>
      <w:sz w:val="16"/>
      <w:szCs w:val="16"/>
      <w:lang w:eastAsia="ar-SA"/>
    </w:rPr>
  </w:style>
  <w:style w:type="character" w:customStyle="1" w:styleId="48">
    <w:name w:val="Título 1 Car"/>
    <w:basedOn w:val="7"/>
    <w:link w:val="2"/>
    <w:qFormat/>
    <w:uiPriority w:val="9"/>
    <w:rPr>
      <w:rFonts w:ascii="Times New Roman" w:hAnsi="Times New Roman" w:eastAsiaTheme="majorEastAsia" w:cstheme="majorBidi"/>
      <w:b/>
      <w:color w:val="000000" w:themeColor="text1"/>
      <w:sz w:val="24"/>
      <w:szCs w:val="32"/>
      <w:lang w:eastAsia="es-CO"/>
      <w14:textFill>
        <w14:solidFill>
          <w14:schemeClr w14:val="tx1"/>
        </w14:solidFill>
      </w14:textFill>
    </w:rPr>
  </w:style>
  <w:style w:type="paragraph" w:customStyle="1" w:styleId="49">
    <w:name w:val="Título TDC1"/>
    <w:basedOn w:val="2"/>
    <w:next w:val="1"/>
    <w:unhideWhenUsed/>
    <w:qFormat/>
    <w:uiPriority w:val="39"/>
    <w:pPr>
      <w:spacing w:line="259" w:lineRule="auto"/>
      <w:outlineLvl w:val="9"/>
    </w:pPr>
    <w:rPr>
      <w:lang w:val="es-ES" w:eastAsia="es-ES"/>
    </w:rPr>
  </w:style>
  <w:style w:type="character" w:customStyle="1" w:styleId="50">
    <w:name w:val="Título 2 Car"/>
    <w:basedOn w:val="7"/>
    <w:link w:val="3"/>
    <w:qFormat/>
    <w:uiPriority w:val="9"/>
    <w:rPr>
      <w:rFonts w:ascii="Times New Roman" w:hAnsi="Times New Roman" w:eastAsiaTheme="majorEastAsia" w:cstheme="majorBidi"/>
      <w:b/>
      <w:color w:val="000000" w:themeColor="text1"/>
      <w:sz w:val="24"/>
      <w:szCs w:val="26"/>
      <w:lang w:eastAsia="es-CO"/>
      <w14:textFill>
        <w14:solidFill>
          <w14:schemeClr w14:val="tx1"/>
        </w14:solidFill>
      </w14:textFill>
    </w:rPr>
  </w:style>
  <w:style w:type="character" w:customStyle="1" w:styleId="51">
    <w:name w:val="Título 4 Car"/>
    <w:basedOn w:val="7"/>
    <w:link w:val="5"/>
    <w:qFormat/>
    <w:uiPriority w:val="9"/>
    <w:rPr>
      <w:rFonts w:asciiTheme="majorHAnsi" w:hAnsiTheme="majorHAnsi" w:eastAsiaTheme="majorEastAsia" w:cstheme="majorBidi"/>
      <w:i/>
      <w:iCs/>
      <w:color w:val="376092" w:themeColor="accent1" w:themeShade="BF"/>
      <w:lang w:eastAsia="es-CO"/>
    </w:rPr>
  </w:style>
  <w:style w:type="character" w:customStyle="1" w:styleId="52">
    <w:name w:val="Título 5 Car"/>
    <w:basedOn w:val="7"/>
    <w:link w:val="6"/>
    <w:uiPriority w:val="9"/>
    <w:rPr>
      <w:rFonts w:asciiTheme="majorHAnsi" w:hAnsiTheme="majorHAnsi" w:eastAsiaTheme="majorEastAsia" w:cstheme="majorBidi"/>
      <w:color w:val="376092" w:themeColor="accent1" w:themeShade="BF"/>
      <w:lang w:eastAsia="es-CO"/>
    </w:rPr>
  </w:style>
  <w:style w:type="paragraph" w:customStyle="1" w:styleId="53">
    <w:name w:val="Bibliografía1"/>
    <w:basedOn w:val="1"/>
    <w:next w:val="1"/>
    <w:unhideWhenUsed/>
    <w:qFormat/>
    <w:uiPriority w:val="37"/>
  </w:style>
  <w:style w:type="paragraph" w:customStyle="1" w:styleId="54">
    <w:name w:val="WPSOffice手动目录 1"/>
    <w:uiPriority w:val="0"/>
    <w:rPr>
      <w:rFonts w:asciiTheme="minorHAnsi" w:hAnsiTheme="minorHAnsi" w:eastAsiaTheme="minorHAnsi" w:cstheme="minorBidi"/>
      <w:lang w:val="es-CO" w:eastAsia="es-CO" w:bidi="ar-SA"/>
    </w:rPr>
  </w:style>
  <w:style w:type="paragraph" w:customStyle="1" w:styleId="55">
    <w:name w:val="WPSOffice手动目录 2"/>
    <w:uiPriority w:val="0"/>
    <w:pPr>
      <w:ind w:left="200" w:leftChars="200"/>
    </w:pPr>
    <w:rPr>
      <w:rFonts w:asciiTheme="minorHAnsi" w:hAnsiTheme="minorHAnsi" w:eastAsiaTheme="minorHAnsi" w:cstheme="minorBidi"/>
      <w:lang w:val="es-CO" w:eastAsia="es-CO" w:bidi="ar-SA"/>
    </w:rPr>
  </w:style>
  <w:style w:type="character" w:customStyle="1" w:styleId="56">
    <w:name w:val="Unresolved Mention"/>
    <w:basedOn w:val="7"/>
    <w:semiHidden/>
    <w:unhideWhenUsed/>
    <w:uiPriority w:val="99"/>
    <w:rPr>
      <w:color w:val="605E5C"/>
      <w:shd w:val="clear" w:color="auto" w:fill="E1DFDD"/>
    </w:rPr>
  </w:style>
  <w:style w:type="table" w:customStyle="1" w:styleId="57">
    <w:name w:val="Plain Table 1"/>
    <w:basedOn w:val="8"/>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8">
    <w:name w:val="Plain Table 3"/>
    <w:basedOn w:val="8"/>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9">
    <w:name w:val="Plain Table 4"/>
    <w:basedOn w:val="8"/>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0">
    <w:name w:val="Plain Table 2"/>
    <w:basedOn w:val="8"/>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Cómss</b:Tag>
    <b:SourceType>DocumentFromInternetSite</b:SourceType>
    <b:Guid>{E8D75399-0AF9-4AD8-8A36-112C78475AF4}</b:Guid>
    <b:Title>¿Cómo elaborar la introducción en un trabajo de investigación ?</b:Title>
    <b:Year>s.f.</b:Year>
    <b:URL>http://www.unap.cl/prontus_unap/site/artic/20150505/asocfile/20150505105202/como_elaborar_una_introduccion_1.pdf</b:URL>
    <b:RefOrder>1</b:RefOrder>
  </b:Source>
  <b:Source>
    <b:Tag>Cha17</b:Tag>
    <b:SourceType>Book</b:SourceType>
    <b:Guid>{AFAA5EF7-2345-4AE8-9962-4ABE1F708C6F}</b:Guid>
    <b:Title>Metodología para la elaboración de tesis y otras opciones de titulación</b:Title>
    <b:Year>2017</b:Year>
    <b:Publisher>Trillas</b:Publisher>
    <b:Author>
      <b:Author>
        <b:NameList>
          <b:Person>
            <b:Last>Chavarría</b:Last>
            <b:First>Marcela</b:First>
          </b:Person>
          <b:Person>
            <b:Last>Villalobos</b:Last>
            <b:First>Marveya</b:First>
          </b:Person>
        </b:NameList>
      </b:Author>
    </b:Author>
    <b:RefOrder>2</b:RefOrder>
  </b:Source>
  <b:Source>
    <b:Tag>Sil09</b:Tag>
    <b:SourceType>Book</b:SourceType>
    <b:Guid>{E7119625-67FA-43A6-8310-757F450ABC78}</b:Guid>
    <b:Title>Cómo escribir mejores textos académicos: guía práctica</b:Title>
    <b:Year>2009</b:Year>
    <b:Publisher>Manual Moderno</b:Publisher>
    <b:Author>
      <b:Author>
        <b:NameList>
          <b:Person>
            <b:Last>Silvia</b:Last>
            <b:First>Paul J</b:First>
          </b:Person>
        </b:NameList>
      </b:Author>
    </b:Author>
    <b:RefOrder>3</b:RefOrder>
  </b:Source>
  <b:Source>
    <b:Tag>Ecu19</b:Tag>
    <b:SourceType>ArticleInAPeriodical</b:SourceType>
    <b:Guid>{2D170D2B-033B-4CEB-8824-3B55CAED67D1}</b:Guid>
    <b:Title>Ecuador cerró 2018 con una pobreza del 23,2 % y una pobreza extrema de 8,4 %Ecuador pobreza</b:Title>
    <b:Year>2019</b:Year>
    <b:PeriodicalTitle>EFE News Service</b:PeriodicalTitle>
    <b:Month>Jan</b:Month>
    <b:URL>https://search-proquest-com.ezproxy.cecar.edu.co:2443/docview/2167332955/89081D4992F9404EPQ/7?accountid=34487</b:URL>
    <b:RefOrder>4</b:RefOrder>
  </b:Source>
  <b:Source>
    <b:Tag>Pin05</b:Tag>
    <b:SourceType>ArticleInAPeriodical</b:SourceType>
    <b:Guid>{F38C4D5B-456F-4453-8F9D-7675809CFBD7}</b:Guid>
    <b:Title>"La Aglobalización de la pobreza, la pobreza de la globalización": el reto inaplazable</b:Title>
    <b:PeriodicalTitle>El Cotidiano</b:PeriodicalTitle>
    <b:Year>2005</b:Year>
    <b:Month>enero-febrero</b:Month>
    <b:Author>
      <b:Author>
        <b:NameList>
          <b:Person>
            <b:Last>Pinilla-García</b:Last>
            <b:First>Alfonso</b:First>
          </b:Person>
        </b:NameList>
      </b:Author>
    </b:Author>
    <b:URL>https://search-proquest-com.ezproxy.cecar.edu.co:2443/docview/199595729/412866A18E1A4C71PQ/1?accountid=34487</b:URL>
    <b:RefOrder>5</b:RefOrder>
  </b:Source>
  <b:Source>
    <b:Tag>Cue20</b:Tag>
    <b:SourceType>Book</b:SourceType>
    <b:Guid>{E2BDFA59-FB2A-486A-8BC4-55FDE4CDC70F}</b:Guid>
    <b:Title>Economía</b:Title>
    <b:Year>2020</b:Year>
    <b:Publisher>McGraw-Hill</b:Publisher>
    <b:Author>
      <b:Author>
        <b:NameList>
          <b:Person>
            <b:Last>Cuevas</b:Last>
            <b:First>Homero</b:First>
          </b:Person>
        </b:NameList>
      </b:Author>
    </b:Author>
    <b:Volume>1</b:Volume>
    <b:RefOrder>6</b:RefOrder>
  </b:Source>
  <b:Source>
    <b:Tag>Gómsf</b:Tag>
    <b:SourceType>DocumentFromInternetSite</b:SourceType>
    <b:Guid>{47358E4F-7CE8-4329-9897-4C22DB522FBB}</b:Guid>
    <b:Title>Economía</b:Title>
    <b:Year>s.f.</b:Year>
    <b:InternetSiteTitle>Economipedia</b:InternetSiteTitle>
    <b:URL>https://economipedia.com/definiciones/economia.html</b:URL>
    <b:Author>
      <b:Author>
        <b:NameList>
          <b:Person>
            <b:Last>Gómez</b:Last>
            <b:First>Pedro</b:First>
          </b:Person>
        </b:NameList>
      </b:Author>
    </b:Author>
    <b:RefOrder>7</b:RefOrder>
  </b:Source>
  <b:Source>
    <b:Tag>Consf</b:Tag>
    <b:SourceType>DocumentFromInternetSite</b:SourceType>
    <b:Guid>{28EDBED4-685C-43DA-A5DB-8BDDCB3529DF}</b:Guid>
    <b:Title>Constitución Política de Colombia, 1886</b:Title>
    <b:InternetSiteTitle>http://americo.usal.es/</b:InternetSiteTitle>
    <b:Year>s.f.</b:Year>
    <b:URL>http://americo.usal.es/oir/legislatina/normasyreglamentos/constituciones/colombia1886.pdf</b:URL>
    <b:RefOrder>8</b:RefOrder>
  </b:Source>
  <b:Source>
    <b:Tag>Pal20</b:Tag>
    <b:SourceType>JournalArticle</b:SourceType>
    <b:Guid>{9210460C-9EBB-446A-8A74-28A19081118B}</b:Guid>
    <b:Title>El derecho penal en Colombia</b:Title>
    <b:Year>2020</b:Year>
    <b:Month>junio-julio</b:Month>
    <b:JournalName>Opinión Jurídica Colombiana</b:JournalName>
    <b:Pages>55-70</b:Pages>
    <b:Author>
      <b:Author>
        <b:NameList>
          <b:Person>
            <b:Last>Palencia-Gómez</b:Last>
            <b:Middle>Carlos</b:Middle>
            <b:First>Luis</b:First>
          </b:Person>
        </b:NameList>
      </b:Author>
    </b:Author>
    <b:Publisher>Universidad de Valencia</b:Publisher>
    <b:Volume>50</b:Volume>
    <b:Issue>25</b:Issue>
    <b:DOI>http/9999999.55555</b:DOI>
    <b:RefOrder>9</b:RefOrder>
  </b:Source>
  <b:Source>
    <b:Tag>Góm19</b:Tag>
    <b:SourceType>Book</b:SourceType>
    <b:Guid>{B8B39DA4-642D-414D-A53E-382132F10558}</b:Guid>
    <b:Title>El año de la conciliación</b:Title>
    <b:Year>2019</b:Year>
    <b:Publisher>Leyer</b:Publisher>
    <b:Author>
      <b:Author>
        <b:NameList>
          <b:Person>
            <b:Last>Gómez</b:Last>
            <b:First>Juan</b:First>
          </b:Person>
          <b:Person>
            <b:Last>Pérez</b:Last>
            <b:First>Jorge</b:First>
          </b:Person>
        </b:NameList>
      </b:Author>
    </b:Author>
    <b:Volume>5</b:Volume>
    <b:Edition>5a</b:Edition>
    <b:RefOrder>10</b:RefOrder>
  </b:Source>
</b:Sources>
</file>

<file path=customXml/itemProps1.xml><?xml version="1.0" encoding="utf-8"?>
<ds:datastoreItem xmlns:ds="http://schemas.openxmlformats.org/officeDocument/2006/customXml" ds:itemID="{85BB0A30-5727-4BE2-8EEA-D30906E73899}">
  <ds:schemaRefs/>
</ds:datastoreItem>
</file>

<file path=docProps/app.xml><?xml version="1.0" encoding="utf-8"?>
<Properties xmlns="http://schemas.openxmlformats.org/officeDocument/2006/extended-properties" xmlns:vt="http://schemas.openxmlformats.org/officeDocument/2006/docPropsVTypes">
  <Template>Normal</Template>
  <Pages>13</Pages>
  <Words>509</Words>
  <Characters>3053</Characters>
  <Lines>113</Lines>
  <Paragraphs>32</Paragraphs>
  <TotalTime>144</TotalTime>
  <ScaleCrop>false</ScaleCrop>
  <LinksUpToDate>false</LinksUpToDate>
  <CharactersWithSpaces>3535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2026-05-06T04:55:00Z</dcterms:created>
  <dc:creator>Nora Visbal</dc:creator>
  <cp:lastModifiedBy>JORLUIS ISSAC PARRA AMELL</cp:lastModifiedBy>
  <cp:lastPrinted>2015-08-19T16:57:00Z</cp:lastPrinted>
  <dcterms:modified xsi:type="dcterms:W3CDTF">2026-05-08T02:28:51Z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3082-12.1.0.25862</vt:lpwstr>
  </property>
  <property fmtid="{D5CDD505-2E9C-101B-9397-08002B2CF9AE}" pid="3" name="ICV">
    <vt:lpwstr>B21D2F641E0C48DC968C8B65AB05E0C1_12</vt:lpwstr>
  </property>
  <property fmtid="{D5CDD505-2E9C-101B-9397-08002B2CF9AE}" pid="4" name="KSOTemplateDocerSaveRecord">
    <vt:lpwstr>eyJoZGlkIjoiMGEwODJiMzRkZTE2YzQ4MGRmZjYyYmI3MTE5YmIzMTEiLCJ1c2VySWQiOiIxNjY3MDgwMDA3NjQwIn0=</vt:lpwstr>
  </property>
</Properties>
</file>