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Target Cash Flow and Investment Capacity Final Execution Roadmap</w:t>
      </w:r>
    </w:p>
    <w:p>
      <w:pPr>
        <w:pStyle w:val="Subtitle"/>
      </w:pPr>
      <w:r>
        <w:t>Public data financial model and decision support case study</w:t>
      </w:r>
    </w:p>
    <w:p>
      <w:r>
        <w:t>Prepared for Jay Patel | 10 September 2026</w:t>
      </w:r>
    </w:p>
    <w:p>
      <w:pPr>
        <w:pStyle w:val="Heading2"/>
      </w:pPr>
      <w:r>
        <w:t>The decision</w:t>
      </w:r>
    </w:p>
    <w:p>
      <w:r>
        <w:t>Build an independent, public-data financial model that estimates how changes in sales, margins, inventory, and payment timing affect Target’s cash available for investment. The intended user is an FP&amp;A analyst preparing a recommendation for a finance manager.</w:t>
      </w:r>
    </w:p>
    <w:p>
      <w:r>
        <w:t>Start with four reconciled historical quarters. Expand to approximately 16 quarters, then forecast four quarters under base, downside, and recovery scenarios. Use transparent formulas and historical comparisons before building a dashboard.</w:t>
      </w:r>
    </w:p>
    <w:p>
      <w:pPr>
        <w:pStyle w:val="Heading2"/>
      </w:pPr>
      <w:r>
        <w:t>What success looks like</w:t>
      </w:r>
    </w:p>
    <w:p>
      <w:pPr>
        <w:pStyle w:val="ListBullet"/>
      </w:pPr>
      <w:r>
        <w:t>A reviewer can trace every historical value to a filing and reproduce every derived number.</w:t>
      </w:r>
    </w:p>
    <w:p>
      <w:pPr>
        <w:pStyle w:val="ListBullet"/>
      </w:pPr>
      <w:r>
        <w:t>Forecasts are compared with a seasonal baseline using information available at each forecast date.</w:t>
      </w:r>
    </w:p>
    <w:p>
      <w:pPr>
        <w:pStyle w:val="ListBullet"/>
      </w:pPr>
      <w:r>
        <w:t>The recommendation explains cash constraints, the largest uncertainties, and the conditions under which the conclusion changes.</w:t>
      </w:r>
    </w:p>
    <w:p>
      <w:pPr>
        <w:pStyle w:val="ListBullet"/>
      </w:pPr>
      <w:r>
        <w:t>The completed model runs without an AI subscription or runtime model API.</w:t>
      </w:r>
    </w:p>
    <w:p>
      <w:pPr>
        <w:pStyle w:val="Heading2"/>
      </w:pPr>
      <w:r>
        <w:t>Scope and boundaries</w:t>
      </w:r>
    </w:p>
    <w:p>
      <w:r>
        <w:t>This is an external case study, not Target’s internal budget, consulting work for Target, or an investment recommendation. Company-level statements cannot support a daily treasury forecast, store-level budget, or SKU-level purchasing plan. No realized savings are claimed.</w:t>
      </w:r>
    </w:p>
    <w:p>
      <w:r>
        <w:t>The initial model is a focused earnings-to-cash bridge with selected balance-sheet drivers, not a fully integrated three-statement model. Additional accounts are added only when material to the decision.</w:t>
      </w:r>
    </w:p>
    <w:p>
      <w:pPr>
        <w:pStyle w:val="Heading2"/>
      </w:pPr>
      <w:r>
        <w:t>How to use this guide</w:t>
      </w:r>
    </w:p>
    <w:p>
      <w:r>
        <w:t>Sections 1–2 cover tools and repository setup; sections 3–4 define data and accounting rules; sections 5–7 specify forecasting and validation; sections 8–9 cover outputs and release; sections 10–11 contain AI prompts and the execution schedule.</w:t>
      </w:r>
    </w:p>
    <w:p>
      <w:r>
        <w:t>This guide specifies a project to build. It does not contain downloaded Target financials, executed backtests, a working application, or validated investment-capacity results.</w:t>
      </w:r>
    </w:p>
    <w:p>
      <w:pPr>
        <w:pStyle w:val="Heading1"/>
        <w:pageBreakBefore/>
      </w:pPr>
      <w:r>
        <w:t>1  Confirm the technology and working environment</w:t>
      </w:r>
    </w:p>
    <w:tbl>
      <w:tblPr>
        <w:tblW w:type="auto" w:w="0"/>
        <w:tblLayout w:type="fixed"/>
        <w:tblLook w:firstColumn="1" w:firstRow="1" w:lastColumn="0" w:lastRow="0" w:noHBand="0" w:noVBand="1" w:val="04A0"/>
      </w:tblPr>
      <w:tblGrid>
        <w:gridCol w:w="1944"/>
        <w:gridCol w:w="8136"/>
      </w:tblGrid>
      <w:tr>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Component</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Choice and responsibility</w:t>
            </w:r>
          </w:p>
        </w:tc>
      </w:tr>
      <w:tr>
        <w:tc>
          <w:tcPr>
            <w:tcW w:type="dxa" w:w="194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Main AI assistant</w:t>
            </w:r>
          </w:p>
        </w:tc>
        <w:tc>
          <w:tcPr>
            <w:tcW w:type="dxa" w:w="81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Use your existing Claude access for coding if preferred. ChatGPT or Gemini can review a bounded change. This is a workflow choice, not a claim that one model is universally best.</w:t>
            </w:r>
          </w:p>
        </w:tc>
      </w:tr>
      <w:tr>
        <w:tc>
          <w:tcPr>
            <w:tcW w:type="dxa" w:w="194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Python</w:t>
            </w:r>
          </w:p>
        </w:tc>
        <w:tc>
          <w:tcPr>
            <w:tcW w:type="dxa" w:w="81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Use a supported Python 3 version in a virtual environment. pandas prepares data; requests retrieves filings; openpyxl writes Excel; pytest checks financial invariants.</w:t>
            </w:r>
          </w:p>
        </w:tc>
      </w:tr>
      <w:tr>
        <w:tc>
          <w:tcPr>
            <w:tcW w:type="dxa" w:w="194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SQL database</w:t>
            </w:r>
          </w:p>
        </w:tc>
        <w:tc>
          <w:tcPr>
            <w:tcW w:type="dxa" w:w="81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SQLite stores source facts, reconciled quarterly values, assumptions, and forecast results. No hosted database or database subscription.</w:t>
            </w:r>
          </w:p>
        </w:tc>
      </w:tr>
      <w:tr>
        <w:tc>
          <w:tcPr>
            <w:tcW w:type="dxa" w:w="194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Excel</w:t>
            </w:r>
          </w:p>
        </w:tc>
        <w:tc>
          <w:tcPr>
            <w:tcW w:type="dxa" w:w="81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Authoritative user-facing model: visible formulas, assumptions, scenarios, checks, and charts. Python provides a reference calculation for validation.</w:t>
            </w:r>
          </w:p>
        </w:tc>
      </w:tr>
      <w:tr>
        <w:tc>
          <w:tcPr>
            <w:tcW w:type="dxa" w:w="194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Power BI</w:t>
            </w:r>
          </w:p>
        </w:tc>
        <w:tc>
          <w:tcPr>
            <w:tcW w:type="dxa" w:w="81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Optional presentation stage. Import validated CSV outputs; do not rebuild a conflicting forecast engine in DAX.</w:t>
            </w:r>
          </w:p>
        </w:tc>
      </w:tr>
      <w:tr>
        <w:tc>
          <w:tcPr>
            <w:tcW w:type="dxa" w:w="194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GitHub</w:t>
            </w:r>
          </w:p>
        </w:tc>
        <w:tc>
          <w:tcPr>
            <w:tcW w:type="dxa" w:w="81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Version code, small derived datasets, assumptions, source manifests, and release instructions. Review changes before publishing.</w:t>
            </w:r>
          </w:p>
        </w:tc>
      </w:tr>
      <w:tr>
        <w:tc>
          <w:tcPr>
            <w:tcW w:type="dxa" w:w="194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Hosting and connectors</w:t>
            </w:r>
          </w:p>
        </w:tc>
        <w:tc>
          <w:tcPr>
            <w:tcW w:type="dxa" w:w="81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None required initially. Use public filings, local files, and standard imports. Cloud databases, paid market-data feeds, and AI-in-Excel add-ons are unnecessary.</w:t>
            </w:r>
          </w:p>
        </w:tc>
      </w:tr>
    </w:tbl>
    <w:p>
      <w:pPr>
        <w:pStyle w:val="Heading2"/>
      </w:pPr>
      <w:r>
        <w:t>Mac and Windows</w:t>
      </w:r>
    </w:p>
    <w:p>
      <w:r>
        <w:t>Excel and the Python/SQLite workflow can be used on your Mac. Power BI Desktop requires a supported Windows environment; use existing university or remote Windows access for that stage. Do not make Windows access a prerequisite for the financial model. [3]</w:t>
      </w:r>
    </w:p>
    <w:p>
      <w:pPr>
        <w:pStyle w:val="Heading2"/>
      </w:pPr>
      <w:r>
        <w:t>Costs</w:t>
      </w:r>
    </w:p>
    <w:p>
      <w:r>
        <w:t>Use existing AI and Excel access. Start with local, open-source Python packages and SQLite. No paid data or model API is required. Power BI sharing and Microsoft licensing depend on your available account; defer publishing purchases until there is something useful to share.</w:t>
      </w:r>
    </w:p>
    <w:p>
      <w:pPr>
        <w:pStyle w:val="Heading1"/>
        <w:pageBreakBefore/>
      </w:pPr>
      <w:r>
        <w:t>2  Set up the repository</w:t>
      </w:r>
    </w:p>
    <w:p>
      <w:pPr>
        <w:pStyle w:val="Heading2"/>
      </w:pPr>
      <w:r>
        <w:t>Step 1  Create a local project and environment</w:t>
      </w:r>
    </w:p>
    <w:p>
      <w:r>
        <w:t>The following bootstrap commands are intended for your Mac terminal. They create folders and install initial dependencies; they do not implement the model. Resolve package compatibility when building and pin the versions that pass verification.</w:t>
      </w:r>
    </w:p>
    <w:p>
      <w:pPr>
        <w:spacing w:after="160"/>
      </w:pPr>
      <w:r>
        <w:rPr>
          <w:rFonts w:ascii="Consolas" w:hAnsi="Consolas"/>
          <w:sz w:val="18"/>
        </w:rPr>
        <w:t>mkdir target-cash-model</w:t>
        <w:br/>
        <w:t>cd target-cash-model</w:t>
        <w:br/>
        <w:t>git init</w:t>
        <w:br/>
        <w:t>python3 -m venv .venv</w:t>
        <w:br/>
        <w:t>source .venv/bin/activate</w:t>
        <w:br/>
        <w:t>python -m pip install pandas requests openpyxl pytest</w:t>
        <w:br/>
        <w:t>mkdir -p src tests config sql data/raw data/curated outputs docs</w:t>
        <w:br/>
        <w:t>python -m pip freeze &gt; requirements.lock.txt</w:t>
      </w:r>
    </w:p>
    <w:p>
      <w:r>
        <w:t>Ignore .venv/, local credentials, private contact configuration, temporary files, and large raw downloads in .gitignore. Keep a manifest recording file hashes and source URLs so downloads remain reproducible.</w:t>
      </w:r>
    </w:p>
    <w:p>
      <w:pPr>
        <w:pStyle w:val="Heading2"/>
      </w:pPr>
      <w:r>
        <w:t>Step 2  Use this structure</w:t>
      </w:r>
    </w:p>
    <w:tbl>
      <w:tblPr>
        <w:tblW w:type="auto" w:w="0"/>
        <w:tblLayout w:type="fixed"/>
        <w:tblLook w:firstColumn="1" w:firstRow="1" w:lastColumn="0" w:lastRow="0" w:noHBand="0" w:noVBand="1" w:val="04A0"/>
      </w:tblPr>
      <w:tblGrid>
        <w:gridCol w:w="3384"/>
        <w:gridCol w:w="6696"/>
      </w:tblGrid>
      <w:tr>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Path</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Purpose</w:t>
            </w:r>
          </w:p>
        </w:tc>
      </w:tr>
      <w:tr>
        <w:tc>
          <w:tcPr>
            <w:tcW w:type="dxa" w:w="33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src/fetch.py; normalize.py</w:t>
            </w:r>
          </w:p>
        </w:tc>
        <w:tc>
          <w:tcPr>
            <w:tcW w:type="dxa" w:w="66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Retrieve/cache filings and standardize financial facts.</w:t>
            </w:r>
          </w:p>
        </w:tc>
      </w:tr>
      <w:tr>
        <w:tc>
          <w:tcPr>
            <w:tcW w:type="dxa" w:w="33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src/model.py; backtest.py</w:t>
            </w:r>
          </w:p>
        </w:tc>
        <w:tc>
          <w:tcPr>
            <w:tcW w:type="dxa" w:w="66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Deterministic scenario calculations and historical validation.</w:t>
            </w:r>
          </w:p>
        </w:tc>
      </w:tr>
      <w:tr>
        <w:tc>
          <w:tcPr>
            <w:tcW w:type="dxa" w:w="33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src/export_excel.py</w:t>
            </w:r>
          </w:p>
        </w:tc>
        <w:tc>
          <w:tcPr>
            <w:tcW w:type="dxa" w:w="66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Generate the formula-based workbook and export clean tables.</w:t>
            </w:r>
          </w:p>
        </w:tc>
      </w:tr>
      <w:tr>
        <w:tc>
          <w:tcPr>
            <w:tcW w:type="dxa" w:w="33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sql/schema.sql; views.sql</w:t>
            </w:r>
          </w:p>
        </w:tc>
        <w:tc>
          <w:tcPr>
            <w:tcW w:type="dxa" w:w="66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Database definition and reconciled analytical views.</w:t>
            </w:r>
          </w:p>
        </w:tc>
      </w:tr>
      <w:tr>
        <w:tc>
          <w:tcPr>
            <w:tcW w:type="dxa" w:w="33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config/metrics.csv; scenarios.csv</w:t>
            </w:r>
          </w:p>
        </w:tc>
        <w:tc>
          <w:tcPr>
            <w:tcW w:type="dxa" w:w="66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Reviewed source mapping, signs, units, and scenario drivers.</w:t>
            </w:r>
          </w:p>
        </w:tc>
      </w:tr>
      <w:tr>
        <w:tc>
          <w:tcPr>
            <w:tcW w:type="dxa" w:w="33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data/raw/; data/curated/</w:t>
            </w:r>
          </w:p>
        </w:tc>
        <w:tc>
          <w:tcPr>
            <w:tcW w:type="dxa" w:w="66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Original files and traceable normalized datasets.</w:t>
            </w:r>
          </w:p>
        </w:tc>
      </w:tr>
      <w:tr>
        <w:tc>
          <w:tcPr>
            <w:tcW w:type="dxa" w:w="33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docs/decisions.md; sources.csv</w:t>
            </w:r>
          </w:p>
        </w:tc>
        <w:tc>
          <w:tcPr>
            <w:tcW w:type="dxa" w:w="66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Accounting choices, limitations, sources, and version history.</w:t>
            </w:r>
          </w:p>
        </w:tc>
      </w:tr>
      <w:tr>
        <w:tc>
          <w:tcPr>
            <w:tcW w:type="dxa" w:w="33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tests/; outputs/</w:t>
            </w:r>
          </w:p>
        </w:tc>
        <w:tc>
          <w:tcPr>
            <w:tcW w:type="dxa" w:w="66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Meaningful checks; workbook, results, and report artifacts.</w:t>
            </w:r>
          </w:p>
        </w:tc>
      </w:tr>
    </w:tbl>
    <w:p>
      <w:pPr>
        <w:pStyle w:val="Heading2"/>
      </w:pPr>
      <w:r>
        <w:t>Step 3  Define the run contract</w:t>
      </w:r>
    </w:p>
    <w:p>
      <w:r>
        <w:t>Ask the builder to implement these commands progressively. They are the proposed interface, not commands already available: fetch, normalize, validate, forecast, backtest, and export. Each takes a configuration path and writes a summary of inputs, outputs, and failures.</w:t>
      </w:r>
    </w:p>
    <w:p>
      <w:r>
        <w:t>Acceptance: the environment installs, pytest runs an initial smoke check, and the README gives exact local setup instructions. Do not add a web frontend yet.</w:t>
      </w:r>
    </w:p>
    <w:p>
      <w:pPr>
        <w:pStyle w:val="Heading1"/>
        <w:pageBreakBefore/>
      </w:pPr>
      <w:r>
        <w:t>3  Acquire and record the financial data</w:t>
      </w:r>
    </w:p>
    <w:p>
      <w:pPr>
        <w:pStyle w:val="Heading2"/>
      </w:pPr>
      <w:r>
        <w:t>Step 4  Freeze an information cutoff</w:t>
      </w:r>
    </w:p>
    <w:p>
      <w:r>
        <w:t>Choose an analysis cutoff date and verify Target’s SEC company identity. Select the latest 16 complete fiscal quarters whose filings were public by that date, plus preceding balance-sheet dates needed for changes and averages. Do not hardcode an unverified latest quarter or confuse Target’s fiscal year with the calendar year.</w:t>
      </w:r>
    </w:p>
    <w:p>
      <w:pPr>
        <w:pStyle w:val="Heading2"/>
      </w:pPr>
      <w:r>
        <w:t>Step 5  Retrieve source materials</w:t>
      </w:r>
    </w:p>
    <w:p>
      <w:pPr>
        <w:pStyle w:val="ListBullet"/>
      </w:pPr>
      <w:r>
        <w:t>Use the SEC submissions API to inventory 10-K and 10-Q filings, including older submission-history files when necessary. Record accession, filing date, reporting period, and primary document URL. [1]</w:t>
      </w:r>
    </w:p>
    <w:p>
      <w:pPr>
        <w:pStyle w:val="ListBullet"/>
      </w:pPr>
      <w:r>
        <w:t>Use Company Facts JSON for candidate standard-taxonomy, entity-level facts. Custom tags and detailed contexts may require direct filing inspection. Do not substitute similarly named tags without reviewing definitions. [1]</w:t>
      </w:r>
    </w:p>
    <w:p>
      <w:pPr>
        <w:pStyle w:val="ListBullet"/>
      </w:pPr>
      <w:r>
        <w:t>Download the corresponding statements from SEC or Target investor relations for reconciliation. Identify the request with a descriptive User-Agent/contact, cache downloads, and respect SEC access rules. Keep below the SEC’s published maximum of ten requests per second; this project can operate much more slowly. [2]</w:t>
      </w:r>
    </w:p>
    <w:p>
      <w:pPr>
        <w:pStyle w:val="ListBullet"/>
      </w:pPr>
      <w:r>
        <w:t>If an environment cannot fetch SEC data, use manually downloaded source files with recorded provenance. Never generate substitute financial values to complete the pipeline.</w:t>
      </w:r>
    </w:p>
    <w:p>
      <w:pPr>
        <w:pStyle w:val="Heading2"/>
      </w:pPr>
      <w:r>
        <w:t>Step 6  Capture the minimum metrics</w:t>
      </w:r>
    </w:p>
    <w:tbl>
      <w:tblPr>
        <w:tblW w:type="auto" w:w="0"/>
        <w:tblLayout w:type="fixed"/>
        <w:tblLook w:firstColumn="1" w:firstRow="1" w:lastColumn="0" w:lastRow="0" w:noHBand="0" w:noVBand="1" w:val="04A0"/>
      </w:tblPr>
      <w:tblGrid>
        <w:gridCol w:w="1800"/>
        <w:gridCol w:w="8280"/>
      </w:tblGrid>
      <w:tr>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Group</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Metrics</w:t>
            </w:r>
          </w:p>
        </w:tc>
      </w:tr>
      <w:tr>
        <w:tc>
          <w:tcPr>
            <w:tcW w:type="dxa" w:w="180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Income statement</w:t>
            </w:r>
          </w:p>
        </w:tc>
        <w:tc>
          <w:tcPr>
            <w:tcW w:type="dxa" w:w="82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Revenue; cost of sales; operating expenses; operating income; net income. Interest and taxes if separately modeled.</w:t>
            </w:r>
          </w:p>
        </w:tc>
      </w:tr>
      <w:tr>
        <w:tc>
          <w:tcPr>
            <w:tcW w:type="dxa" w:w="180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Balance sheet</w:t>
            </w:r>
          </w:p>
        </w:tc>
        <w:tc>
          <w:tcPr>
            <w:tcW w:type="dxa" w:w="82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Cash and cash equivalents; inventory; accounts payable; other operating assets/liabilities when material. Debt for scheduled financing flows.</w:t>
            </w:r>
          </w:p>
        </w:tc>
      </w:tr>
      <w:tr>
        <w:tc>
          <w:tcPr>
            <w:tcW w:type="dxa" w:w="180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Cash flow</w:t>
            </w:r>
          </w:p>
        </w:tc>
        <w:tc>
          <w:tcPr>
            <w:tcW w:type="dxa" w:w="82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Operating cash flow; depreciation/amortization; other noncash adjustments; disclosed working-capital changes; capex; dividends; repurchases; debt inflows/outflows; other investing/financing and FX effects.</w:t>
            </w:r>
          </w:p>
        </w:tc>
      </w:tr>
    </w:tbl>
    <w:p>
      <w:pPr>
        <w:pStyle w:val="Heading2"/>
      </w:pPr>
      <w:r>
        <w:t>First data gate</w:t>
      </w:r>
    </w:p>
    <w:p>
      <w:r>
        <w:t>Reconcile one fiscal year comprising four quarters and its opening cash balance. Pass only when the statements and cash roll-forward agree within a documented rounding tolerance. This is the first build-or-stop decision.</w:t>
      </w:r>
    </w:p>
    <w:p>
      <w:pPr>
        <w:pStyle w:val="Heading1"/>
        <w:pageBreakBefore/>
      </w:pPr>
      <w:r>
        <w:t>4  Normalize without losing accounting meaning</w:t>
      </w:r>
    </w:p>
    <w:p>
      <w:pPr>
        <w:pStyle w:val="Heading2"/>
      </w:pPr>
      <w:r>
        <w:t>Step 7  Store facts at their original grain</w:t>
      </w:r>
    </w:p>
    <w:tbl>
      <w:tblPr>
        <w:tblW w:type="auto" w:w="0"/>
        <w:tblLayout w:type="fixed"/>
        <w:tblLook w:firstColumn="1" w:firstRow="1" w:lastColumn="0" w:lastRow="0" w:noHBand="0" w:noVBand="1" w:val="04A0"/>
      </w:tblPr>
      <w:tblGrid>
        <w:gridCol w:w="2232"/>
        <w:gridCol w:w="7848"/>
      </w:tblGrid>
      <w:tr>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Table</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Key fields and rule</w:t>
            </w:r>
          </w:p>
        </w:tc>
      </w:tr>
      <w:tr>
        <w:tc>
          <w:tcPr>
            <w:tcW w:type="dxa" w:w="223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filings</w:t>
            </w:r>
          </w:p>
        </w:tc>
        <w:tc>
          <w:tcPr>
            <w:tcW w:type="dxa" w:w="784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accession, CIK, form, filed_at, period_end, URL, downloaded_at, file_hash; preserve each filing.</w:t>
            </w:r>
          </w:p>
        </w:tc>
      </w:tr>
      <w:tr>
        <w:tc>
          <w:tcPr>
            <w:tcW w:type="dxa" w:w="223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raw_facts</w:t>
            </w:r>
          </w:p>
        </w:tc>
        <w:tc>
          <w:tcPr>
            <w:tcW w:type="dxa" w:w="784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fact_id, accession, taxonomy, tag, unit, start_date, end_date, context, value; retain candidate duplicates and revisions.</w:t>
            </w:r>
          </w:p>
        </w:tc>
      </w:tr>
      <w:tr>
        <w:tc>
          <w:tcPr>
            <w:tcW w:type="dxa" w:w="223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quarterly_facts</w:t>
            </w:r>
          </w:p>
        </w:tc>
        <w:tc>
          <w:tcPr>
            <w:tcW w:type="dxa" w:w="784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metric, fiscal_year, fiscal_quarter, start/end, days, value, basis, as_of_date, mapping_version; one selected value per analytical grain.</w:t>
            </w:r>
          </w:p>
        </w:tc>
      </w:tr>
      <w:tr>
        <w:tc>
          <w:tcPr>
            <w:tcW w:type="dxa" w:w="223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lineage</w:t>
            </w:r>
          </w:p>
        </w:tc>
        <w:tc>
          <w:tcPr>
            <w:tcW w:type="dxa" w:w="784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derived_fact_id, input_fact_id, operation; derived quarters must point to every input used.</w:t>
            </w:r>
          </w:p>
        </w:tc>
      </w:tr>
      <w:tr>
        <w:tc>
          <w:tcPr>
            <w:tcW w:type="dxa" w:w="223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assumptions</w:t>
            </w:r>
          </w:p>
        </w:tc>
        <w:tc>
          <w:tcPr>
            <w:tcW w:type="dxa" w:w="784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run_id, scenario, quarter, driver, value, unit, rationale, source_type.</w:t>
            </w:r>
          </w:p>
        </w:tc>
      </w:tr>
      <w:tr>
        <w:tc>
          <w:tcPr>
            <w:tcW w:type="dxa" w:w="223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forecasts and evaluations</w:t>
            </w:r>
          </w:p>
        </w:tc>
        <w:tc>
          <w:tcPr>
            <w:tcW w:type="dxa" w:w="784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run_id, information_cutoff, target_quarter, horizon, metric, forecast, actual, baseline, source versions.</w:t>
            </w:r>
          </w:p>
        </w:tc>
      </w:tr>
    </w:tbl>
    <w:p>
      <w:pPr>
        <w:pStyle w:val="Heading2"/>
      </w:pPr>
      <w:r>
        <w:t>Step 8  Apply explicit normalization rules</w:t>
      </w:r>
    </w:p>
    <w:p>
      <w:pPr>
        <w:pStyle w:val="ListBullet"/>
      </w:pPr>
      <w:r>
        <w:t>Balance-sheet values are point-in-time stocks. Never difference them to manufacture quarterly balances.</w:t>
      </w:r>
    </w:p>
    <w:p>
      <w:pPr>
        <w:pStyle w:val="ListBullet"/>
      </w:pPr>
      <w:r>
        <w:t>Flow values can be quarterly, year-to-date, or annual. Derive Q2 = six months minus Q1; Q3 = nine months minus six months; Q4 = full year minus nine months. Match fiscal year, scope, units, and accounting basis.</w:t>
      </w:r>
    </w:p>
    <w:p>
      <w:pPr>
        <w:pStyle w:val="ListBullet"/>
      </w:pPr>
      <w:r>
        <w:t>Use direct quarterly income-statement facts where appropriate. Do not sum overlapping quarterly and year-to-date facts.</w:t>
      </w:r>
    </w:p>
    <w:p>
      <w:pPr>
        <w:pStyle w:val="ListBullet"/>
      </w:pPr>
      <w:r>
        <w:t>Retain original units. Normalize analytical values to USD millions, and record the conversion. Use consistent signs: costs/capex as positive inputs, cash-flow effects explicitly signed.</w:t>
      </w:r>
    </w:p>
    <w:p>
      <w:pPr>
        <w:pStyle w:val="ListBullet"/>
      </w:pPr>
      <w:r>
        <w:t>Handle 52/53-week fiscal calendars with actual period dates and days. Document any per-day normalization used by the seasonal baseline.</w:t>
      </w:r>
    </w:p>
    <w:p>
      <w:pPr>
        <w:pStyle w:val="ListBullet"/>
      </w:pPr>
      <w:r>
        <w:t>Missing is not zero. Record unresolved metrics and stop affected calculations. Preserve earlier filing versions rather than overwriting them with restated data.</w:t>
      </w:r>
    </w:p>
    <w:p>
      <w:pPr>
        <w:pStyle w:val="Heading2"/>
      </w:pPr>
      <w:r>
        <w:t>Two views of history</w:t>
      </w:r>
    </w:p>
    <w:p>
      <w:r>
        <w:t>A current reconciled view may use later restatements, clearly labeled. A backtest view must select only facts publicly available at its forecast origin. Record the evaluation truth vintage separately, using first-reported subsequent actuals as the default.</w:t>
      </w:r>
    </w:p>
    <w:p>
      <w:pPr>
        <w:pStyle w:val="Heading1"/>
        <w:pageBreakBefore/>
      </w:pPr>
      <w:r>
        <w:t>5  Build the forecast and cash bridge</w:t>
      </w:r>
    </w:p>
    <w:p>
      <w:pPr>
        <w:pStyle w:val="Heading2"/>
      </w:pPr>
      <w:r>
        <w:t>Step 9  Establish a seasonal baseline</w:t>
      </w:r>
    </w:p>
    <w:p>
      <w:r>
        <w:t>Forecast each quarter from the corresponding prior-year quarter, using only available data. For flows, show the effect of scaling for different quarter lengths. Freeze the baseline method before comparing the driver model.</w:t>
      </w:r>
    </w:p>
    <w:p>
      <w:pPr>
        <w:pStyle w:val="Heading2"/>
      </w:pPr>
      <w:r>
        <w:t>Step 10  Implement transparent drivers</w:t>
      </w:r>
    </w:p>
    <w:p>
      <w:pPr>
        <w:spacing w:after="160"/>
      </w:pPr>
      <w:r>
        <w:rPr>
          <w:rFonts w:ascii="Consolas" w:hAnsi="Consolas"/>
          <w:sz w:val="18"/>
        </w:rPr>
        <w:t>Revenue[t] = Revenue[t-4] × (1 + assumed_YoY_growth[t])</w:t>
        <w:br/>
        <w:t>COGS[t] = Revenue[t] × (1 - gross_margin[t])</w:t>
        <w:br/>
        <w:t>Operating_profit[t] = Revenue[t] - COGS[t] - OpEx[t]</w:t>
      </w:r>
    </w:p>
    <w:p>
      <w:r>
        <w:t>Confirm the company’s expense presentation before adding depreciation: it may already be included in cost of sales or operating expenses. Derive net income with explicit interest, other income/expense, and tax assumptions, or use a disclosed net-margin simplification for the first version. Do not combine both approaches.</w:t>
      </w:r>
    </w:p>
    <w:p>
      <w:pPr>
        <w:pStyle w:val="Heading2"/>
      </w:pPr>
      <w:r>
        <w:t>Step 11  Forecast selected working-capital balances</w:t>
      </w:r>
    </w:p>
    <w:p>
      <w:pPr>
        <w:spacing w:after="160"/>
      </w:pPr>
      <w:r>
        <w:rPr>
          <w:rFonts w:ascii="Consolas" w:hAnsi="Consolas"/>
          <w:sz w:val="18"/>
        </w:rPr>
        <w:t>Ending_inventory[t] = COGS[t] / days[t] × inventory_coverage[t]</w:t>
        <w:br/>
        <w:t>Purchases_proxy[t] = COGS[t] + Ending_inventory[t]</w:t>
        <w:br/>
        <w:t xml:space="preserve">                     - Beginning_inventory[t]</w:t>
        <w:br/>
        <w:t>Ending_AP[t] = Purchases_proxy[t] / days[t] × AP_coverage[t]</w:t>
      </w:r>
    </w:p>
    <w:p>
      <w:r>
        <w:t>These are end-balance coverage proxies, not conventional average-balance DIO or contractual payment terms. Calibrate from comparable historical quarters. COGS plus inventory change is only an approximation to merchandise purchases; document limitations from freight, shrink, classification, and non-merchandise costs. Reject implausible or negative purchase assumptions.</w:t>
      </w:r>
    </w:p>
    <w:p>
      <w:pPr>
        <w:pStyle w:val="Heading2"/>
      </w:pPr>
      <w:r>
        <w:t>Step 12  Calculate cash once</w:t>
      </w:r>
    </w:p>
    <w:p>
      <w:pPr>
        <w:spacing w:after="160"/>
      </w:pPr>
      <w:r>
        <w:rPr>
          <w:rFonts w:ascii="Consolas" w:hAnsi="Consolas"/>
          <w:sz w:val="18"/>
        </w:rPr>
        <w:t>CFO = Net_income + Noncash_adjustments</w:t>
        <w:br/>
        <w:t xml:space="preserve">      - Change_inventory + Change_AP</w:t>
        <w:br/>
        <w:t xml:space="preserve">      + Other_operating_cash_adjustments</w:t>
        <w:br/>
        <w:t>FCF = CFO - Base_capex</w:t>
        <w:br/>
        <w:t>Ending_cash = Beginning_cash + CFO + CFI + CFF + FX_effect</w:t>
      </w:r>
    </w:p>
    <w:p>
      <w:r>
        <w:t>Other operating cash adjustments exclude inventory and AP already modeled. Historical cash-flow adjustments can differ from simple balance-sheet changes due to noncash movements and reclassifications. Reconcile and explain the difference. In forecasts, estimate remaining adjustments explicitly; do not plug them to achieve a desired cash target.</w:t>
      </w:r>
    </w:p>
    <w:p>
      <w:r>
        <w:t>CFI includes capex exactly once; CFF includes modeled debt, dividends, and repurchases. FCF is a subtotal, not another inflow to add to ending cash. Keep debt financing fixed initially; do not silently borrow to eliminate a cash shortfall.</w:t>
      </w:r>
    </w:p>
    <w:p>
      <w:pPr>
        <w:pStyle w:val="Heading1"/>
        <w:pageBreakBefore/>
      </w:pPr>
      <w:r>
        <w:t>6  Compare scenarios and test the investment decision</w:t>
      </w:r>
    </w:p>
    <w:p>
      <w:pPr>
        <w:pStyle w:val="Heading2"/>
      </w:pPr>
      <w:r>
        <w:t>Step 13  Define three scenarios</w:t>
      </w:r>
    </w:p>
    <w:tbl>
      <w:tblPr>
        <w:tblW w:type="auto" w:w="0"/>
        <w:tblLayout w:type="fixed"/>
        <w:tblLook w:firstColumn="1" w:firstRow="1" w:lastColumn="0" w:lastRow="0" w:noHBand="0" w:noVBand="1" w:val="04A0"/>
      </w:tblPr>
      <w:tblGrid>
        <w:gridCol w:w="1656"/>
        <w:gridCol w:w="8424"/>
      </w:tblGrid>
      <w:tr>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Scenario</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Drivers to specify</w:t>
            </w:r>
          </w:p>
        </w:tc>
      </w:tr>
      <w:tr>
        <w:tc>
          <w:tcPr>
            <w:tcW w:type="dxa" w:w="165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Base</w:t>
            </w:r>
          </w:p>
        </w:tc>
        <w:tc>
          <w:tcPr>
            <w:tcW w:type="dxa" w:w="84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Seasonally calibrated growth, margin, operating costs, inventory/AP coverage, and a documented capex and financing schedule.</w:t>
            </w:r>
          </w:p>
        </w:tc>
      </w:tr>
      <w:tr>
        <w:tc>
          <w:tcPr>
            <w:tcW w:type="dxa" w:w="165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Downside</w:t>
            </w:r>
          </w:p>
        </w:tc>
        <w:tc>
          <w:tcPr>
            <w:tcW w:type="dxa" w:w="84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Slower revenue, lower margin, longer inventory holding; test supplier payment pressure separately rather than assuming suppliers finance every shock.</w:t>
            </w:r>
          </w:p>
        </w:tc>
      </w:tr>
      <w:tr>
        <w:tc>
          <w:tcPr>
            <w:tcW w:type="dxa" w:w="165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Recovery</w:t>
            </w:r>
          </w:p>
        </w:tc>
        <w:tc>
          <w:tcPr>
            <w:tcW w:type="dxa" w:w="84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Improving demand and inventory efficiency; include the cash required to support growth, not just the associated earnings.</w:t>
            </w:r>
          </w:p>
        </w:tc>
      </w:tr>
    </w:tbl>
    <w:p>
      <w:r>
        <w:t>Set driver ranges from historical variation and business reasoning. Scenario choices are assumptions, not company guidance. Store every value with units, rationale, and source classification. Change one driver at a time first, then combine scenarios.</w:t>
      </w:r>
    </w:p>
    <w:p>
      <w:pPr>
        <w:pStyle w:val="Heading2"/>
      </w:pPr>
      <w:r>
        <w:t>Step 14  Define investment capacity precisely</w:t>
      </w:r>
    </w:p>
    <w:p>
      <w:r>
        <w:t>Base capex is already included in ending cash. Capacity means additional investment above that plan, subject to a user-defined quarterly cash floor and fixed financing/distributions. It is not automatically spendable surplus: debt restrictions, leases, and other commitments may limit it further.</w:t>
      </w:r>
    </w:p>
    <w:p>
      <w:pPr>
        <w:spacing w:after="160"/>
      </w:pPr>
      <w:r>
        <w:rPr>
          <w:rFonts w:ascii="Consolas" w:hAnsi="Consolas"/>
          <w:sz w:val="18"/>
        </w:rPr>
        <w:t>Headroom[t] = Base_ending_cash[t] - Minimum_cash[t]</w:t>
        <w:br/>
        <w:t>Post_investment_cash[t] = Base_ending_cash[t]</w:t>
        <w:br/>
        <w:t xml:space="preserve">                         - cumulative_additional_spend[t]</w:t>
      </w:r>
    </w:p>
    <w:p>
      <w:r>
        <w:t>For a proposed extra investment X with quarterly spending weights w that sum to one, cumulative spend through t = X × cumulative_weight[t]. If the base plan passes every cash floor, maximum modeled X is the smallest Headroom[t] / cumulative_weight[t] over quarters with positive cumulative weights. Check zero-weight quarters separately.</w:t>
      </w:r>
    </w:p>
    <w:p>
      <w:r>
        <w:t>If the base plan already breaches a cash floor, report the funding gap and zero incremental capacity. Do not use a large year-end balance to conceal an earlier quarterly shortage. Exclude returns from the extra investment in the initial model; this estimates funding capacity, not project NPV or approval.</w:t>
      </w:r>
    </w:p>
    <w:p>
      <w:pPr>
        <w:pStyle w:val="Heading2"/>
      </w:pPr>
      <w:r>
        <w:t>Step 15  Make the decision understandable</w:t>
      </w:r>
    </w:p>
    <w:p>
      <w:pPr>
        <w:pStyle w:val="ListBullet"/>
      </w:pPr>
      <w:r>
        <w:t>Show ending cash by quarter, the cash floor, and any shortfall.</w:t>
      </w:r>
    </w:p>
    <w:p>
      <w:pPr>
        <w:pStyle w:val="ListBullet"/>
      </w:pPr>
      <w:r>
        <w:t>Explain which driver contributes most to the downside and where the recommendation changes.</w:t>
      </w:r>
    </w:p>
    <w:p>
      <w:pPr>
        <w:pStyle w:val="ListBullet"/>
      </w:pPr>
      <w:r>
        <w:t>Compare protecting base investment, phasing extra spending, and an explicitly changed financing/distribution policy as separate cases.</w:t>
      </w:r>
    </w:p>
    <w:p>
      <w:r>
        <w:t>Acceptance: a small hand-worked example reproduces the capacity calculation, including a case where an early-quarter shortfall limits a later investment.</w:t>
      </w:r>
    </w:p>
    <w:p>
      <w:pPr>
        <w:pStyle w:val="Heading1"/>
        <w:pageBreakBefore/>
      </w:pPr>
      <w:r>
        <w:t>7  Validate and backtest</w:t>
      </w:r>
    </w:p>
    <w:p>
      <w:pPr>
        <w:pStyle w:val="Heading2"/>
      </w:pPr>
      <w:r>
        <w:t>Step 16  Write meaningful accounting checks</w:t>
      </w:r>
    </w:p>
    <w:p>
      <w:pPr>
        <w:pStyle w:val="ListBullet"/>
      </w:pPr>
      <w:r>
        <w:t>Annual flow totals equal their four constituent quarters within reported rounding precision. Opening and ending balances align with the same fiscal dates.</w:t>
      </w:r>
    </w:p>
    <w:p>
      <w:pPr>
        <w:pStyle w:val="ListBullet"/>
      </w:pPr>
      <w:r>
        <w:t>Historical cash roll-forward includes CFO, CFI, CFF, and any applicable FX/restricted-cash effects using a consistent cash definition.</w:t>
      </w:r>
    </w:p>
    <w:p>
      <w:pPr>
        <w:pStyle w:val="ListBullet"/>
      </w:pPr>
      <w:r>
        <w:t>Derived values retain input lineage; joins do not duplicate company facts. Missing values and conflicting definitions fail visibly.</w:t>
      </w:r>
    </w:p>
    <w:p>
      <w:pPr>
        <w:pStyle w:val="ListBullet"/>
      </w:pPr>
      <w:r>
        <w:t>An inventory increase reduces CFO, all else equal; an AP increase raises CFO. Increasing base capex reduces cash once. Decreasing the cash floor cannot reduce modeled capacity.</w:t>
      </w:r>
    </w:p>
    <w:p>
      <w:pPr>
        <w:pStyle w:val="ListBullet"/>
      </w:pPr>
      <w:r>
        <w:t>Excel formula outputs agree with the Python reference within a tolerance justified by source units and rounding.</w:t>
      </w:r>
    </w:p>
    <w:p>
      <w:pPr>
        <w:pStyle w:val="Heading2"/>
      </w:pPr>
      <w:r>
        <w:t>Step 17  Evaluate without looking ahead</w:t>
      </w:r>
    </w:p>
    <w:p>
      <w:r>
        <w:t>Use expanding historical windows. Start with at least eight quarters of available history, forecast the next quarter, then advance the origin and repeat. With only 16 quarters, the number of independent observations is small; describe results as limited historical evidence.</w:t>
      </w:r>
    </w:p>
    <w:p>
      <w:r>
        <w:t>At each origin, restrict filing dates to the information cutoff. Refit drivers using training data only. Do not tune on the final holdout or feed later management guidance into earlier forecasts. Record which quarters were not yet public even if their fiscal periods had ended.</w:t>
      </w:r>
    </w:p>
    <w:p>
      <w:r>
        <w:t>Start with one-quarter-ahead comparisons. Add four-quarter paths once enough subsequent actual quarters exist, reporting errors by horizon and noting that overlapping forecast windows are not independent.</w:t>
      </w:r>
    </w:p>
    <w:p>
      <w:pPr>
        <w:spacing w:after="160"/>
      </w:pPr>
      <w:r>
        <w:rPr>
          <w:rFonts w:ascii="Consolas" w:hAnsi="Consolas"/>
          <w:sz w:val="18"/>
        </w:rPr>
        <w:t>MAE = mean(abs(forecast - actual))</w:t>
        <w:br/>
        <w:t>Bias = mean(forecast - actual)</w:t>
        <w:br/>
        <w:t>Revenue_WAPE = sum(abs(forecast - actual)) / sum(abs(actual))</w:t>
      </w:r>
    </w:p>
    <w:p>
      <w:r>
        <w:t>Report CFO and ending-cash error in USD millions; avoid percentage errors when cash flows approach zero or change sign. Compare the same origins and target quarters for the baseline and driver model. Report sample size and the largest misses.</w:t>
      </w:r>
    </w:p>
    <w:p>
      <w:pPr>
        <w:pStyle w:val="Heading2"/>
      </w:pPr>
      <w:r>
        <w:t>Acceptance and stopping rules</w:t>
      </w:r>
    </w:p>
    <w:p>
      <w:r>
        <w:t>Do not promise to beat the baseline. If performance is weaker, retain the baseline as the forecasting reference and position the driver model as a sensitivity tool. Stop feature expansion if source reconciliation fails, conclusions depend on one unsupported assumption, or the dashboard adds no decision value.</w:t>
      </w:r>
    </w:p>
    <w:p>
      <w:pPr>
        <w:pStyle w:val="Heading1"/>
        <w:pageBreakBefore/>
      </w:pPr>
      <w:r>
        <w:t>8  Build Excel and Power BI outputs</w:t>
      </w:r>
    </w:p>
    <w:p>
      <w:pPr>
        <w:pStyle w:val="Heading2"/>
      </w:pPr>
      <w:r>
        <w:t>Step 18  Build the workbook after data validation</w:t>
      </w:r>
    </w:p>
    <w:tbl>
      <w:tblPr>
        <w:tblW w:type="auto" w:w="0"/>
        <w:tblLayout w:type="fixed"/>
        <w:tblLook w:firstColumn="1" w:firstRow="1" w:lastColumn="0" w:lastRow="0" w:noHBand="0" w:noVBand="1" w:val="04A0"/>
      </w:tblPr>
      <w:tblGrid>
        <w:gridCol w:w="2376"/>
        <w:gridCol w:w="7704"/>
      </w:tblGrid>
      <w:tr>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Tab</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Contents</w:t>
            </w:r>
          </w:p>
        </w:tc>
      </w:tr>
      <w:tr>
        <w:tc>
          <w:tcPr>
            <w:tcW w:type="dxa" w:w="237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Read Me and Sources</w:t>
            </w:r>
          </w:p>
        </w:tc>
        <w:tc>
          <w:tcPr>
            <w:tcW w:type="dxa" w:w="770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Purpose, cutoff, refresh instructions, definitions, source links, data provenance.</w:t>
            </w:r>
          </w:p>
        </w:tc>
      </w:tr>
      <w:tr>
        <w:tc>
          <w:tcPr>
            <w:tcW w:type="dxa" w:w="237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Historical</w:t>
            </w:r>
          </w:p>
        </w:tc>
        <w:tc>
          <w:tcPr>
            <w:tcW w:type="dxa" w:w="770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Reconciled quarterly facts and explicit derived values; do not mix with forecast assumptions.</w:t>
            </w:r>
          </w:p>
        </w:tc>
      </w:tr>
      <w:tr>
        <w:tc>
          <w:tcPr>
            <w:tcW w:type="dxa" w:w="237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Assumptions</w:t>
            </w:r>
          </w:p>
        </w:tc>
        <w:tc>
          <w:tcPr>
            <w:tcW w:type="dxa" w:w="770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Scenario drivers, units, explanations, validation lists, and user-editable cells.</w:t>
            </w:r>
          </w:p>
        </w:tc>
      </w:tr>
      <w:tr>
        <w:tc>
          <w:tcPr>
            <w:tcW w:type="dxa" w:w="237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Forecast and Scenarios</w:t>
            </w:r>
          </w:p>
        </w:tc>
        <w:tc>
          <w:tcPr>
            <w:tcW w:type="dxa" w:w="770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Visible formulas, earnings-to-cash bridge, quarterly cash floors, investment timing.</w:t>
            </w:r>
          </w:p>
        </w:tc>
      </w:tr>
      <w:tr>
        <w:tc>
          <w:tcPr>
            <w:tcW w:type="dxa" w:w="237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Backtest and Checks</w:t>
            </w:r>
          </w:p>
        </w:tc>
        <w:tc>
          <w:tcPr>
            <w:tcW w:type="dxa" w:w="770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Baseline comparisons, forecast errors, accounting checks, and visible pass/fail status.</w:t>
            </w:r>
          </w:p>
        </w:tc>
      </w:tr>
      <w:tr>
        <w:tc>
          <w:tcPr>
            <w:tcW w:type="dxa" w:w="237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Decision Summary</w:t>
            </w:r>
          </w:p>
        </w:tc>
        <w:tc>
          <w:tcPr>
            <w:tcW w:type="dxa" w:w="770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Cash trajectory chart, driver sensitivities, capacity/shortfall, and concise interpretation.</w:t>
            </w:r>
          </w:p>
        </w:tc>
      </w:tr>
    </w:tbl>
    <w:p>
      <w:r>
        <w:t>Use named tables and consistent units. Avoid VBA, external links, circular references, and hidden balancing values. Mark inputs by labels as well as color. Protect formula cells only if doing so does not obstruct review.</w:t>
      </w:r>
    </w:p>
    <w:p>
      <w:r>
        <w:t>openpyxl writes formulas but does not calculate them. Open the workbook in Excel, recalculate, save, and compare the resulting values with Python. Missing or stale cached results must not be presented as validated outputs.</w:t>
      </w:r>
    </w:p>
    <w:p>
      <w:pPr>
        <w:pStyle w:val="Heading2"/>
      </w:pPr>
      <w:r>
        <w:t>Step 19  Export data for Power BI</w:t>
      </w:r>
    </w:p>
    <w:p>
      <w:r>
        <w:t>Export separate CSV tables for actuals, forecast results, backtest results, and a fiscal-date dimension. Forecast rows must include run_id, scenario, origin, target quarter, metric, unit, and value. Preserve forecast vintage so the report cannot silently mix runs.</w:t>
      </w:r>
    </w:p>
    <w:p>
      <w:r>
        <w:t>Import using Get Data &gt; Text/CSV or Excel. Use a fiscal-date dimension and one-to-many relationships; use separate date roles for forecast origin and target when needed. Filter to one run/scenario before aggregating forecast values. Keep ratio metrics as measures, not sums.</w:t>
      </w:r>
    </w:p>
    <w:p>
      <w:pPr>
        <w:pStyle w:val="Heading2"/>
      </w:pPr>
      <w:r>
        <w:t>Three report pages</w:t>
      </w:r>
    </w:p>
    <w:p>
      <w:pPr>
        <w:pStyle w:val="ListBullet"/>
      </w:pPr>
      <w:r>
        <w:t>Financial history: quarterly revenue, margins, CFO, and working-capital trends.</w:t>
      </w:r>
    </w:p>
    <w:p>
      <w:pPr>
        <w:pStyle w:val="ListBullet"/>
      </w:pPr>
      <w:r>
        <w:t>Scenario decision: cash floor, projected cash path, incremental spending schedule, and sensitivities.</w:t>
      </w:r>
    </w:p>
    <w:p>
      <w:pPr>
        <w:pStyle w:val="ListBullet"/>
      </w:pPr>
      <w:r>
        <w:t>Model credibility: error versus baseline, reconciliation checks, source cutoff, and limitations.</w:t>
      </w:r>
    </w:p>
    <w:p>
      <w:r>
        <w:t>Refresh sequence: retrieve and validate sources; rerun model; recalculate and save Excel; regenerate validated CSVs; refresh Power BI. Check account/licensing requirements before external sharing. [3]</w:t>
      </w:r>
    </w:p>
    <w:p>
      <w:pPr>
        <w:pStyle w:val="Heading1"/>
      </w:pPr>
      <w:r>
        <w:t>9  Build the management decision experience</w:t>
      </w:r>
    </w:p>
    <w:p>
      <w:pPr>
        <w:pStyle w:val="Heading2"/>
      </w:pPr>
      <w:r>
        <w:t>Step 20  Create the Investment Decision Room</w:t>
      </w:r>
    </w:p>
    <w:p>
      <w:r>
        <w:t>Build the public interface only after the source, accounting, forecast, and backtest gates pass. The opening question is whether Target can fund additional investment while maintaining a user-defined quarterly cash floor. A viewer should understand the answer and its main assumption within three minutes.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trPr>
        <w:tc>
          <w:tcPr>
            <w:tcW w:type="dxa" w:w="2232"/>
            <w:vAlign w:val="center"/>
            <w:tcMar>
              <w:top w:w="85" w:type="dxa"/>
              <w:start w:w="100" w:type="dxa"/>
              <w:bottom w:w="85" w:type="dxa"/>
              <w:end w:w="100" w:type="dxa"/>
            </w:tcMar>
            <w:shd w:fill="243447"/>
          </w:tcPr>
          <w:p>
            <w:r/>
            <w:r>
              <w:rPr>
                <w:rFonts w:ascii="Aptos" w:hAnsi="Aptos"/>
                <w:b/>
                <w:color w:val="FFFFFF"/>
                <w:sz w:val="16"/>
              </w:rPr>
              <w:t>Screen</w:t>
            </w:r>
          </w:p>
        </w:tc>
        <w:tc>
          <w:tcPr>
            <w:tcW w:type="dxa" w:w="7560"/>
            <w:vAlign w:val="center"/>
            <w:tcMar>
              <w:top w:w="85" w:type="dxa"/>
              <w:start w:w="100" w:type="dxa"/>
              <w:bottom w:w="85" w:type="dxa"/>
              <w:end w:w="100" w:type="dxa"/>
            </w:tcMar>
            <w:shd w:fill="243447"/>
          </w:tcPr>
          <w:p>
            <w:r/>
            <w:r>
              <w:rPr>
                <w:rFonts w:ascii="Aptos" w:hAnsi="Aptos"/>
                <w:b/>
                <w:color w:val="FFFFFF"/>
                <w:sz w:val="16"/>
              </w:rPr>
              <w:t>Required contents</w:t>
            </w:r>
          </w:p>
        </w:tc>
      </w:tr>
      <w:tr>
        <w:tc>
          <w:tcPr>
            <w:tcW w:type="dxa" w:w="2232"/>
            <w:vAlign w:val="center"/>
            <w:tcMar>
              <w:top w:w="85" w:type="dxa"/>
              <w:start w:w="100" w:type="dxa"/>
              <w:bottom w:w="85" w:type="dxa"/>
              <w:end w:w="100" w:type="dxa"/>
            </w:tcMar>
          </w:tcPr>
          <w:p>
            <w:r/>
            <w:r>
              <w:rPr>
                <w:rFonts w:ascii="Aptos" w:hAnsi="Aptos"/>
                <w:b w:val="0"/>
                <w:color w:val="222222"/>
                <w:sz w:val="16"/>
              </w:rPr>
              <w:t>Decision overview</w:t>
            </w:r>
          </w:p>
        </w:tc>
        <w:tc>
          <w:tcPr>
            <w:tcW w:type="dxa" w:w="7560"/>
            <w:vAlign w:val="center"/>
            <w:tcMar>
              <w:top w:w="85" w:type="dxa"/>
              <w:start w:w="100" w:type="dxa"/>
              <w:bottom w:w="85" w:type="dxa"/>
              <w:end w:w="100" w:type="dxa"/>
            </w:tcMar>
          </w:tcPr>
          <w:p>
            <w:r/>
            <w:r>
              <w:rPr>
                <w:rFonts w:ascii="Aptos" w:hAnsi="Aptos"/>
                <w:b w:val="0"/>
                <w:color w:val="222222"/>
                <w:sz w:val="16"/>
              </w:rPr>
              <w:t>Quarterly ending cash, cash floor, additional investment capacity, limiting quarter, and recommendation.</w:t>
            </w:r>
          </w:p>
        </w:tc>
      </w:tr>
      <w:tr>
        <w:tc>
          <w:tcPr>
            <w:tcW w:type="dxa" w:w="2232"/>
            <w:vAlign w:val="center"/>
            <w:tcMar>
              <w:top w:w="85" w:type="dxa"/>
              <w:start w:w="100" w:type="dxa"/>
              <w:bottom w:w="85" w:type="dxa"/>
              <w:end w:w="100" w:type="dxa"/>
            </w:tcMar>
            <w:shd w:fill="F3F6F8"/>
          </w:tcPr>
          <w:p>
            <w:r/>
            <w:r>
              <w:rPr>
                <w:rFonts w:ascii="Aptos" w:hAnsi="Aptos"/>
                <w:b w:val="0"/>
                <w:color w:val="222222"/>
                <w:sz w:val="16"/>
              </w:rPr>
              <w:t>Scenario lab</w:t>
            </w:r>
          </w:p>
        </w:tc>
        <w:tc>
          <w:tcPr>
            <w:tcW w:type="dxa" w:w="7560"/>
            <w:vAlign w:val="center"/>
            <w:tcMar>
              <w:top w:w="85" w:type="dxa"/>
              <w:start w:w="100" w:type="dxa"/>
              <w:bottom w:w="85" w:type="dxa"/>
              <w:end w:w="100" w:type="dxa"/>
            </w:tcMar>
            <w:shd w:fill="F3F6F8"/>
          </w:tcPr>
          <w:p>
            <w:r/>
            <w:r>
              <w:rPr>
                <w:rFonts w:ascii="Aptos" w:hAnsi="Aptos"/>
                <w:b w:val="0"/>
                <w:color w:val="222222"/>
                <w:sz w:val="16"/>
              </w:rPr>
              <w:t>Base, downside, and recovery assumptions for sales, margin, inventory coverage, payable coverage, capex, and financing.</w:t>
            </w:r>
          </w:p>
        </w:tc>
      </w:tr>
      <w:tr>
        <w:tc>
          <w:tcPr>
            <w:tcW w:type="dxa" w:w="2232"/>
            <w:vAlign w:val="center"/>
            <w:tcMar>
              <w:top w:w="85" w:type="dxa"/>
              <w:start w:w="100" w:type="dxa"/>
              <w:bottom w:w="85" w:type="dxa"/>
              <w:end w:w="100" w:type="dxa"/>
            </w:tcMar>
          </w:tcPr>
          <w:p>
            <w:r/>
            <w:r>
              <w:rPr>
                <w:rFonts w:ascii="Aptos" w:hAnsi="Aptos"/>
                <w:b w:val="0"/>
                <w:color w:val="222222"/>
                <w:sz w:val="16"/>
              </w:rPr>
              <w:t>Cash bridge</w:t>
            </w:r>
          </w:p>
        </w:tc>
        <w:tc>
          <w:tcPr>
            <w:tcW w:type="dxa" w:w="7560"/>
            <w:vAlign w:val="center"/>
            <w:tcMar>
              <w:top w:w="85" w:type="dxa"/>
              <w:start w:w="100" w:type="dxa"/>
              <w:bottom w:w="85" w:type="dxa"/>
              <w:end w:w="100" w:type="dxa"/>
            </w:tcMar>
          </w:tcPr>
          <w:p>
            <w:r/>
            <w:r>
              <w:rPr>
                <w:rFonts w:ascii="Aptos" w:hAnsi="Aptos"/>
                <w:b w:val="0"/>
                <w:color w:val="222222"/>
                <w:sz w:val="16"/>
              </w:rPr>
              <w:t>Net income to operating cash flow, investing and financing flows, and ending cash without duplicated components.</w:t>
            </w:r>
          </w:p>
        </w:tc>
      </w:tr>
      <w:tr>
        <w:tc>
          <w:tcPr>
            <w:tcW w:type="dxa" w:w="2232"/>
            <w:vAlign w:val="center"/>
            <w:tcMar>
              <w:top w:w="85" w:type="dxa"/>
              <w:start w:w="100" w:type="dxa"/>
              <w:bottom w:w="85" w:type="dxa"/>
              <w:end w:w="100" w:type="dxa"/>
            </w:tcMar>
            <w:shd w:fill="F3F6F8"/>
          </w:tcPr>
          <w:p>
            <w:r/>
            <w:r>
              <w:rPr>
                <w:rFonts w:ascii="Aptos" w:hAnsi="Aptos"/>
                <w:b w:val="0"/>
                <w:color w:val="222222"/>
                <w:sz w:val="16"/>
              </w:rPr>
              <w:t>Sensitivity view</w:t>
            </w:r>
          </w:p>
        </w:tc>
        <w:tc>
          <w:tcPr>
            <w:tcW w:type="dxa" w:w="7560"/>
            <w:vAlign w:val="center"/>
            <w:tcMar>
              <w:top w:w="85" w:type="dxa"/>
              <w:start w:w="100" w:type="dxa"/>
              <w:bottom w:w="85" w:type="dxa"/>
              <w:end w:w="100" w:type="dxa"/>
            </w:tcMar>
            <w:shd w:fill="F3F6F8"/>
          </w:tcPr>
          <w:p>
            <w:r/>
            <w:r>
              <w:rPr>
                <w:rFonts w:ascii="Aptos" w:hAnsi="Aptos"/>
                <w:b w:val="0"/>
                <w:color w:val="222222"/>
                <w:sz w:val="16"/>
              </w:rPr>
              <w:t>Ranked effect of each driver and the threshold at which the recommendation changes.</w:t>
            </w:r>
          </w:p>
        </w:tc>
      </w:tr>
      <w:tr>
        <w:tc>
          <w:tcPr>
            <w:tcW w:type="dxa" w:w="2232"/>
            <w:vAlign w:val="center"/>
            <w:tcMar>
              <w:top w:w="85" w:type="dxa"/>
              <w:start w:w="100" w:type="dxa"/>
              <w:bottom w:w="85" w:type="dxa"/>
              <w:end w:w="100" w:type="dxa"/>
            </w:tcMar>
          </w:tcPr>
          <w:p>
            <w:r/>
            <w:r>
              <w:rPr>
                <w:rFonts w:ascii="Aptos" w:hAnsi="Aptos"/>
                <w:b w:val="0"/>
                <w:color w:val="222222"/>
                <w:sz w:val="16"/>
              </w:rPr>
              <w:t>Model credibility</w:t>
            </w:r>
          </w:p>
        </w:tc>
        <w:tc>
          <w:tcPr>
            <w:tcW w:type="dxa" w:w="7560"/>
            <w:vAlign w:val="center"/>
            <w:tcMar>
              <w:top w:w="85" w:type="dxa"/>
              <w:start w:w="100" w:type="dxa"/>
              <w:bottom w:w="85" w:type="dxa"/>
              <w:end w:w="100" w:type="dxa"/>
            </w:tcMar>
          </w:tcPr>
          <w:p>
            <w:r/>
            <w:r>
              <w:rPr>
                <w:rFonts w:ascii="Aptos" w:hAnsi="Aptos"/>
                <w:b w:val="0"/>
                <w:color w:val="222222"/>
                <w:sz w:val="16"/>
              </w:rPr>
              <w:t>Backtest errors versus baseline, reconciliation status, information cutoff, source lineage, and limitations.</w:t>
            </w:r>
          </w:p>
        </w:tc>
      </w:tr>
    </w:tbl>
    <w:p>
      <w:r>
        <w:t>Use a purpose-built website or a lightweight data application. The public interface reads validated output tables and does not become a second calculation engine. Keep source facts, calculated values, forecasts, and illustrative assumptions visibly distinct.</w:t>
      </w:r>
    </w:p>
    <w:p>
      <w:pPr>
        <w:pStyle w:val="Heading2"/>
      </w:pPr>
      <w:r>
        <w:t>Step 21  Define the demonstration sequence</w:t>
      </w:r>
    </w:p>
    <w:p>
      <w:pPr>
        <w:pStyle w:val="ListNumber"/>
      </w:pPr>
      <w:r>
        <w:t>Open the base case and identify the limiting quarter.</w:t>
      </w:r>
    </w:p>
    <w:p>
      <w:pPr>
        <w:pStyle w:val="ListNumber"/>
      </w:pPr>
      <w:r>
        <w:t>Apply one inventory shock and show its cash effect.</w:t>
      </w:r>
    </w:p>
    <w:p>
      <w:pPr>
        <w:pStyle w:val="ListNumber"/>
      </w:pPr>
      <w:r>
        <w:t>Apply one margin shock and show whether the investment decision changes.</w:t>
      </w:r>
    </w:p>
    <w:p>
      <w:pPr>
        <w:pStyle w:val="ListNumber"/>
      </w:pPr>
      <w:r>
        <w:t>Open the backtest page and compare the driver model with the seasonal baseline.</w:t>
      </w:r>
    </w:p>
    <w:p>
      <w:pPr>
        <w:pStyle w:val="ListNumber"/>
      </w:pPr>
      <w:r>
        <w:t>Trace one displayed value from the filing through the database and Excel formula to the decision.</w:t>
      </w:r>
    </w:p>
    <w:p>
      <w:pPr>
        <w:pStyle w:val="Heading1"/>
        <w:pageBreakBefore/>
      </w:pPr>
      <w:r>
        <w:t>10  Package the portfolio and explain the work</w:t>
      </w:r>
    </w:p>
    <w:p>
      <w:pPr>
        <w:pStyle w:val="Heading2"/>
      </w:pPr>
      <w:r>
        <w:t>Step 22  Write a one-page management memo</w:t>
      </w:r>
    </w:p>
    <w:p>
      <w:r>
        <w:t>Lead with the decision and its assumptions. State the information cutoff, modeled cash constraint, key downside driver, spending timing, and what management would need to validate internally. Include one chart and the strongest historical test result, including an unfavorable result if relevant.</w:t>
      </w:r>
    </w:p>
    <w:p>
      <w:pPr>
        <w:pStyle w:val="Heading2"/>
      </w:pPr>
      <w:r>
        <w:t>Step 23  Publish a reproducible release</w:t>
      </w:r>
    </w:p>
    <w:p>
      <w:pPr>
        <w:pStyle w:val="ListBullet"/>
      </w:pPr>
      <w:r>
        <w:t>README: business question, architecture, setup commands, source dates, sample output, evidence boundaries, and known limitations.</w:t>
      </w:r>
    </w:p>
    <w:p>
      <w:pPr>
        <w:pStyle w:val="ListBullet"/>
      </w:pPr>
      <w:r>
        <w:t>Include code, SQL, metric mappings, assumption files, tests, and a source manifest. License your own code; check source-data redistribution terms rather than applying the code license to third-party materials.</w:t>
      </w:r>
    </w:p>
    <w:p>
      <w:pPr>
        <w:pStyle w:val="ListBullet"/>
      </w:pPr>
      <w:r>
        <w:t>Provide a refresh script or manual download instructions. Exclude API secrets, personal contact details in local configuration, and unnecessary raw filing copies.</w:t>
      </w:r>
    </w:p>
    <w:p>
      <w:pPr>
        <w:pStyle w:val="ListBullet"/>
      </w:pPr>
      <w:r>
        <w:t>Include the reviewed Excel workbook, CSV outputs, memo, and screenshots. Add the Power BI file only when it has been checked and can be shared appropriately.</w:t>
      </w:r>
    </w:p>
    <w:p>
      <w:pPr>
        <w:pStyle w:val="ListBullet"/>
      </w:pPr>
      <w:r>
        <w:t>Tag a version with the dataset cutoff, code version, and run identifier. Document that figures are historical facts, calculated metrics, forecasts, or illustrative assumptions.</w:t>
      </w:r>
    </w:p>
    <w:p>
      <w:pPr>
        <w:pStyle w:val="Heading2"/>
      </w:pPr>
      <w:r>
        <w:t>Completion checklist</w:t>
      </w:r>
    </w:p>
    <w:p>
      <w:r>
        <w:t>The project is complete when a new user can reproduce the model; historical figures reconcile; scenario cash paths and capacity constraints are correct; backtest leakage checks pass; workbook outputs match the reference; and the memo states limits without claiming company adoption.</w:t>
      </w:r>
    </w:p>
    <w:p>
      <w:pPr>
        <w:pStyle w:val="Heading2"/>
      </w:pPr>
      <w:r>
        <w:t>Resume evidence to collect</w:t>
      </w:r>
    </w:p>
    <w:p>
      <w:r>
        <w:t>Record the number of quarters reconciled, distinct forecast origins, checks passed, forecast error relative to baseline, and scenarios evaluated. Use actual results only. A suitable future bullet structure is: “Built a public-data cash-flow model for Target using [N] quarters, evaluated forecasts across [M] historical origins, and quantified scenario investment capacity under explicit cash constraints.” Fill brackets only after completion.</w:t>
      </w:r>
    </w:p>
    <w:p>
      <w:pPr>
        <w:pStyle w:val="Heading2"/>
      </w:pPr>
      <w:r>
        <w:t>Interview demonstration</w:t>
      </w:r>
    </w:p>
    <w:p>
      <w:r>
        <w:t>Show one source filing, its database row, its Excel calculation, and the resulting decision. Explain one forecast failure and one assumption that reverses the conclusion. This demonstrates more judgment than simply presenting a dashboard.</w:t>
      </w:r>
    </w:p>
    <w:p>
      <w:pPr>
        <w:pStyle w:val="Heading1"/>
        <w:pageBreakBefore/>
      </w:pPr>
      <w:r>
        <w:t>11  Execute the project in controlled stages</w:t>
      </w:r>
    </w:p>
    <w:tbl>
      <w:tblPr>
        <w:tblW w:type="auto" w:w="0"/>
        <w:tblLayout w:type="fixed"/>
        <w:tblLook w:firstColumn="1" w:firstRow="1" w:lastColumn="0" w:lastRow="0" w:noHBand="0" w:noVBand="1" w:val="04A0"/>
      </w:tblPr>
      <w:tblGrid>
        <w:gridCol w:w="3096"/>
        <w:gridCol w:w="1872"/>
        <w:gridCol w:w="5112"/>
      </w:tblGrid>
      <w:tr>
        <w:tc>
          <w:tcPr>
            <w:tcW w:type="dxa" w:w="3408"/>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Stage</w:t>
            </w:r>
          </w:p>
        </w:tc>
        <w:tc>
          <w:tcPr>
            <w:tcW w:type="dxa" w:w="3408"/>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Planning allowance</w:t>
            </w:r>
          </w:p>
        </w:tc>
        <w:tc>
          <w:tcPr>
            <w:tcW w:type="dxa" w:w="3408"/>
            <w:tcBorders>
              <w:top w:val="single" w:sz="4" w:color="D9D9D9"/>
              <w:left w:val="single" w:sz="4" w:color="D9D9D9"/>
              <w:bottom w:val="single" w:sz="4" w:color="D9D9D9"/>
              <w:right w:val="single" w:sz="4" w:color="D9D9D9"/>
            </w:tcBorders>
            <w:tcMar>
              <w:top w:w="90" w:type="dxa"/>
              <w:bottom w:w="90" w:type="dxa"/>
              <w:left w:w="90" w:type="dxa"/>
              <w:right w:w="90" w:type="dxa"/>
            </w:tcMar>
            <w:shd w:fill="E9EEF3"/>
          </w:tcPr>
          <w:p>
            <w:pPr>
              <w:spacing w:after="40"/>
            </w:pPr>
            <w:r>
              <w:rPr>
                <w:b/>
                <w:sz w:val="20"/>
              </w:rPr>
              <w:t>Required output</w:t>
            </w:r>
          </w:p>
        </w:tc>
      </w:tr>
      <w:tr>
        <w:tc>
          <w:tcPr>
            <w:tcW w:type="dxa" w:w="30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1. Setup and four-quarter proof</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4–6 hours</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Source manifest, schema, normalized four-quarter data, reconciliation results.</w:t>
            </w:r>
          </w:p>
        </w:tc>
      </w:tr>
      <w:tr>
        <w:tc>
          <w:tcPr>
            <w:tcW w:type="dxa" w:w="30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2. Expand history</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4–6 hours</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About 16 quarters, mapping decisions, filing-vintage selection.</w:t>
            </w:r>
          </w:p>
        </w:tc>
      </w:tr>
      <w:tr>
        <w:tc>
          <w:tcPr>
            <w:tcW w:type="dxa" w:w="30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3. Baseline and driver model</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5–8 hours</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Reference model, three scenarios, capacity calculation, accounting tests.</w:t>
            </w:r>
          </w:p>
        </w:tc>
      </w:tr>
      <w:tr>
        <w:tc>
          <w:tcPr>
            <w:tcW w:type="dxa" w:w="30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4. Historical validation</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4–6 hours</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Comparable baseline/model forecasts, error table, leakage checks.</w:t>
            </w:r>
          </w:p>
        </w:tc>
      </w:tr>
      <w:tr>
        <w:tc>
          <w:tcPr>
            <w:tcW w:type="dxa" w:w="30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5. Workbook and memo</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5–7 hours</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Recalculated Excel, checked outputs, one-page recommendation.</w:t>
            </w:r>
          </w:p>
        </w:tc>
      </w:tr>
      <w:tr>
        <w:tc>
          <w:tcPr>
            <w:tcW w:type="dxa" w:w="309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6. Optional Power BI</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3–5 hours</w:t>
            </w:r>
          </w:p>
        </w:tc>
        <w:tc>
          <w:tcPr>
            <w:tcW w:type="dxa" w:w="511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pPr>
            <w:r>
              <w:rPr>
                <w:b w:val="0"/>
                <w:sz w:val="20"/>
              </w:rPr>
              <w:t>Three report pages and refresh instructions.</w:t>
            </w:r>
          </w:p>
        </w:tc>
      </w:tr>
    </w:tbl>
    <w:p>
      <w:r>
        <w:t>These are planning allowances, not completion promises. Core scope is approximately 22–33 hours; learning, source-mapping problems, or review corrections may take longer. Reassess after the four-quarter proof rather than investing in the full interface upfront.</w:t>
      </w:r>
    </w:p>
    <w:p>
      <w:pPr>
        <w:pStyle w:val="Heading2"/>
      </w:pPr>
      <w:r>
        <w:t>First day starting sequence</w:t>
      </w:r>
    </w:p>
    <w:p>
      <w:r>
        <w:t>1. Create the project folder and virtual environment.</w:t>
        <w:br/>
        <w:t>2. Save this guide in the project documentation.</w:t>
        <w:br/>
        <w:t>3. Give the master instruction and first-session prompt to your builder.</w:t>
        <w:br/>
        <w:t>4. Inspect the source mapping for the first four quarters.</w:t>
        <w:br/>
        <w:t>5. Verify cash and flow totals yourself against the statements.</w:t>
        <w:br/>
        <w:t>6. Continue to the forecast only after the first data gate passes.</w:t>
      </w:r>
    </w:p>
    <w:p>
      <w:pPr>
        <w:pStyle w:val="Heading2"/>
      </w:pPr>
      <w:r>
        <w:t>Twenty day execution roadmap</w:t>
      </w:r>
    </w:p>
    <w:p>
      <w:r>
        <w:t>The daily plan assumes two to four focused hours per day. Each day ends with a reviewable artifact. Failed gates stop downstream work until the underlying issue is resolved.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605"/>
            <w:vAlign w:val="center"/>
            <w:tcMar>
              <w:top w:w="85" w:type="dxa"/>
              <w:start w:w="100" w:type="dxa"/>
              <w:bottom w:w="85" w:type="dxa"/>
              <w:end w:w="100" w:type="dxa"/>
            </w:tcMar>
            <w:shd w:fill="243447"/>
          </w:tcPr>
          <w:p>
            <w:r/>
            <w:r>
              <w:rPr>
                <w:rFonts w:ascii="Aptos" w:hAnsi="Aptos"/>
                <w:b/>
                <w:color w:val="FFFFFF"/>
                <w:sz w:val="16"/>
              </w:rPr>
              <w:t>Day</w:t>
            </w:r>
          </w:p>
        </w:tc>
        <w:tc>
          <w:tcPr>
            <w:tcW w:type="dxa" w:w="4968"/>
            <w:vAlign w:val="center"/>
            <w:tcMar>
              <w:top w:w="85" w:type="dxa"/>
              <w:start w:w="100" w:type="dxa"/>
              <w:bottom w:w="85" w:type="dxa"/>
              <w:end w:w="100" w:type="dxa"/>
            </w:tcMar>
            <w:shd w:fill="243447"/>
          </w:tcPr>
          <w:p>
            <w:r/>
            <w:r>
              <w:rPr>
                <w:rFonts w:ascii="Aptos" w:hAnsi="Aptos"/>
                <w:b/>
                <w:color w:val="FFFFFF"/>
                <w:sz w:val="16"/>
              </w:rPr>
              <w:t>Primary work</w:t>
            </w:r>
          </w:p>
        </w:tc>
        <w:tc>
          <w:tcPr>
            <w:tcW w:type="dxa" w:w="4392"/>
            <w:vAlign w:val="center"/>
            <w:tcMar>
              <w:top w:w="85" w:type="dxa"/>
              <w:start w:w="100" w:type="dxa"/>
              <w:bottom w:w="85" w:type="dxa"/>
              <w:end w:w="100" w:type="dxa"/>
            </w:tcMar>
            <w:shd w:fill="243447"/>
          </w:tcPr>
          <w:p>
            <w:r/>
            <w:r>
              <w:rPr>
                <w:rFonts w:ascii="Aptos" w:hAnsi="Aptos"/>
                <w:b/>
                <w:color w:val="FFFFFF"/>
                <w:sz w:val="16"/>
              </w:rPr>
              <w:t>Required evidence</w:t>
            </w:r>
          </w:p>
        </w:tc>
      </w:tr>
      <w:tr>
        <w:tc>
          <w:tcPr>
            <w:tcW w:type="dxa" w:w="605"/>
            <w:vAlign w:val="center"/>
            <w:tcMar>
              <w:top w:w="85" w:type="dxa"/>
              <w:start w:w="100" w:type="dxa"/>
              <w:bottom w:w="85" w:type="dxa"/>
              <w:end w:w="100" w:type="dxa"/>
            </w:tcMar>
          </w:tcPr>
          <w:p>
            <w:r/>
            <w:r>
              <w:rPr>
                <w:rFonts w:ascii="Aptos" w:hAnsi="Aptos"/>
                <w:b w:val="0"/>
                <w:color w:val="222222"/>
                <w:sz w:val="16"/>
              </w:rPr>
              <w:t>1</w:t>
            </w:r>
          </w:p>
        </w:tc>
        <w:tc>
          <w:tcPr>
            <w:tcW w:type="dxa" w:w="4968"/>
            <w:vAlign w:val="center"/>
            <w:tcMar>
              <w:top w:w="85" w:type="dxa"/>
              <w:start w:w="100" w:type="dxa"/>
              <w:bottom w:w="85" w:type="dxa"/>
              <w:end w:w="100" w:type="dxa"/>
            </w:tcMar>
          </w:tcPr>
          <w:p>
            <w:r/>
            <w:r>
              <w:rPr>
                <w:rFonts w:ascii="Aptos" w:hAnsi="Aptos"/>
                <w:b w:val="0"/>
                <w:color w:val="222222"/>
                <w:sz w:val="16"/>
              </w:rPr>
              <w:t>Freeze the business question, information cutoff, fiscal calendar, repository structure, and definitions.</w:t>
            </w:r>
          </w:p>
        </w:tc>
        <w:tc>
          <w:tcPr>
            <w:tcW w:type="dxa" w:w="4392"/>
            <w:vAlign w:val="center"/>
            <w:tcMar>
              <w:top w:w="85" w:type="dxa"/>
              <w:start w:w="100" w:type="dxa"/>
              <w:bottom w:w="85" w:type="dxa"/>
              <w:end w:w="100" w:type="dxa"/>
            </w:tcMar>
          </w:tcPr>
          <w:p>
            <w:r/>
            <w:r>
              <w:rPr>
                <w:rFonts w:ascii="Aptos" w:hAnsi="Aptos"/>
                <w:b w:val="0"/>
                <w:color w:val="222222"/>
                <w:sz w:val="16"/>
              </w:rPr>
              <w:t>Decision log, README, empty schema, and smoke test.</w:t>
            </w:r>
          </w:p>
        </w:tc>
      </w:tr>
      <w:tr>
        <w:tc>
          <w:tcPr>
            <w:tcW w:type="dxa" w:w="605"/>
            <w:vAlign w:val="center"/>
            <w:tcMar>
              <w:top w:w="85" w:type="dxa"/>
              <w:start w:w="100" w:type="dxa"/>
              <w:bottom w:w="85" w:type="dxa"/>
              <w:end w:w="100" w:type="dxa"/>
            </w:tcMar>
            <w:shd w:fill="F3F6F8"/>
          </w:tcPr>
          <w:p>
            <w:r/>
            <w:r>
              <w:rPr>
                <w:rFonts w:ascii="Aptos" w:hAnsi="Aptos"/>
                <w:b w:val="0"/>
                <w:color w:val="222222"/>
                <w:sz w:val="16"/>
              </w:rPr>
              <w:t>2</w:t>
            </w:r>
          </w:p>
        </w:tc>
        <w:tc>
          <w:tcPr>
            <w:tcW w:type="dxa" w:w="4968"/>
            <w:vAlign w:val="center"/>
            <w:tcMar>
              <w:top w:w="85" w:type="dxa"/>
              <w:start w:w="100" w:type="dxa"/>
              <w:bottom w:w="85" w:type="dxa"/>
              <w:end w:w="100" w:type="dxa"/>
            </w:tcMar>
            <w:shd w:fill="F3F6F8"/>
          </w:tcPr>
          <w:p>
            <w:r/>
            <w:r>
              <w:rPr>
                <w:rFonts w:ascii="Aptos" w:hAnsi="Aptos"/>
                <w:b w:val="0"/>
                <w:color w:val="222222"/>
                <w:sz w:val="16"/>
              </w:rPr>
              <w:t>Inventory Target filings and record accession numbers, filing dates, periods, URLs, and hashes.</w:t>
            </w:r>
          </w:p>
        </w:tc>
        <w:tc>
          <w:tcPr>
            <w:tcW w:type="dxa" w:w="4392"/>
            <w:vAlign w:val="center"/>
            <w:tcMar>
              <w:top w:w="85" w:type="dxa"/>
              <w:start w:w="100" w:type="dxa"/>
              <w:bottom w:w="85" w:type="dxa"/>
              <w:end w:w="100" w:type="dxa"/>
            </w:tcMar>
            <w:shd w:fill="F3F6F8"/>
          </w:tcPr>
          <w:p>
            <w:r/>
            <w:r>
              <w:rPr>
                <w:rFonts w:ascii="Aptos" w:hAnsi="Aptos"/>
                <w:b w:val="0"/>
                <w:color w:val="222222"/>
                <w:sz w:val="16"/>
              </w:rPr>
              <w:t>Complete source manifest for the first fiscal year.</w:t>
            </w:r>
          </w:p>
        </w:tc>
      </w:tr>
      <w:tr>
        <w:tc>
          <w:tcPr>
            <w:tcW w:type="dxa" w:w="605"/>
            <w:vAlign w:val="center"/>
            <w:tcMar>
              <w:top w:w="85" w:type="dxa"/>
              <w:start w:w="100" w:type="dxa"/>
              <w:bottom w:w="85" w:type="dxa"/>
              <w:end w:w="100" w:type="dxa"/>
            </w:tcMar>
          </w:tcPr>
          <w:p>
            <w:r/>
            <w:r>
              <w:rPr>
                <w:rFonts w:ascii="Aptos" w:hAnsi="Aptos"/>
                <w:b w:val="0"/>
                <w:color w:val="222222"/>
                <w:sz w:val="16"/>
              </w:rPr>
              <w:t>3</w:t>
            </w:r>
          </w:p>
        </w:tc>
        <w:tc>
          <w:tcPr>
            <w:tcW w:type="dxa" w:w="4968"/>
            <w:vAlign w:val="center"/>
            <w:tcMar>
              <w:top w:w="85" w:type="dxa"/>
              <w:start w:w="100" w:type="dxa"/>
              <w:bottom w:w="85" w:type="dxa"/>
              <w:end w:w="100" w:type="dxa"/>
            </w:tcMar>
          </w:tcPr>
          <w:p>
            <w:r/>
            <w:r>
              <w:rPr>
                <w:rFonts w:ascii="Aptos" w:hAnsi="Aptos"/>
                <w:b w:val="0"/>
                <w:color w:val="222222"/>
                <w:sz w:val="16"/>
              </w:rPr>
              <w:t>Map the first four quarters for revenue, margins, net income, operating cash flow, capex, financing flows, and cash.</w:t>
            </w:r>
          </w:p>
        </w:tc>
        <w:tc>
          <w:tcPr>
            <w:tcW w:type="dxa" w:w="4392"/>
            <w:vAlign w:val="center"/>
            <w:tcMar>
              <w:top w:w="85" w:type="dxa"/>
              <w:start w:w="100" w:type="dxa"/>
              <w:bottom w:w="85" w:type="dxa"/>
              <w:end w:w="100" w:type="dxa"/>
            </w:tcMar>
          </w:tcPr>
          <w:p>
            <w:r/>
            <w:r>
              <w:rPr>
                <w:rFonts w:ascii="Aptos" w:hAnsi="Aptos"/>
                <w:b w:val="0"/>
                <w:color w:val="222222"/>
                <w:sz w:val="16"/>
              </w:rPr>
              <w:t>Metric mapping with tags, contexts, units, and unresolved items.</w:t>
            </w:r>
          </w:p>
        </w:tc>
      </w:tr>
      <w:tr>
        <w:tc>
          <w:tcPr>
            <w:tcW w:type="dxa" w:w="605"/>
            <w:vAlign w:val="center"/>
            <w:tcMar>
              <w:top w:w="85" w:type="dxa"/>
              <w:start w:w="100" w:type="dxa"/>
              <w:bottom w:w="85" w:type="dxa"/>
              <w:end w:w="100" w:type="dxa"/>
            </w:tcMar>
            <w:shd w:fill="F3F6F8"/>
          </w:tcPr>
          <w:p>
            <w:r/>
            <w:r>
              <w:rPr>
                <w:rFonts w:ascii="Aptos" w:hAnsi="Aptos"/>
                <w:b w:val="0"/>
                <w:color w:val="222222"/>
                <w:sz w:val="16"/>
              </w:rPr>
              <w:t>4</w:t>
            </w:r>
          </w:p>
        </w:tc>
        <w:tc>
          <w:tcPr>
            <w:tcW w:type="dxa" w:w="4968"/>
            <w:vAlign w:val="center"/>
            <w:tcMar>
              <w:top w:w="85" w:type="dxa"/>
              <w:start w:w="100" w:type="dxa"/>
              <w:bottom w:w="85" w:type="dxa"/>
              <w:end w:w="100" w:type="dxa"/>
            </w:tcMar>
            <w:shd w:fill="F3F6F8"/>
          </w:tcPr>
          <w:p>
            <w:r/>
            <w:r>
              <w:rPr>
                <w:rFonts w:ascii="Aptos" w:hAnsi="Aptos"/>
                <w:b w:val="0"/>
                <w:color w:val="222222"/>
                <w:sz w:val="16"/>
              </w:rPr>
              <w:t>Normalize annual, year-to-date, quarterly, and point-in-time facts.</w:t>
            </w:r>
          </w:p>
        </w:tc>
        <w:tc>
          <w:tcPr>
            <w:tcW w:type="dxa" w:w="4392"/>
            <w:vAlign w:val="center"/>
            <w:tcMar>
              <w:top w:w="85" w:type="dxa"/>
              <w:start w:w="100" w:type="dxa"/>
              <w:bottom w:w="85" w:type="dxa"/>
              <w:end w:w="100" w:type="dxa"/>
            </w:tcMar>
            <w:shd w:fill="F3F6F8"/>
          </w:tcPr>
          <w:p>
            <w:r/>
            <w:r>
              <w:rPr>
                <w:rFonts w:ascii="Aptos" w:hAnsi="Aptos"/>
                <w:b w:val="0"/>
                <w:color w:val="222222"/>
                <w:sz w:val="16"/>
              </w:rPr>
              <w:t>Four-quarter table with explicit derivation lineage.</w:t>
            </w:r>
          </w:p>
        </w:tc>
      </w:tr>
      <w:tr>
        <w:tc>
          <w:tcPr>
            <w:tcW w:type="dxa" w:w="605"/>
            <w:vAlign w:val="center"/>
            <w:tcMar>
              <w:top w:w="85" w:type="dxa"/>
              <w:start w:w="100" w:type="dxa"/>
              <w:bottom w:w="85" w:type="dxa"/>
              <w:end w:w="100" w:type="dxa"/>
            </w:tcMar>
          </w:tcPr>
          <w:p>
            <w:r/>
            <w:r>
              <w:rPr>
                <w:rFonts w:ascii="Aptos" w:hAnsi="Aptos"/>
                <w:b w:val="0"/>
                <w:color w:val="222222"/>
                <w:sz w:val="16"/>
              </w:rPr>
              <w:t>5</w:t>
            </w:r>
          </w:p>
        </w:tc>
        <w:tc>
          <w:tcPr>
            <w:tcW w:type="dxa" w:w="4968"/>
            <w:vAlign w:val="center"/>
            <w:tcMar>
              <w:top w:w="85" w:type="dxa"/>
              <w:start w:w="100" w:type="dxa"/>
              <w:bottom w:w="85" w:type="dxa"/>
              <w:end w:w="100" w:type="dxa"/>
            </w:tcMar>
          </w:tcPr>
          <w:p>
            <w:r/>
            <w:r>
              <w:rPr>
                <w:rFonts w:ascii="Aptos" w:hAnsi="Aptos"/>
                <w:b w:val="0"/>
                <w:color w:val="222222"/>
                <w:sz w:val="16"/>
              </w:rPr>
              <w:t>Reconcile annual flows and the cash roll-forward.</w:t>
            </w:r>
          </w:p>
        </w:tc>
        <w:tc>
          <w:tcPr>
            <w:tcW w:type="dxa" w:w="4392"/>
            <w:vAlign w:val="center"/>
            <w:tcMar>
              <w:top w:w="85" w:type="dxa"/>
              <w:start w:w="100" w:type="dxa"/>
              <w:bottom w:w="85" w:type="dxa"/>
              <w:end w:w="100" w:type="dxa"/>
            </w:tcMar>
          </w:tcPr>
          <w:p>
            <w:r/>
            <w:r>
              <w:rPr>
                <w:rFonts w:ascii="Aptos" w:hAnsi="Aptos"/>
                <w:b w:val="0"/>
                <w:color w:val="222222"/>
                <w:sz w:val="16"/>
              </w:rPr>
              <w:t>First data gate passes within documented rounding tolerance.</w:t>
            </w:r>
          </w:p>
        </w:tc>
      </w:tr>
      <w:tr>
        <w:tc>
          <w:tcPr>
            <w:tcW w:type="dxa" w:w="605"/>
            <w:vAlign w:val="center"/>
            <w:tcMar>
              <w:top w:w="85" w:type="dxa"/>
              <w:start w:w="100" w:type="dxa"/>
              <w:bottom w:w="85" w:type="dxa"/>
              <w:end w:w="100" w:type="dxa"/>
            </w:tcMar>
            <w:shd w:fill="F3F6F8"/>
          </w:tcPr>
          <w:p>
            <w:r/>
            <w:r>
              <w:rPr>
                <w:rFonts w:ascii="Aptos" w:hAnsi="Aptos"/>
                <w:b w:val="0"/>
                <w:color w:val="222222"/>
                <w:sz w:val="16"/>
              </w:rPr>
              <w:t>6</w:t>
            </w:r>
          </w:p>
        </w:tc>
        <w:tc>
          <w:tcPr>
            <w:tcW w:type="dxa" w:w="4968"/>
            <w:vAlign w:val="center"/>
            <w:tcMar>
              <w:top w:w="85" w:type="dxa"/>
              <w:start w:w="100" w:type="dxa"/>
              <w:bottom w:w="85" w:type="dxa"/>
              <w:end w:w="100" w:type="dxa"/>
            </w:tcMar>
            <w:shd w:fill="F3F6F8"/>
          </w:tcPr>
          <w:p>
            <w:r/>
            <w:r>
              <w:rPr>
                <w:rFonts w:ascii="Aptos" w:hAnsi="Aptos"/>
                <w:b w:val="0"/>
                <w:color w:val="222222"/>
                <w:sz w:val="16"/>
              </w:rPr>
              <w:t>Expand the filing inventory and mappings to approximately 16 quarters.</w:t>
            </w:r>
          </w:p>
        </w:tc>
        <w:tc>
          <w:tcPr>
            <w:tcW w:type="dxa" w:w="4392"/>
            <w:vAlign w:val="center"/>
            <w:tcMar>
              <w:top w:w="85" w:type="dxa"/>
              <w:start w:w="100" w:type="dxa"/>
              <w:bottom w:w="85" w:type="dxa"/>
              <w:end w:w="100" w:type="dxa"/>
            </w:tcMar>
            <w:shd w:fill="F3F6F8"/>
          </w:tcPr>
          <w:p>
            <w:r/>
            <w:r>
              <w:rPr>
                <w:rFonts w:ascii="Aptos" w:hAnsi="Aptos"/>
                <w:b w:val="0"/>
                <w:color w:val="222222"/>
                <w:sz w:val="16"/>
              </w:rPr>
              <w:t>Versioned historical dataset with missing and conflicting facts visible.</w:t>
            </w:r>
          </w:p>
        </w:tc>
      </w:tr>
      <w:tr>
        <w:tc>
          <w:tcPr>
            <w:tcW w:type="dxa" w:w="605"/>
            <w:vAlign w:val="center"/>
            <w:tcMar>
              <w:top w:w="85" w:type="dxa"/>
              <w:start w:w="100" w:type="dxa"/>
              <w:bottom w:w="85" w:type="dxa"/>
              <w:end w:w="100" w:type="dxa"/>
            </w:tcMar>
          </w:tcPr>
          <w:p>
            <w:r/>
            <w:r>
              <w:rPr>
                <w:rFonts w:ascii="Aptos" w:hAnsi="Aptos"/>
                <w:b w:val="0"/>
                <w:color w:val="222222"/>
                <w:sz w:val="16"/>
              </w:rPr>
              <w:t>7</w:t>
            </w:r>
          </w:p>
        </w:tc>
        <w:tc>
          <w:tcPr>
            <w:tcW w:type="dxa" w:w="4968"/>
            <w:vAlign w:val="center"/>
            <w:tcMar>
              <w:top w:w="85" w:type="dxa"/>
              <w:start w:w="100" w:type="dxa"/>
              <w:bottom w:w="85" w:type="dxa"/>
              <w:end w:w="100" w:type="dxa"/>
            </w:tcMar>
          </w:tcPr>
          <w:p>
            <w:r/>
            <w:r>
              <w:rPr>
                <w:rFonts w:ascii="Aptos" w:hAnsi="Aptos"/>
                <w:b w:val="0"/>
                <w:color w:val="222222"/>
                <w:sz w:val="16"/>
              </w:rPr>
              <w:t>Complete the historical working-capital series and document accounting choices.</w:t>
            </w:r>
          </w:p>
        </w:tc>
        <w:tc>
          <w:tcPr>
            <w:tcW w:type="dxa" w:w="4392"/>
            <w:vAlign w:val="center"/>
            <w:tcMar>
              <w:top w:w="85" w:type="dxa"/>
              <w:start w:w="100" w:type="dxa"/>
              <w:bottom w:w="85" w:type="dxa"/>
              <w:end w:w="100" w:type="dxa"/>
            </w:tcMar>
          </w:tcPr>
          <w:p>
            <w:r/>
            <w:r>
              <w:rPr>
                <w:rFonts w:ascii="Aptos" w:hAnsi="Aptos"/>
                <w:b w:val="0"/>
                <w:color w:val="222222"/>
                <w:sz w:val="16"/>
              </w:rPr>
              <w:t>Inventory, payables, and material adjustments reconcile to source periods.</w:t>
            </w:r>
          </w:p>
        </w:tc>
      </w:tr>
      <w:tr>
        <w:tc>
          <w:tcPr>
            <w:tcW w:type="dxa" w:w="605"/>
            <w:vAlign w:val="center"/>
            <w:tcMar>
              <w:top w:w="85" w:type="dxa"/>
              <w:start w:w="100" w:type="dxa"/>
              <w:bottom w:w="85" w:type="dxa"/>
              <w:end w:w="100" w:type="dxa"/>
            </w:tcMar>
            <w:shd w:fill="F3F6F8"/>
          </w:tcPr>
          <w:p>
            <w:r/>
            <w:r>
              <w:rPr>
                <w:rFonts w:ascii="Aptos" w:hAnsi="Aptos"/>
                <w:b w:val="0"/>
                <w:color w:val="222222"/>
                <w:sz w:val="16"/>
              </w:rPr>
              <w:t>8</w:t>
            </w:r>
          </w:p>
        </w:tc>
        <w:tc>
          <w:tcPr>
            <w:tcW w:type="dxa" w:w="4968"/>
            <w:vAlign w:val="center"/>
            <w:tcMar>
              <w:top w:w="85" w:type="dxa"/>
              <w:start w:w="100" w:type="dxa"/>
              <w:bottom w:w="85" w:type="dxa"/>
              <w:end w:w="100" w:type="dxa"/>
            </w:tcMar>
            <w:shd w:fill="F3F6F8"/>
          </w:tcPr>
          <w:p>
            <w:r/>
            <w:r>
              <w:rPr>
                <w:rFonts w:ascii="Aptos" w:hAnsi="Aptos"/>
                <w:b w:val="0"/>
                <w:color w:val="222222"/>
                <w:sz w:val="16"/>
              </w:rPr>
              <w:t>Freeze the seasonal baseline and define comparable forecast origins.</w:t>
            </w:r>
          </w:p>
        </w:tc>
        <w:tc>
          <w:tcPr>
            <w:tcW w:type="dxa" w:w="4392"/>
            <w:vAlign w:val="center"/>
            <w:tcMar>
              <w:top w:w="85" w:type="dxa"/>
              <w:start w:w="100" w:type="dxa"/>
              <w:bottom w:w="85" w:type="dxa"/>
              <w:end w:w="100" w:type="dxa"/>
            </w:tcMar>
            <w:shd w:fill="F3F6F8"/>
          </w:tcPr>
          <w:p>
            <w:r/>
            <w:r>
              <w:rPr>
                <w:rFonts w:ascii="Aptos" w:hAnsi="Aptos"/>
                <w:b w:val="0"/>
                <w:color w:val="222222"/>
                <w:sz w:val="16"/>
              </w:rPr>
              <w:t>Baseline specification and no-look-ahead test fixtures.</w:t>
            </w:r>
          </w:p>
        </w:tc>
      </w:tr>
      <w:tr>
        <w:tc>
          <w:tcPr>
            <w:tcW w:type="dxa" w:w="605"/>
            <w:vAlign w:val="center"/>
            <w:tcMar>
              <w:top w:w="85" w:type="dxa"/>
              <w:start w:w="100" w:type="dxa"/>
              <w:bottom w:w="85" w:type="dxa"/>
              <w:end w:w="100" w:type="dxa"/>
            </w:tcMar>
          </w:tcPr>
          <w:p>
            <w:r/>
            <w:r>
              <w:rPr>
                <w:rFonts w:ascii="Aptos" w:hAnsi="Aptos"/>
                <w:b w:val="0"/>
                <w:color w:val="222222"/>
                <w:sz w:val="16"/>
              </w:rPr>
              <w:t>9</w:t>
            </w:r>
          </w:p>
        </w:tc>
        <w:tc>
          <w:tcPr>
            <w:tcW w:type="dxa" w:w="4968"/>
            <w:vAlign w:val="center"/>
            <w:tcMar>
              <w:top w:w="85" w:type="dxa"/>
              <w:start w:w="100" w:type="dxa"/>
              <w:bottom w:w="85" w:type="dxa"/>
              <w:end w:w="100" w:type="dxa"/>
            </w:tcMar>
          </w:tcPr>
          <w:p>
            <w:r/>
            <w:r>
              <w:rPr>
                <w:rFonts w:ascii="Aptos" w:hAnsi="Aptos"/>
                <w:b w:val="0"/>
                <w:color w:val="222222"/>
                <w:sz w:val="16"/>
              </w:rPr>
              <w:t>Implement revenue, margin, operating-cost, and net-income drivers.</w:t>
            </w:r>
          </w:p>
        </w:tc>
        <w:tc>
          <w:tcPr>
            <w:tcW w:type="dxa" w:w="4392"/>
            <w:vAlign w:val="center"/>
            <w:tcMar>
              <w:top w:w="85" w:type="dxa"/>
              <w:start w:w="100" w:type="dxa"/>
              <w:bottom w:w="85" w:type="dxa"/>
              <w:end w:w="100" w:type="dxa"/>
            </w:tcMar>
          </w:tcPr>
          <w:p>
            <w:r/>
            <w:r>
              <w:rPr>
                <w:rFonts w:ascii="Aptos" w:hAnsi="Aptos"/>
                <w:b w:val="0"/>
                <w:color w:val="222222"/>
                <w:sz w:val="16"/>
              </w:rPr>
              <w:t>Driver tests and documented assumptions with units.</w:t>
            </w:r>
          </w:p>
        </w:tc>
      </w:tr>
      <w:tr>
        <w:tc>
          <w:tcPr>
            <w:tcW w:type="dxa" w:w="605"/>
            <w:vAlign w:val="center"/>
            <w:tcMar>
              <w:top w:w="85" w:type="dxa"/>
              <w:start w:w="100" w:type="dxa"/>
              <w:bottom w:w="85" w:type="dxa"/>
              <w:end w:w="100" w:type="dxa"/>
            </w:tcMar>
            <w:shd w:fill="F3F6F8"/>
          </w:tcPr>
          <w:p>
            <w:r/>
            <w:r>
              <w:rPr>
                <w:rFonts w:ascii="Aptos" w:hAnsi="Aptos"/>
                <w:b w:val="0"/>
                <w:color w:val="222222"/>
                <w:sz w:val="16"/>
              </w:rPr>
              <w:t>10</w:t>
            </w:r>
          </w:p>
        </w:tc>
        <w:tc>
          <w:tcPr>
            <w:tcW w:type="dxa" w:w="4968"/>
            <w:vAlign w:val="center"/>
            <w:tcMar>
              <w:top w:w="85" w:type="dxa"/>
              <w:start w:w="100" w:type="dxa"/>
              <w:bottom w:w="85" w:type="dxa"/>
              <w:end w:w="100" w:type="dxa"/>
            </w:tcMar>
            <w:shd w:fill="F3F6F8"/>
          </w:tcPr>
          <w:p>
            <w:r/>
            <w:r>
              <w:rPr>
                <w:rFonts w:ascii="Aptos" w:hAnsi="Aptos"/>
                <w:b w:val="0"/>
                <w:color w:val="222222"/>
                <w:sz w:val="16"/>
              </w:rPr>
              <w:t>Implement inventory, purchases proxy, payables, operating cash flow, and ending cash.</w:t>
            </w:r>
          </w:p>
        </w:tc>
        <w:tc>
          <w:tcPr>
            <w:tcW w:type="dxa" w:w="4392"/>
            <w:vAlign w:val="center"/>
            <w:tcMar>
              <w:top w:w="85" w:type="dxa"/>
              <w:start w:w="100" w:type="dxa"/>
              <w:bottom w:w="85" w:type="dxa"/>
              <w:end w:w="100" w:type="dxa"/>
            </w:tcMar>
            <w:shd w:fill="F3F6F8"/>
          </w:tcPr>
          <w:p>
            <w:r/>
            <w:r>
              <w:rPr>
                <w:rFonts w:ascii="Aptos" w:hAnsi="Aptos"/>
                <w:b w:val="0"/>
                <w:color w:val="222222"/>
                <w:sz w:val="16"/>
              </w:rPr>
              <w:t>Directional tests and hand-worked cash bridge agree.</w:t>
            </w:r>
          </w:p>
        </w:tc>
      </w:tr>
      <w:tr>
        <w:tc>
          <w:tcPr>
            <w:tcW w:type="dxa" w:w="605"/>
            <w:vAlign w:val="center"/>
            <w:tcMar>
              <w:top w:w="85" w:type="dxa"/>
              <w:start w:w="100" w:type="dxa"/>
              <w:bottom w:w="85" w:type="dxa"/>
              <w:end w:w="100" w:type="dxa"/>
            </w:tcMar>
          </w:tcPr>
          <w:p>
            <w:r/>
            <w:r>
              <w:rPr>
                <w:rFonts w:ascii="Aptos" w:hAnsi="Aptos"/>
                <w:b w:val="0"/>
                <w:color w:val="222222"/>
                <w:sz w:val="16"/>
              </w:rPr>
              <w:t>11</w:t>
            </w:r>
          </w:p>
        </w:tc>
        <w:tc>
          <w:tcPr>
            <w:tcW w:type="dxa" w:w="4968"/>
            <w:vAlign w:val="center"/>
            <w:tcMar>
              <w:top w:w="85" w:type="dxa"/>
              <w:start w:w="100" w:type="dxa"/>
              <w:bottom w:w="85" w:type="dxa"/>
              <w:end w:w="100" w:type="dxa"/>
            </w:tcMar>
          </w:tcPr>
          <w:p>
            <w:r/>
            <w:r>
              <w:rPr>
                <w:rFonts w:ascii="Aptos" w:hAnsi="Aptos"/>
                <w:b w:val="0"/>
                <w:color w:val="222222"/>
                <w:sz w:val="16"/>
              </w:rPr>
              <w:t>Implement base, downside, and recovery scenarios.</w:t>
            </w:r>
          </w:p>
        </w:tc>
        <w:tc>
          <w:tcPr>
            <w:tcW w:type="dxa" w:w="4392"/>
            <w:vAlign w:val="center"/>
            <w:tcMar>
              <w:top w:w="85" w:type="dxa"/>
              <w:start w:w="100" w:type="dxa"/>
              <w:bottom w:w="85" w:type="dxa"/>
              <w:end w:w="100" w:type="dxa"/>
            </w:tcMar>
          </w:tcPr>
          <w:p>
            <w:r/>
            <w:r>
              <w:rPr>
                <w:rFonts w:ascii="Aptos" w:hAnsi="Aptos"/>
                <w:b w:val="0"/>
                <w:color w:val="222222"/>
                <w:sz w:val="16"/>
              </w:rPr>
              <w:t>Versioned scenario file with rationale and source classification.</w:t>
            </w:r>
          </w:p>
        </w:tc>
      </w:tr>
      <w:tr>
        <w:tc>
          <w:tcPr>
            <w:tcW w:type="dxa" w:w="605"/>
            <w:vAlign w:val="center"/>
            <w:tcMar>
              <w:top w:w="85" w:type="dxa"/>
              <w:start w:w="100" w:type="dxa"/>
              <w:bottom w:w="85" w:type="dxa"/>
              <w:end w:w="100" w:type="dxa"/>
            </w:tcMar>
            <w:shd w:fill="F3F6F8"/>
          </w:tcPr>
          <w:p>
            <w:r/>
            <w:r>
              <w:rPr>
                <w:rFonts w:ascii="Aptos" w:hAnsi="Aptos"/>
                <w:b w:val="0"/>
                <w:color w:val="222222"/>
                <w:sz w:val="16"/>
              </w:rPr>
              <w:t>12</w:t>
            </w:r>
          </w:p>
        </w:tc>
        <w:tc>
          <w:tcPr>
            <w:tcW w:type="dxa" w:w="4968"/>
            <w:vAlign w:val="center"/>
            <w:tcMar>
              <w:top w:w="85" w:type="dxa"/>
              <w:start w:w="100" w:type="dxa"/>
              <w:bottom w:w="85" w:type="dxa"/>
              <w:end w:w="100" w:type="dxa"/>
            </w:tcMar>
            <w:shd w:fill="F3F6F8"/>
          </w:tcPr>
          <w:p>
            <w:r/>
            <w:r>
              <w:rPr>
                <w:rFonts w:ascii="Aptos" w:hAnsi="Aptos"/>
                <w:b w:val="0"/>
                <w:color w:val="222222"/>
                <w:sz w:val="16"/>
              </w:rPr>
              <w:t>Implement quarterly cash floors and additional investment capacity.</w:t>
            </w:r>
          </w:p>
        </w:tc>
        <w:tc>
          <w:tcPr>
            <w:tcW w:type="dxa" w:w="4392"/>
            <w:vAlign w:val="center"/>
            <w:tcMar>
              <w:top w:w="85" w:type="dxa"/>
              <w:start w:w="100" w:type="dxa"/>
              <w:bottom w:w="85" w:type="dxa"/>
              <w:end w:w="100" w:type="dxa"/>
            </w:tcMar>
            <w:shd w:fill="F3F6F8"/>
          </w:tcPr>
          <w:p>
            <w:r/>
            <w:r>
              <w:rPr>
                <w:rFonts w:ascii="Aptos" w:hAnsi="Aptos"/>
                <w:b w:val="0"/>
                <w:color w:val="222222"/>
                <w:sz w:val="16"/>
              </w:rPr>
              <w:t>Hand example proves the limiting-quarter calculation.</w:t>
            </w:r>
          </w:p>
        </w:tc>
      </w:tr>
      <w:tr>
        <w:tc>
          <w:tcPr>
            <w:tcW w:type="dxa" w:w="605"/>
            <w:vAlign w:val="center"/>
            <w:tcMar>
              <w:top w:w="85" w:type="dxa"/>
              <w:start w:w="100" w:type="dxa"/>
              <w:bottom w:w="85" w:type="dxa"/>
              <w:end w:w="100" w:type="dxa"/>
            </w:tcMar>
          </w:tcPr>
          <w:p>
            <w:r/>
            <w:r>
              <w:rPr>
                <w:rFonts w:ascii="Aptos" w:hAnsi="Aptos"/>
                <w:b w:val="0"/>
                <w:color w:val="222222"/>
                <w:sz w:val="16"/>
              </w:rPr>
              <w:t>13</w:t>
            </w:r>
          </w:p>
        </w:tc>
        <w:tc>
          <w:tcPr>
            <w:tcW w:type="dxa" w:w="4968"/>
            <w:vAlign w:val="center"/>
            <w:tcMar>
              <w:top w:w="85" w:type="dxa"/>
              <w:start w:w="100" w:type="dxa"/>
              <w:bottom w:w="85" w:type="dxa"/>
              <w:end w:w="100" w:type="dxa"/>
            </w:tcMar>
          </w:tcPr>
          <w:p>
            <w:r/>
            <w:r>
              <w:rPr>
                <w:rFonts w:ascii="Aptos" w:hAnsi="Aptos"/>
                <w:b w:val="0"/>
                <w:color w:val="222222"/>
                <w:sz w:val="16"/>
              </w:rPr>
              <w:t>Run expanding-window one-quarter-ahead backtests.</w:t>
            </w:r>
          </w:p>
        </w:tc>
        <w:tc>
          <w:tcPr>
            <w:tcW w:type="dxa" w:w="4392"/>
            <w:vAlign w:val="center"/>
            <w:tcMar>
              <w:top w:w="85" w:type="dxa"/>
              <w:start w:w="100" w:type="dxa"/>
              <w:bottom w:w="85" w:type="dxa"/>
              <w:end w:w="100" w:type="dxa"/>
            </w:tcMar>
          </w:tcPr>
          <w:p>
            <w:r/>
            <w:r>
              <w:rPr>
                <w:rFonts w:ascii="Aptos" w:hAnsi="Aptos"/>
                <w:b w:val="0"/>
                <w:color w:val="222222"/>
                <w:sz w:val="16"/>
              </w:rPr>
              <w:t>Baseline and driver model evaluated on identical origins and targets.</w:t>
            </w:r>
          </w:p>
        </w:tc>
      </w:tr>
      <w:tr>
        <w:tc>
          <w:tcPr>
            <w:tcW w:type="dxa" w:w="605"/>
            <w:vAlign w:val="center"/>
            <w:tcMar>
              <w:top w:w="85" w:type="dxa"/>
              <w:start w:w="100" w:type="dxa"/>
              <w:bottom w:w="85" w:type="dxa"/>
              <w:end w:w="100" w:type="dxa"/>
            </w:tcMar>
            <w:shd w:fill="F3F6F8"/>
          </w:tcPr>
          <w:p>
            <w:r/>
            <w:r>
              <w:rPr>
                <w:rFonts w:ascii="Aptos" w:hAnsi="Aptos"/>
                <w:b w:val="0"/>
                <w:color w:val="222222"/>
                <w:sz w:val="16"/>
              </w:rPr>
              <w:t>14</w:t>
            </w:r>
          </w:p>
        </w:tc>
        <w:tc>
          <w:tcPr>
            <w:tcW w:type="dxa" w:w="4968"/>
            <w:vAlign w:val="center"/>
            <w:tcMar>
              <w:top w:w="85" w:type="dxa"/>
              <w:start w:w="100" w:type="dxa"/>
              <w:bottom w:w="85" w:type="dxa"/>
              <w:end w:w="100" w:type="dxa"/>
            </w:tcMar>
            <w:shd w:fill="F3F6F8"/>
          </w:tcPr>
          <w:p>
            <w:r/>
            <w:r>
              <w:rPr>
                <w:rFonts w:ascii="Aptos" w:hAnsi="Aptos"/>
                <w:b w:val="0"/>
                <w:color w:val="222222"/>
                <w:sz w:val="16"/>
              </w:rPr>
              <w:t>Review errors, leakage risks, largest misses, and stopping rules.</w:t>
            </w:r>
          </w:p>
        </w:tc>
        <w:tc>
          <w:tcPr>
            <w:tcW w:type="dxa" w:w="4392"/>
            <w:vAlign w:val="center"/>
            <w:tcMar>
              <w:top w:w="85" w:type="dxa"/>
              <w:start w:w="100" w:type="dxa"/>
              <w:bottom w:w="85" w:type="dxa"/>
              <w:end w:w="100" w:type="dxa"/>
            </w:tcMar>
            <w:shd w:fill="F3F6F8"/>
          </w:tcPr>
          <w:p>
            <w:r/>
            <w:r>
              <w:rPr>
                <w:rFonts w:ascii="Aptos" w:hAnsi="Aptos"/>
                <w:b w:val="0"/>
                <w:color w:val="222222"/>
                <w:sz w:val="16"/>
              </w:rPr>
              <w:t>Backtest report with sample size, MAE, bias, and revenue WAPE.</w:t>
            </w:r>
          </w:p>
        </w:tc>
      </w:tr>
      <w:tr>
        <w:tc>
          <w:tcPr>
            <w:tcW w:type="dxa" w:w="605"/>
            <w:vAlign w:val="center"/>
            <w:tcMar>
              <w:top w:w="85" w:type="dxa"/>
              <w:start w:w="100" w:type="dxa"/>
              <w:bottom w:w="85" w:type="dxa"/>
              <w:end w:w="100" w:type="dxa"/>
            </w:tcMar>
          </w:tcPr>
          <w:p>
            <w:r/>
            <w:r>
              <w:rPr>
                <w:rFonts w:ascii="Aptos" w:hAnsi="Aptos"/>
                <w:b w:val="0"/>
                <w:color w:val="222222"/>
                <w:sz w:val="16"/>
              </w:rPr>
              <w:t>15</w:t>
            </w:r>
          </w:p>
        </w:tc>
        <w:tc>
          <w:tcPr>
            <w:tcW w:type="dxa" w:w="4968"/>
            <w:vAlign w:val="center"/>
            <w:tcMar>
              <w:top w:w="85" w:type="dxa"/>
              <w:start w:w="100" w:type="dxa"/>
              <w:bottom w:w="85" w:type="dxa"/>
              <w:end w:w="100" w:type="dxa"/>
            </w:tcMar>
          </w:tcPr>
          <w:p>
            <w:r/>
            <w:r>
              <w:rPr>
                <w:rFonts w:ascii="Aptos" w:hAnsi="Aptos"/>
                <w:b w:val="0"/>
                <w:color w:val="222222"/>
                <w:sz w:val="16"/>
              </w:rPr>
              <w:t>Generate the Excel workbook with formulas, inputs, scenarios, and visible checks.</w:t>
            </w:r>
          </w:p>
        </w:tc>
        <w:tc>
          <w:tcPr>
            <w:tcW w:type="dxa" w:w="4392"/>
            <w:vAlign w:val="center"/>
            <w:tcMar>
              <w:top w:w="85" w:type="dxa"/>
              <w:start w:w="100" w:type="dxa"/>
              <w:bottom w:w="85" w:type="dxa"/>
              <w:end w:w="100" w:type="dxa"/>
            </w:tcMar>
          </w:tcPr>
          <w:p>
            <w:r/>
            <w:r>
              <w:rPr>
                <w:rFonts w:ascii="Aptos" w:hAnsi="Aptos"/>
                <w:b w:val="0"/>
                <w:color w:val="222222"/>
                <w:sz w:val="16"/>
              </w:rPr>
              <w:t>Workbook structure complete without plugs or hidden balancing values.</w:t>
            </w:r>
          </w:p>
        </w:tc>
      </w:tr>
      <w:tr>
        <w:tc>
          <w:tcPr>
            <w:tcW w:type="dxa" w:w="605"/>
            <w:vAlign w:val="center"/>
            <w:tcMar>
              <w:top w:w="85" w:type="dxa"/>
              <w:start w:w="100" w:type="dxa"/>
              <w:bottom w:w="85" w:type="dxa"/>
              <w:end w:w="100" w:type="dxa"/>
            </w:tcMar>
            <w:shd w:fill="F3F6F8"/>
          </w:tcPr>
          <w:p>
            <w:r/>
            <w:r>
              <w:rPr>
                <w:rFonts w:ascii="Aptos" w:hAnsi="Aptos"/>
                <w:b w:val="0"/>
                <w:color w:val="222222"/>
                <w:sz w:val="16"/>
              </w:rPr>
              <w:t>16</w:t>
            </w:r>
          </w:p>
        </w:tc>
        <w:tc>
          <w:tcPr>
            <w:tcW w:type="dxa" w:w="4968"/>
            <w:vAlign w:val="center"/>
            <w:tcMar>
              <w:top w:w="85" w:type="dxa"/>
              <w:start w:w="100" w:type="dxa"/>
              <w:bottom w:w="85" w:type="dxa"/>
              <w:end w:w="100" w:type="dxa"/>
            </w:tcMar>
            <w:shd w:fill="F3F6F8"/>
          </w:tcPr>
          <w:p>
            <w:r/>
            <w:r>
              <w:rPr>
                <w:rFonts w:ascii="Aptos" w:hAnsi="Aptos"/>
                <w:b w:val="0"/>
                <w:color w:val="222222"/>
                <w:sz w:val="16"/>
              </w:rPr>
              <w:t>Recalculate in Excel and compare cached outputs with Python.</w:t>
            </w:r>
          </w:p>
        </w:tc>
        <w:tc>
          <w:tcPr>
            <w:tcW w:type="dxa" w:w="4392"/>
            <w:vAlign w:val="center"/>
            <w:tcMar>
              <w:top w:w="85" w:type="dxa"/>
              <w:start w:w="100" w:type="dxa"/>
              <w:bottom w:w="85" w:type="dxa"/>
              <w:end w:w="100" w:type="dxa"/>
            </w:tcMar>
            <w:shd w:fill="F3F6F8"/>
          </w:tcPr>
          <w:p>
            <w:r/>
            <w:r>
              <w:rPr>
                <w:rFonts w:ascii="Aptos" w:hAnsi="Aptos"/>
                <w:b w:val="0"/>
                <w:color w:val="222222"/>
                <w:sz w:val="16"/>
              </w:rPr>
              <w:t>Comparison report passes the stated tolerance.</w:t>
            </w:r>
          </w:p>
        </w:tc>
      </w:tr>
      <w:tr>
        <w:tc>
          <w:tcPr>
            <w:tcW w:type="dxa" w:w="605"/>
            <w:vAlign w:val="center"/>
            <w:tcMar>
              <w:top w:w="85" w:type="dxa"/>
              <w:start w:w="100" w:type="dxa"/>
              <w:bottom w:w="85" w:type="dxa"/>
              <w:end w:w="100" w:type="dxa"/>
            </w:tcMar>
          </w:tcPr>
          <w:p>
            <w:r/>
            <w:r>
              <w:rPr>
                <w:rFonts w:ascii="Aptos" w:hAnsi="Aptos"/>
                <w:b w:val="0"/>
                <w:color w:val="222222"/>
                <w:sz w:val="16"/>
              </w:rPr>
              <w:t>17</w:t>
            </w:r>
          </w:p>
        </w:tc>
        <w:tc>
          <w:tcPr>
            <w:tcW w:type="dxa" w:w="4968"/>
            <w:vAlign w:val="center"/>
            <w:tcMar>
              <w:top w:w="85" w:type="dxa"/>
              <w:start w:w="100" w:type="dxa"/>
              <w:bottom w:w="85" w:type="dxa"/>
              <w:end w:w="100" w:type="dxa"/>
            </w:tcMar>
          </w:tcPr>
          <w:p>
            <w:r/>
            <w:r>
              <w:rPr>
                <w:rFonts w:ascii="Aptos" w:hAnsi="Aptos"/>
                <w:b w:val="0"/>
                <w:color w:val="222222"/>
                <w:sz w:val="16"/>
              </w:rPr>
              <w:t>Export actuals, forecasts, backtests, scenarios, and fiscal dates for reporting.</w:t>
            </w:r>
          </w:p>
        </w:tc>
        <w:tc>
          <w:tcPr>
            <w:tcW w:type="dxa" w:w="4392"/>
            <w:vAlign w:val="center"/>
            <w:tcMar>
              <w:top w:w="85" w:type="dxa"/>
              <w:start w:w="100" w:type="dxa"/>
              <w:bottom w:w="85" w:type="dxa"/>
              <w:end w:w="100" w:type="dxa"/>
            </w:tcMar>
          </w:tcPr>
          <w:p>
            <w:r/>
            <w:r>
              <w:rPr>
                <w:rFonts w:ascii="Aptos" w:hAnsi="Aptos"/>
                <w:b w:val="0"/>
                <w:color w:val="222222"/>
                <w:sz w:val="16"/>
              </w:rPr>
              <w:t>Validated CSV tables with run and vintage identifiers.</w:t>
            </w:r>
          </w:p>
        </w:tc>
      </w:tr>
      <w:tr>
        <w:tc>
          <w:tcPr>
            <w:tcW w:type="dxa" w:w="605"/>
            <w:vAlign w:val="center"/>
            <w:tcMar>
              <w:top w:w="85" w:type="dxa"/>
              <w:start w:w="100" w:type="dxa"/>
              <w:bottom w:w="85" w:type="dxa"/>
              <w:end w:w="100" w:type="dxa"/>
            </w:tcMar>
            <w:shd w:fill="F3F6F8"/>
          </w:tcPr>
          <w:p>
            <w:r/>
            <w:r>
              <w:rPr>
                <w:rFonts w:ascii="Aptos" w:hAnsi="Aptos"/>
                <w:b w:val="0"/>
                <w:color w:val="222222"/>
                <w:sz w:val="16"/>
              </w:rPr>
              <w:t>18</w:t>
            </w:r>
          </w:p>
        </w:tc>
        <w:tc>
          <w:tcPr>
            <w:tcW w:type="dxa" w:w="4968"/>
            <w:vAlign w:val="center"/>
            <w:tcMar>
              <w:top w:w="85" w:type="dxa"/>
              <w:start w:w="100" w:type="dxa"/>
              <w:bottom w:w="85" w:type="dxa"/>
              <w:end w:w="100" w:type="dxa"/>
            </w:tcMar>
            <w:shd w:fill="F3F6F8"/>
          </w:tcPr>
          <w:p>
            <w:r/>
            <w:r>
              <w:rPr>
                <w:rFonts w:ascii="Aptos" w:hAnsi="Aptos"/>
                <w:b w:val="0"/>
                <w:color w:val="222222"/>
                <w:sz w:val="16"/>
              </w:rPr>
              <w:t>Build the Power BI history, decision, and credibility pages.</w:t>
            </w:r>
          </w:p>
        </w:tc>
        <w:tc>
          <w:tcPr>
            <w:tcW w:type="dxa" w:w="4392"/>
            <w:vAlign w:val="center"/>
            <w:tcMar>
              <w:top w:w="85" w:type="dxa"/>
              <w:start w:w="100" w:type="dxa"/>
              <w:bottom w:w="85" w:type="dxa"/>
              <w:end w:w="100" w:type="dxa"/>
            </w:tcMar>
            <w:shd w:fill="F3F6F8"/>
          </w:tcPr>
          <w:p>
            <w:r/>
            <w:r>
              <w:rPr>
                <w:rFonts w:ascii="Aptos" w:hAnsi="Aptos"/>
                <w:b w:val="0"/>
                <w:color w:val="222222"/>
                <w:sz w:val="16"/>
              </w:rPr>
              <w:t>All pages filter to one run and use the fiscal-date model correctly.</w:t>
            </w:r>
          </w:p>
        </w:tc>
      </w:tr>
      <w:tr>
        <w:tc>
          <w:tcPr>
            <w:tcW w:type="dxa" w:w="605"/>
            <w:vAlign w:val="center"/>
            <w:tcMar>
              <w:top w:w="85" w:type="dxa"/>
              <w:start w:w="100" w:type="dxa"/>
              <w:bottom w:w="85" w:type="dxa"/>
              <w:end w:w="100" w:type="dxa"/>
            </w:tcMar>
          </w:tcPr>
          <w:p>
            <w:r/>
            <w:r>
              <w:rPr>
                <w:rFonts w:ascii="Aptos" w:hAnsi="Aptos"/>
                <w:b w:val="0"/>
                <w:color w:val="222222"/>
                <w:sz w:val="16"/>
              </w:rPr>
              <w:t>19</w:t>
            </w:r>
          </w:p>
        </w:tc>
        <w:tc>
          <w:tcPr>
            <w:tcW w:type="dxa" w:w="4968"/>
            <w:vAlign w:val="center"/>
            <w:tcMar>
              <w:top w:w="85" w:type="dxa"/>
              <w:start w:w="100" w:type="dxa"/>
              <w:bottom w:w="85" w:type="dxa"/>
              <w:end w:w="100" w:type="dxa"/>
            </w:tcMar>
          </w:tcPr>
          <w:p>
            <w:r/>
            <w:r>
              <w:rPr>
                <w:rFonts w:ascii="Aptos" w:hAnsi="Aptos"/>
                <w:b w:val="0"/>
                <w:color w:val="222222"/>
                <w:sz w:val="16"/>
              </w:rPr>
              <w:t>Build the Investment Decision Room and one-page management memo.</w:t>
            </w:r>
          </w:p>
        </w:tc>
        <w:tc>
          <w:tcPr>
            <w:tcW w:type="dxa" w:w="4392"/>
            <w:vAlign w:val="center"/>
            <w:tcMar>
              <w:top w:w="85" w:type="dxa"/>
              <w:start w:w="100" w:type="dxa"/>
              <w:bottom w:w="85" w:type="dxa"/>
              <w:end w:w="100" w:type="dxa"/>
            </w:tcMar>
          </w:tcPr>
          <w:p>
            <w:r/>
            <w:r>
              <w:rPr>
                <w:rFonts w:ascii="Aptos" w:hAnsi="Aptos"/>
                <w:b w:val="0"/>
                <w:color w:val="222222"/>
                <w:sz w:val="16"/>
              </w:rPr>
              <w:t>Three-minute demonstration and recommendation tied to assumptions.</w:t>
            </w:r>
          </w:p>
        </w:tc>
      </w:tr>
      <w:tr>
        <w:tc>
          <w:tcPr>
            <w:tcW w:type="dxa" w:w="605"/>
            <w:vAlign w:val="center"/>
            <w:tcMar>
              <w:top w:w="85" w:type="dxa"/>
              <w:start w:w="100" w:type="dxa"/>
              <w:bottom w:w="85" w:type="dxa"/>
              <w:end w:w="100" w:type="dxa"/>
            </w:tcMar>
            <w:shd w:fill="F3F6F8"/>
          </w:tcPr>
          <w:p>
            <w:r/>
            <w:r>
              <w:rPr>
                <w:rFonts w:ascii="Aptos" w:hAnsi="Aptos"/>
                <w:b w:val="0"/>
                <w:color w:val="222222"/>
                <w:sz w:val="16"/>
              </w:rPr>
              <w:t>20</w:t>
            </w:r>
          </w:p>
        </w:tc>
        <w:tc>
          <w:tcPr>
            <w:tcW w:type="dxa" w:w="4968"/>
            <w:vAlign w:val="center"/>
            <w:tcMar>
              <w:top w:w="85" w:type="dxa"/>
              <w:start w:w="100" w:type="dxa"/>
              <w:bottom w:w="85" w:type="dxa"/>
              <w:end w:w="100" w:type="dxa"/>
            </w:tcMar>
            <w:shd w:fill="F3F6F8"/>
          </w:tcPr>
          <w:p>
            <w:r/>
            <w:r>
              <w:rPr>
                <w:rFonts w:ascii="Aptos" w:hAnsi="Aptos"/>
                <w:b w:val="0"/>
                <w:color w:val="222222"/>
                <w:sz w:val="16"/>
              </w:rPr>
              <w:t>Conduct final reconciliation, reproducibility, usability, and claim review; tag the release.</w:t>
            </w:r>
          </w:p>
        </w:tc>
        <w:tc>
          <w:tcPr>
            <w:tcW w:type="dxa" w:w="4392"/>
            <w:vAlign w:val="center"/>
            <w:tcMar>
              <w:top w:w="85" w:type="dxa"/>
              <w:start w:w="100" w:type="dxa"/>
              <w:bottom w:w="85" w:type="dxa"/>
              <w:end w:w="100" w:type="dxa"/>
            </w:tcMar>
            <w:shd w:fill="F3F6F8"/>
          </w:tcPr>
          <w:p>
            <w:r/>
            <w:r>
              <w:rPr>
                <w:rFonts w:ascii="Aptos" w:hAnsi="Aptos"/>
                <w:b w:val="0"/>
                <w:color w:val="222222"/>
                <w:sz w:val="16"/>
              </w:rPr>
              <w:t>Clean setup run, checked outputs, documented limits, screenshots, and release version.</w:t>
            </w:r>
          </w:p>
        </w:tc>
      </w:tr>
    </w:tbl>
    <w:p>
      <w:pPr>
        <w:pStyle w:val="Heading2"/>
      </w:pPr>
      <w:r>
        <w:t>Final release gate</w:t>
      </w:r>
    </w:p>
    <w:p>
      <w:r>
        <w:t>Release only when a new user can reproduce the model, historical figures reconcile, forecast evaluation uses information available at each origin, Excel matches the reference calculation, and the recommendation identifies the limiting quarter and the assumption that can reverse it.</w:t>
      </w:r>
    </w:p>
    <w:p>
      <w:pPr>
        <w:pStyle w:val="Heading2"/>
      </w:pPr>
      <w:r>
        <w:t>Official reference links</w:t>
      </w:r>
    </w:p>
    <w:p>
      <w:r>
        <w:t>References checked 10 September 2026. Source-system facts below support the implementation choices; forecast equations and acceptance gates are project design decisions.</w:t>
      </w:r>
    </w:p>
    <w:p>
      <w:hyperlink r:id="rId9">
        <w:r>
          <w:rPr>
            <w:color w:val="165B8C"/>
          </w:rPr>
          <w:t>[1] SEC EDGAR API documentation</w:t>
        </w:r>
      </w:hyperlink>
    </w:p>
    <w:p>
      <w:hyperlink r:id="rId10">
        <w:r>
          <w:rPr>
            <w:color w:val="165B8C"/>
          </w:rPr>
          <w:t>[2] SEC developer resources and fair-access requirements</w:t>
        </w:r>
      </w:hyperlink>
    </w:p>
    <w:p>
      <w:hyperlink r:id="rId11">
        <w:r>
          <w:rPr>
            <w:color w:val="165B8C"/>
          </w:rPr>
          <w:t>[3] Microsoft Power BI Desktop download and requirements</w:t>
        </w:r>
      </w:hyperlink>
    </w:p>
    <w:p>
      <w:hyperlink r:id="rId12">
        <w:r>
          <w:rPr>
            <w:color w:val="165B8C"/>
          </w:rPr>
          <w:t>[4] Target annual report archive entry and financial statements</w:t>
        </w:r>
      </w:hyperlink>
    </w:p>
    <w:p>
      <w:r>
        <w:t>The Target link is a historical report entry, not a claim that 2024 is the latest available reporting period. Use the filing inventory to select the appropriate periods at execution time.</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c.gov/search-filings/edgar-application-programming-interfaces" TargetMode="External"/><Relationship Id="rId10" Type="http://schemas.openxmlformats.org/officeDocument/2006/relationships/hyperlink" Target="https://www.sec.gov/about/developer-resources" TargetMode="External"/><Relationship Id="rId11" Type="http://schemas.openxmlformats.org/officeDocument/2006/relationships/hyperlink" Target="https://learn.microsoft.com/en-us/power-bi/fundamentals/desktop-get-the-desktop" TargetMode="External"/><Relationship Id="rId12" Type="http://schemas.openxmlformats.org/officeDocument/2006/relationships/hyperlink" Target="https://corporate.target.com/investors/annual/2024-annual-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Cash Flow and Investment Capacity Final Execution Roadmap</dc:title>
  <dc:subject>Public data financial model and decision support case study</dc:subject>
  <dc:creator>Jay Patel</dc:creator>
  <cp:keywords/>
  <dc:description>generated by python-docx</dc:description>
  <cp:lastModifiedBy/>
  <cp:revision>1</cp:revision>
  <dcterms:created xsi:type="dcterms:W3CDTF">2013-12-23T23:15:00Z</dcterms:created>
  <dcterms:modified xsi:type="dcterms:W3CDTF">2013-12-23T23:15:00Z</dcterms:modified>
  <cp:category/>
</cp:coreProperties>
</file>