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AB4EC1" w14:textId="796A4626" w:rsidR="00041233" w:rsidRPr="00041233" w:rsidRDefault="00041233" w:rsidP="00041233">
      <w:pPr>
        <w:rPr>
          <w:rFonts w:ascii="Times New Roman" w:hAnsi="Times New Roman" w:cs="Times New Roman"/>
        </w:rPr>
      </w:pPr>
      <w:r w:rsidRPr="00041233">
        <w:rPr>
          <w:rFonts w:ascii="Times New Roman" w:hAnsi="Times New Roman" w:cs="Times New Roman"/>
        </w:rPr>
        <w:t>El Impacto del “</w:t>
      </w:r>
      <w:proofErr w:type="spellStart"/>
      <w:r w:rsidRPr="00041233">
        <w:rPr>
          <w:rFonts w:ascii="Times New Roman" w:hAnsi="Times New Roman" w:cs="Times New Roman"/>
        </w:rPr>
        <w:t>TECHNOLOGY</w:t>
      </w:r>
      <w:proofErr w:type="spellEnd"/>
      <w:r w:rsidRPr="00041233">
        <w:rPr>
          <w:rFonts w:ascii="Times New Roman" w:hAnsi="Times New Roman" w:cs="Times New Roman"/>
        </w:rPr>
        <w:t xml:space="preserve"> CAMP 2024” en la Educación y el Futuro del Aprendizaje</w:t>
      </w:r>
    </w:p>
    <w:p w14:paraId="79A1A020" w14:textId="7D1218BC" w:rsidR="00041233" w:rsidRPr="00041233" w:rsidRDefault="00041233" w:rsidP="00041233">
      <w:pPr>
        <w:rPr>
          <w:rFonts w:ascii="Times New Roman" w:hAnsi="Times New Roman" w:cs="Times New Roman"/>
        </w:rPr>
      </w:pPr>
      <w:r w:rsidRPr="00041233">
        <w:rPr>
          <w:rFonts w:ascii="Times New Roman" w:hAnsi="Times New Roman" w:cs="Times New Roman"/>
        </w:rPr>
        <w:t>Introducción</w:t>
      </w:r>
    </w:p>
    <w:p w14:paraId="4713FE0A" w14:textId="3A4BEB18" w:rsidR="00041233" w:rsidRPr="00041233" w:rsidRDefault="00041233" w:rsidP="00041233">
      <w:pPr>
        <w:rPr>
          <w:rFonts w:ascii="Times New Roman" w:hAnsi="Times New Roman" w:cs="Times New Roman"/>
        </w:rPr>
      </w:pPr>
      <w:r w:rsidRPr="00041233">
        <w:rPr>
          <w:rFonts w:ascii="Times New Roman" w:hAnsi="Times New Roman" w:cs="Times New Roman"/>
        </w:rPr>
        <w:t>El "</w:t>
      </w:r>
      <w:proofErr w:type="spellStart"/>
      <w:r w:rsidRPr="00041233">
        <w:rPr>
          <w:rFonts w:ascii="Times New Roman" w:hAnsi="Times New Roman" w:cs="Times New Roman"/>
        </w:rPr>
        <w:t>TECHNOLOGY</w:t>
      </w:r>
      <w:proofErr w:type="spellEnd"/>
      <w:r w:rsidRPr="00041233">
        <w:rPr>
          <w:rFonts w:ascii="Times New Roman" w:hAnsi="Times New Roman" w:cs="Times New Roman"/>
        </w:rPr>
        <w:t xml:space="preserve"> CAMP 2024" se consolidó como un evento de referencia para profesionales, estudiantes y docentes interesados en la innovación educativa. Durante el evento, se presentaron avances que subrayan el creciente rol de la tecnología en la enseñanza y el aprendizaje. La educación contemporánea, influenciada por tecnologías emergentes como la inteligencia artificial, la realidad aumentada y la gamificación, está experimentando una transformación significativa. Este ensayo tiene como objetivo reflexionar sobre la importancia de este evento y cómo los temas tratados en el mismo afectan al panorama educativo actual y futuro.</w:t>
      </w:r>
    </w:p>
    <w:p w14:paraId="2405D3A8" w14:textId="0D86C8DF" w:rsidR="00041233" w:rsidRPr="00041233" w:rsidRDefault="00041233" w:rsidP="00041233">
      <w:pPr>
        <w:rPr>
          <w:rFonts w:ascii="Times New Roman" w:hAnsi="Times New Roman" w:cs="Times New Roman"/>
        </w:rPr>
      </w:pPr>
      <w:r w:rsidRPr="00041233">
        <w:rPr>
          <w:rFonts w:ascii="Times New Roman" w:hAnsi="Times New Roman" w:cs="Times New Roman"/>
        </w:rPr>
        <w:t>1. Nuevas Tecnologías Presentadas y su Rol en la Educación</w:t>
      </w:r>
    </w:p>
    <w:p w14:paraId="1C7615A1" w14:textId="06D4BBA0" w:rsidR="00041233" w:rsidRPr="00041233" w:rsidRDefault="00041233" w:rsidP="00041233">
      <w:pPr>
        <w:rPr>
          <w:rFonts w:ascii="Times New Roman" w:hAnsi="Times New Roman" w:cs="Times New Roman"/>
        </w:rPr>
      </w:pPr>
      <w:r w:rsidRPr="00041233">
        <w:rPr>
          <w:rFonts w:ascii="Times New Roman" w:hAnsi="Times New Roman" w:cs="Times New Roman"/>
        </w:rPr>
        <w:t>Uno de los aspectos más destacados del "</w:t>
      </w:r>
      <w:proofErr w:type="spellStart"/>
      <w:r w:rsidRPr="00041233">
        <w:rPr>
          <w:rFonts w:ascii="Times New Roman" w:hAnsi="Times New Roman" w:cs="Times New Roman"/>
        </w:rPr>
        <w:t>TECHNOLOGY</w:t>
      </w:r>
      <w:proofErr w:type="spellEnd"/>
      <w:r w:rsidRPr="00041233">
        <w:rPr>
          <w:rFonts w:ascii="Times New Roman" w:hAnsi="Times New Roman" w:cs="Times New Roman"/>
        </w:rPr>
        <w:t xml:space="preserve"> CAMP 2024" fue la presentación de tecnologías emergentes con el potencial de revolucionar las aulas. La inteligencia artificial (IA), la realidad virtual (</w:t>
      </w:r>
      <w:proofErr w:type="spellStart"/>
      <w:r w:rsidRPr="00041233">
        <w:rPr>
          <w:rFonts w:ascii="Times New Roman" w:hAnsi="Times New Roman" w:cs="Times New Roman"/>
        </w:rPr>
        <w:t>RV</w:t>
      </w:r>
      <w:proofErr w:type="spellEnd"/>
      <w:r w:rsidRPr="00041233">
        <w:rPr>
          <w:rFonts w:ascii="Times New Roman" w:hAnsi="Times New Roman" w:cs="Times New Roman"/>
        </w:rPr>
        <w:t>) y la realidad aumentada (RA) no solo brindan nuevas formas de interacción, sino que tienen el poder de personalizar el aprendizaje para cada estudiante.</w:t>
      </w:r>
    </w:p>
    <w:p w14:paraId="231B76E0" w14:textId="16259D4C" w:rsidR="00041233" w:rsidRPr="00041233" w:rsidRDefault="00041233" w:rsidP="00041233">
      <w:pPr>
        <w:rPr>
          <w:rFonts w:ascii="Times New Roman" w:hAnsi="Times New Roman" w:cs="Times New Roman"/>
        </w:rPr>
      </w:pPr>
      <w:r w:rsidRPr="00041233">
        <w:rPr>
          <w:rFonts w:ascii="Times New Roman" w:hAnsi="Times New Roman" w:cs="Times New Roman"/>
        </w:rPr>
        <w:t xml:space="preserve">La IA, por ejemplo, permite la creación de plataformas educativas adaptativas, capaces de ajustarse a las fortalezas y debilidades de los estudiantes en tiempo real. Plataformas como estas analizan patrones de aprendizaje y sugieren contenido o estrategias de estudio personalizadas, optimizando el proceso educativo. Por su parte, la </w:t>
      </w:r>
      <w:proofErr w:type="spellStart"/>
      <w:r w:rsidRPr="00041233">
        <w:rPr>
          <w:rFonts w:ascii="Times New Roman" w:hAnsi="Times New Roman" w:cs="Times New Roman"/>
        </w:rPr>
        <w:t>RV</w:t>
      </w:r>
      <w:proofErr w:type="spellEnd"/>
      <w:r w:rsidRPr="00041233">
        <w:rPr>
          <w:rFonts w:ascii="Times New Roman" w:hAnsi="Times New Roman" w:cs="Times New Roman"/>
        </w:rPr>
        <w:t xml:space="preserve"> y la RA permiten que los estudiantes exploren conceptos abstractos de manera tangible. Un estudiante de biología podría, por ejemplo, caminar virtualmente dentro de una célula o interactuar con estructuras moleculares complejas, experiencias que eran impensables hace unos años.</w:t>
      </w:r>
    </w:p>
    <w:p w14:paraId="3B88026F" w14:textId="3C10240F" w:rsidR="00041233" w:rsidRPr="00041233" w:rsidRDefault="00041233" w:rsidP="00041233">
      <w:pPr>
        <w:rPr>
          <w:rFonts w:ascii="Times New Roman" w:hAnsi="Times New Roman" w:cs="Times New Roman"/>
        </w:rPr>
      </w:pPr>
      <w:r w:rsidRPr="00041233">
        <w:rPr>
          <w:rFonts w:ascii="Times New Roman" w:hAnsi="Times New Roman" w:cs="Times New Roman"/>
        </w:rPr>
        <w:t>2. Importancia del Evento para el Futuro de la Educación</w:t>
      </w:r>
    </w:p>
    <w:p w14:paraId="7A8BB9E4" w14:textId="524416CF" w:rsidR="00041233" w:rsidRPr="00041233" w:rsidRDefault="00041233" w:rsidP="00041233">
      <w:pPr>
        <w:rPr>
          <w:rFonts w:ascii="Times New Roman" w:hAnsi="Times New Roman" w:cs="Times New Roman"/>
        </w:rPr>
      </w:pPr>
      <w:r w:rsidRPr="00041233">
        <w:rPr>
          <w:rFonts w:ascii="Times New Roman" w:hAnsi="Times New Roman" w:cs="Times New Roman"/>
        </w:rPr>
        <w:t>La relevancia de eventos como el "</w:t>
      </w:r>
      <w:proofErr w:type="spellStart"/>
      <w:r w:rsidRPr="00041233">
        <w:rPr>
          <w:rFonts w:ascii="Times New Roman" w:hAnsi="Times New Roman" w:cs="Times New Roman"/>
        </w:rPr>
        <w:t>TECHNOLOGY</w:t>
      </w:r>
      <w:proofErr w:type="spellEnd"/>
      <w:r w:rsidRPr="00041233">
        <w:rPr>
          <w:rFonts w:ascii="Times New Roman" w:hAnsi="Times New Roman" w:cs="Times New Roman"/>
        </w:rPr>
        <w:t xml:space="preserve"> CAMP 2024" radica en su capacidad para desafiar las metodologías pedagógicas tradicionales. Este tipo de encuentros fomentan un diálogo entre los educadores, desarrolladores tecnológicos y estudiantes sobre la necesidad de cambiar el enfoque de la educación. No se trata solo de agregar herramientas tecnológicas al aula, sino de rediseñar el proceso educativo desde sus cimientos.</w:t>
      </w:r>
    </w:p>
    <w:p w14:paraId="629F5BDB" w14:textId="192BE85B" w:rsidR="00041233" w:rsidRPr="00041233" w:rsidRDefault="00041233" w:rsidP="00041233">
      <w:pPr>
        <w:rPr>
          <w:rFonts w:ascii="Times New Roman" w:hAnsi="Times New Roman" w:cs="Times New Roman"/>
        </w:rPr>
      </w:pPr>
      <w:r w:rsidRPr="00041233">
        <w:rPr>
          <w:rFonts w:ascii="Times New Roman" w:hAnsi="Times New Roman" w:cs="Times New Roman"/>
        </w:rPr>
        <w:t>Por ejemplo, la gamificación, que fue un tema destacado durante el evento, está demostrando que el juego puede ser un poderoso recurso educativo. No se limita a entretener, sino que fomenta la motivación intrínseca de los estudiantes, incentivando la resolución de problemas y el pensamiento crítico. Cuando se diseña de manera adecuada, la gamificación puede transformar la percepción del aprendizaje, convirtiendo tareas que antes se consideraban tediosas en desafíos atractivos y estimulantes.</w:t>
      </w:r>
    </w:p>
    <w:p w14:paraId="415C136F" w14:textId="447DA6C7" w:rsidR="00041233" w:rsidRPr="00041233" w:rsidRDefault="00041233" w:rsidP="00041233">
      <w:pPr>
        <w:rPr>
          <w:rFonts w:ascii="Times New Roman" w:hAnsi="Times New Roman" w:cs="Times New Roman"/>
        </w:rPr>
      </w:pPr>
      <w:r w:rsidRPr="00041233">
        <w:rPr>
          <w:rFonts w:ascii="Times New Roman" w:hAnsi="Times New Roman" w:cs="Times New Roman"/>
        </w:rPr>
        <w:t>Sin embargo, la importancia de estas innovaciones no puede comprenderse sin tomar en cuenta los desafíos que traen consigo. La adopción de tecnologías avanzadas plantea preguntas sobre la equidad en el acceso a estas herramientas. ¿Qué sucede con los estudiantes de entornos desfavorecidos que no tienen acceso a la infraestructura tecnológica necesaria para aprovechar estos avances? La tecnología, si bien tiene el potencial de democratizar la educación, también puede profundizar las brechas si no se implementa de manera equitativa.</w:t>
      </w:r>
    </w:p>
    <w:p w14:paraId="3266C330" w14:textId="77777777" w:rsidR="00041233" w:rsidRDefault="00041233" w:rsidP="00041233">
      <w:pPr>
        <w:rPr>
          <w:rFonts w:ascii="Times New Roman" w:hAnsi="Times New Roman" w:cs="Times New Roman"/>
        </w:rPr>
      </w:pPr>
      <w:r w:rsidRPr="00041233">
        <w:rPr>
          <w:rFonts w:ascii="Times New Roman" w:hAnsi="Times New Roman" w:cs="Times New Roman"/>
        </w:rPr>
        <w:t>3. Desafíos y Oportunidades en la Implementación de Nuevas Tecnologías Educativas</w:t>
      </w:r>
    </w:p>
    <w:p w14:paraId="214C34FD" w14:textId="2B5ACE59" w:rsidR="00041233" w:rsidRPr="00041233" w:rsidRDefault="00041233" w:rsidP="00041233">
      <w:pPr>
        <w:rPr>
          <w:rFonts w:ascii="Times New Roman" w:hAnsi="Times New Roman" w:cs="Times New Roman"/>
        </w:rPr>
      </w:pPr>
      <w:r w:rsidRPr="00041233">
        <w:rPr>
          <w:rFonts w:ascii="Times New Roman" w:hAnsi="Times New Roman" w:cs="Times New Roman"/>
        </w:rPr>
        <w:lastRenderedPageBreak/>
        <w:t>Si bien las tecnologías presentadas en el "</w:t>
      </w:r>
      <w:proofErr w:type="spellStart"/>
      <w:r w:rsidRPr="00041233">
        <w:rPr>
          <w:rFonts w:ascii="Times New Roman" w:hAnsi="Times New Roman" w:cs="Times New Roman"/>
        </w:rPr>
        <w:t>TECHNOLOGY</w:t>
      </w:r>
      <w:proofErr w:type="spellEnd"/>
      <w:r w:rsidRPr="00041233">
        <w:rPr>
          <w:rFonts w:ascii="Times New Roman" w:hAnsi="Times New Roman" w:cs="Times New Roman"/>
        </w:rPr>
        <w:t xml:space="preserve"> CAMP 2024" son prometedoras, su implementación generalizada en los sistemas educativos enfrenta varios retos. Uno de los más evidentes es la capacitación docente. La introducción de la IA, la RA o la gamificación requiere que los educadores no solo adopten estas tecnologías, sino que también sean capaces de integrarlas de manera efectiva en sus planes de estudio. Esto demanda un esfuerzo significativo en la formación continua de los docentes, un aspecto que en muchos contextos aún está desatendido.</w:t>
      </w:r>
    </w:p>
    <w:p w14:paraId="37B42EB5" w14:textId="55AAF1DD" w:rsidR="00041233" w:rsidRPr="00041233" w:rsidRDefault="00041233" w:rsidP="00041233">
      <w:pPr>
        <w:rPr>
          <w:rFonts w:ascii="Times New Roman" w:hAnsi="Times New Roman" w:cs="Times New Roman"/>
        </w:rPr>
      </w:pPr>
      <w:r w:rsidRPr="00041233">
        <w:rPr>
          <w:rFonts w:ascii="Times New Roman" w:hAnsi="Times New Roman" w:cs="Times New Roman"/>
        </w:rPr>
        <w:t>Otro desafío crítico es el acceso desigual a la tecnología. En muchas regiones, la infraestructura tecnológica básica sigue siendo limitada. Si bien las herramientas avanzadas pueden transformar el aprendizaje, su impacto será mínimo si los estudiantes no pueden acceder a ellas. Esta situación pone de manifiesto la importancia de que tanto gobiernos como instituciones educativas inviertan en cerrar la brecha digital, asegurando que todos los estudiantes, independientemente de su contexto socioeconómico, puedan beneficiarse de las innovaciones tecnológicas.</w:t>
      </w:r>
    </w:p>
    <w:p w14:paraId="7D29BF15" w14:textId="1A0D9AB5" w:rsidR="00041233" w:rsidRPr="00041233" w:rsidRDefault="00041233" w:rsidP="00041233">
      <w:pPr>
        <w:rPr>
          <w:rFonts w:ascii="Times New Roman" w:hAnsi="Times New Roman" w:cs="Times New Roman"/>
        </w:rPr>
      </w:pPr>
      <w:r w:rsidRPr="00041233">
        <w:rPr>
          <w:rFonts w:ascii="Times New Roman" w:hAnsi="Times New Roman" w:cs="Times New Roman"/>
        </w:rPr>
        <w:t>Por otro lado, también debemos tener en cuenta el debate ético que gira en torno a la tecnología en la educación. Las plataformas basadas en inteligencia artificial, por ejemplo, manejan enormes cantidades de datos personales, lo que genera preocupaciones sobre la privacidad de los estudiantes. Además, es importante considerar hasta qué punto la dependencia de estas tecnologías puede deshumanizar el proceso educativo, reduciendo la interacción directa entre estudiantes y docentes.</w:t>
      </w:r>
    </w:p>
    <w:p w14:paraId="705A6DA4" w14:textId="16F4C90E" w:rsidR="00041233" w:rsidRPr="00041233" w:rsidRDefault="00041233" w:rsidP="00041233">
      <w:pPr>
        <w:rPr>
          <w:rFonts w:ascii="Times New Roman" w:hAnsi="Times New Roman" w:cs="Times New Roman"/>
        </w:rPr>
      </w:pPr>
      <w:r w:rsidRPr="00041233">
        <w:rPr>
          <w:rFonts w:ascii="Times New Roman" w:hAnsi="Times New Roman" w:cs="Times New Roman"/>
        </w:rPr>
        <w:t>Conclusión</w:t>
      </w:r>
    </w:p>
    <w:p w14:paraId="557E049C" w14:textId="47D1D382" w:rsidR="00041233" w:rsidRPr="00041233" w:rsidRDefault="00041233" w:rsidP="00041233">
      <w:pPr>
        <w:rPr>
          <w:rFonts w:ascii="Times New Roman" w:hAnsi="Times New Roman" w:cs="Times New Roman"/>
        </w:rPr>
      </w:pPr>
      <w:r w:rsidRPr="00041233">
        <w:rPr>
          <w:rFonts w:ascii="Times New Roman" w:hAnsi="Times New Roman" w:cs="Times New Roman"/>
        </w:rPr>
        <w:t>El "</w:t>
      </w:r>
      <w:proofErr w:type="spellStart"/>
      <w:r w:rsidRPr="00041233">
        <w:rPr>
          <w:rFonts w:ascii="Times New Roman" w:hAnsi="Times New Roman" w:cs="Times New Roman"/>
        </w:rPr>
        <w:t>TECHNOLOGY</w:t>
      </w:r>
      <w:proofErr w:type="spellEnd"/>
      <w:r w:rsidRPr="00041233">
        <w:rPr>
          <w:rFonts w:ascii="Times New Roman" w:hAnsi="Times New Roman" w:cs="Times New Roman"/>
        </w:rPr>
        <w:t xml:space="preserve"> CAMP 2024" no solo sirvió como una plataforma para la presentación de innovaciones tecnológicas, sino que también abrió una ventana a la reflexión sobre los desafíos y oportunidades que estas herramientas traen al ámbito educativo. Es evidente que estamos ante una transformación pedagógica profunda, donde la tecnología no es un simple añadido, sino un componente central en la redefinición del aprendizaje.</w:t>
      </w:r>
    </w:p>
    <w:p w14:paraId="7EFB300A" w14:textId="57AC0F9F" w:rsidR="00041233" w:rsidRPr="00041233" w:rsidRDefault="00041233" w:rsidP="00041233">
      <w:pPr>
        <w:rPr>
          <w:rFonts w:ascii="Times New Roman" w:hAnsi="Times New Roman" w:cs="Times New Roman"/>
        </w:rPr>
      </w:pPr>
      <w:r w:rsidRPr="00041233">
        <w:rPr>
          <w:rFonts w:ascii="Times New Roman" w:hAnsi="Times New Roman" w:cs="Times New Roman"/>
        </w:rPr>
        <w:t>Sin embargo, este cambio no es simplemente una cuestión de acceso a dispositivos o plataformas, sino una oportunidad para replantear el rol del educador y el estudiante en el proceso de aprendizaje. La IA, la RA, y la gamificación ofrecen un nuevo horizonte, pero también presentan desafíos significativos, como la formación docente, la equidad en el acceso y los dilemas éticos asociados a su uso.</w:t>
      </w:r>
    </w:p>
    <w:p w14:paraId="27356AEC" w14:textId="3DF83F04" w:rsidR="00041233" w:rsidRPr="00041233" w:rsidRDefault="00041233" w:rsidP="00041233">
      <w:pPr>
        <w:rPr>
          <w:rFonts w:ascii="Times New Roman" w:hAnsi="Times New Roman" w:cs="Times New Roman"/>
          <w:sz w:val="18"/>
          <w:szCs w:val="18"/>
        </w:rPr>
      </w:pPr>
      <w:r w:rsidRPr="00041233">
        <w:rPr>
          <w:rFonts w:ascii="Times New Roman" w:hAnsi="Times New Roman" w:cs="Times New Roman"/>
        </w:rPr>
        <w:t>En última instancia, eventos como este nos invitan a repensar no solo cómo enseñamos, sino por qué enseñamos, y cómo las tecnologías pueden ser aliadas en la creación de una educación más inclusiva, personalizada y equitativa. La verdadera innovación no reside solo en las herramientas, sino en nuestra capacidad para utilizarlas de manera consciente y responsable en beneficio de todos los estudiantes, independientemente de su contexto o recursos. Con una implementación adecuada, el futuro de la educación promete ser más interactivo, dinámico y accesible, pero solo si somos capaces de superar los obstáculos que se interponen en el camino hacia ese ideal</w:t>
      </w:r>
      <w:r>
        <w:rPr>
          <w:rFonts w:ascii="Times New Roman" w:hAnsi="Times New Roman" w:cs="Times New Roman"/>
        </w:rPr>
        <w:t xml:space="preserve"> del desarrollo prospero de la paz y el desarrollo sostenible además de ser ingenieros debemos ser sensibles y considerados con aquellos que necesiten nuestra ayuda como lo menores de edad, para construir un futura más culto y equitativo con todos</w:t>
      </w:r>
      <w:r w:rsidRPr="00041233">
        <w:rPr>
          <w:rFonts w:ascii="Times New Roman" w:hAnsi="Times New Roman" w:cs="Times New Roman"/>
        </w:rPr>
        <w:t>.</w:t>
      </w:r>
    </w:p>
    <w:sectPr w:rsidR="00041233" w:rsidRPr="0004123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993C6A"/>
    <w:multiLevelType w:val="multilevel"/>
    <w:tmpl w:val="B8D2E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25153B"/>
    <w:multiLevelType w:val="multilevel"/>
    <w:tmpl w:val="5B006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BF0473"/>
    <w:multiLevelType w:val="multilevel"/>
    <w:tmpl w:val="B1A82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A652788"/>
    <w:multiLevelType w:val="multilevel"/>
    <w:tmpl w:val="8B70D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52938294">
    <w:abstractNumId w:val="3"/>
  </w:num>
  <w:num w:numId="2" w16cid:durableId="98840893">
    <w:abstractNumId w:val="0"/>
  </w:num>
  <w:num w:numId="3" w16cid:durableId="860821352">
    <w:abstractNumId w:val="2"/>
  </w:num>
  <w:num w:numId="4" w16cid:durableId="13510334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5FB7"/>
    <w:rsid w:val="00041233"/>
    <w:rsid w:val="00462D66"/>
    <w:rsid w:val="00640601"/>
    <w:rsid w:val="006573B1"/>
    <w:rsid w:val="00B45FB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AC5D32"/>
  <w15:chartTrackingRefBased/>
  <w15:docId w15:val="{E258E653-BE53-41EA-9CA6-A23A6AD72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45FB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B45FB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B45FB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B45FB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B45FB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B45FB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45FB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45FB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45FB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45FB7"/>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B45FB7"/>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B45FB7"/>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B45FB7"/>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B45FB7"/>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B45FB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45FB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45FB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45FB7"/>
    <w:rPr>
      <w:rFonts w:eastAsiaTheme="majorEastAsia" w:cstheme="majorBidi"/>
      <w:color w:val="272727" w:themeColor="text1" w:themeTint="D8"/>
    </w:rPr>
  </w:style>
  <w:style w:type="paragraph" w:styleId="Ttulo">
    <w:name w:val="Title"/>
    <w:basedOn w:val="Normal"/>
    <w:next w:val="Normal"/>
    <w:link w:val="TtuloCar"/>
    <w:uiPriority w:val="10"/>
    <w:qFormat/>
    <w:rsid w:val="00B45FB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45FB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B45FB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45FB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45FB7"/>
    <w:pPr>
      <w:spacing w:before="160"/>
      <w:jc w:val="center"/>
    </w:pPr>
    <w:rPr>
      <w:i/>
      <w:iCs/>
      <w:color w:val="404040" w:themeColor="text1" w:themeTint="BF"/>
    </w:rPr>
  </w:style>
  <w:style w:type="character" w:customStyle="1" w:styleId="CitaCar">
    <w:name w:val="Cita Car"/>
    <w:basedOn w:val="Fuentedeprrafopredeter"/>
    <w:link w:val="Cita"/>
    <w:uiPriority w:val="29"/>
    <w:rsid w:val="00B45FB7"/>
    <w:rPr>
      <w:i/>
      <w:iCs/>
      <w:color w:val="404040" w:themeColor="text1" w:themeTint="BF"/>
    </w:rPr>
  </w:style>
  <w:style w:type="paragraph" w:styleId="Prrafodelista">
    <w:name w:val="List Paragraph"/>
    <w:basedOn w:val="Normal"/>
    <w:uiPriority w:val="34"/>
    <w:qFormat/>
    <w:rsid w:val="00B45FB7"/>
    <w:pPr>
      <w:ind w:left="720"/>
      <w:contextualSpacing/>
    </w:pPr>
  </w:style>
  <w:style w:type="character" w:styleId="nfasisintenso">
    <w:name w:val="Intense Emphasis"/>
    <w:basedOn w:val="Fuentedeprrafopredeter"/>
    <w:uiPriority w:val="21"/>
    <w:qFormat/>
    <w:rsid w:val="00B45FB7"/>
    <w:rPr>
      <w:i/>
      <w:iCs/>
      <w:color w:val="0F4761" w:themeColor="accent1" w:themeShade="BF"/>
    </w:rPr>
  </w:style>
  <w:style w:type="paragraph" w:styleId="Citadestacada">
    <w:name w:val="Intense Quote"/>
    <w:basedOn w:val="Normal"/>
    <w:next w:val="Normal"/>
    <w:link w:val="CitadestacadaCar"/>
    <w:uiPriority w:val="30"/>
    <w:qFormat/>
    <w:rsid w:val="00B45FB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B45FB7"/>
    <w:rPr>
      <w:i/>
      <w:iCs/>
      <w:color w:val="0F4761" w:themeColor="accent1" w:themeShade="BF"/>
    </w:rPr>
  </w:style>
  <w:style w:type="character" w:styleId="Referenciaintensa">
    <w:name w:val="Intense Reference"/>
    <w:basedOn w:val="Fuentedeprrafopredeter"/>
    <w:uiPriority w:val="32"/>
    <w:qFormat/>
    <w:rsid w:val="00B45FB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5747528">
      <w:bodyDiv w:val="1"/>
      <w:marLeft w:val="0"/>
      <w:marRight w:val="0"/>
      <w:marTop w:val="0"/>
      <w:marBottom w:val="0"/>
      <w:divBdr>
        <w:top w:val="none" w:sz="0" w:space="0" w:color="auto"/>
        <w:left w:val="none" w:sz="0" w:space="0" w:color="auto"/>
        <w:bottom w:val="none" w:sz="0" w:space="0" w:color="auto"/>
        <w:right w:val="none" w:sz="0" w:space="0" w:color="auto"/>
      </w:divBdr>
      <w:divsChild>
        <w:div w:id="794983586">
          <w:marLeft w:val="0"/>
          <w:marRight w:val="0"/>
          <w:marTop w:val="0"/>
          <w:marBottom w:val="0"/>
          <w:divBdr>
            <w:top w:val="none" w:sz="0" w:space="0" w:color="auto"/>
            <w:left w:val="none" w:sz="0" w:space="0" w:color="auto"/>
            <w:bottom w:val="none" w:sz="0" w:space="0" w:color="auto"/>
            <w:right w:val="none" w:sz="0" w:space="0" w:color="auto"/>
          </w:divBdr>
          <w:divsChild>
            <w:div w:id="1134374229">
              <w:marLeft w:val="0"/>
              <w:marRight w:val="0"/>
              <w:marTop w:val="0"/>
              <w:marBottom w:val="0"/>
              <w:divBdr>
                <w:top w:val="none" w:sz="0" w:space="0" w:color="auto"/>
                <w:left w:val="none" w:sz="0" w:space="0" w:color="auto"/>
                <w:bottom w:val="none" w:sz="0" w:space="0" w:color="auto"/>
                <w:right w:val="none" w:sz="0" w:space="0" w:color="auto"/>
              </w:divBdr>
              <w:divsChild>
                <w:div w:id="20323305">
                  <w:marLeft w:val="0"/>
                  <w:marRight w:val="0"/>
                  <w:marTop w:val="0"/>
                  <w:marBottom w:val="0"/>
                  <w:divBdr>
                    <w:top w:val="none" w:sz="0" w:space="0" w:color="auto"/>
                    <w:left w:val="none" w:sz="0" w:space="0" w:color="auto"/>
                    <w:bottom w:val="none" w:sz="0" w:space="0" w:color="auto"/>
                    <w:right w:val="none" w:sz="0" w:space="0" w:color="auto"/>
                  </w:divBdr>
                  <w:divsChild>
                    <w:div w:id="599222186">
                      <w:marLeft w:val="0"/>
                      <w:marRight w:val="0"/>
                      <w:marTop w:val="0"/>
                      <w:marBottom w:val="0"/>
                      <w:divBdr>
                        <w:top w:val="none" w:sz="0" w:space="0" w:color="auto"/>
                        <w:left w:val="none" w:sz="0" w:space="0" w:color="auto"/>
                        <w:bottom w:val="none" w:sz="0" w:space="0" w:color="auto"/>
                        <w:right w:val="none" w:sz="0" w:space="0" w:color="auto"/>
                      </w:divBdr>
                      <w:divsChild>
                        <w:div w:id="117338501">
                          <w:marLeft w:val="0"/>
                          <w:marRight w:val="0"/>
                          <w:marTop w:val="0"/>
                          <w:marBottom w:val="0"/>
                          <w:divBdr>
                            <w:top w:val="none" w:sz="0" w:space="0" w:color="auto"/>
                            <w:left w:val="none" w:sz="0" w:space="0" w:color="auto"/>
                            <w:bottom w:val="none" w:sz="0" w:space="0" w:color="auto"/>
                            <w:right w:val="none" w:sz="0" w:space="0" w:color="auto"/>
                          </w:divBdr>
                          <w:divsChild>
                            <w:div w:id="103965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8071191">
      <w:bodyDiv w:val="1"/>
      <w:marLeft w:val="0"/>
      <w:marRight w:val="0"/>
      <w:marTop w:val="0"/>
      <w:marBottom w:val="0"/>
      <w:divBdr>
        <w:top w:val="none" w:sz="0" w:space="0" w:color="auto"/>
        <w:left w:val="none" w:sz="0" w:space="0" w:color="auto"/>
        <w:bottom w:val="none" w:sz="0" w:space="0" w:color="auto"/>
        <w:right w:val="none" w:sz="0" w:space="0" w:color="auto"/>
      </w:divBdr>
    </w:div>
    <w:div w:id="472332225">
      <w:bodyDiv w:val="1"/>
      <w:marLeft w:val="0"/>
      <w:marRight w:val="0"/>
      <w:marTop w:val="0"/>
      <w:marBottom w:val="0"/>
      <w:divBdr>
        <w:top w:val="none" w:sz="0" w:space="0" w:color="auto"/>
        <w:left w:val="none" w:sz="0" w:space="0" w:color="auto"/>
        <w:bottom w:val="none" w:sz="0" w:space="0" w:color="auto"/>
        <w:right w:val="none" w:sz="0" w:space="0" w:color="auto"/>
      </w:divBdr>
    </w:div>
    <w:div w:id="885878155">
      <w:bodyDiv w:val="1"/>
      <w:marLeft w:val="0"/>
      <w:marRight w:val="0"/>
      <w:marTop w:val="0"/>
      <w:marBottom w:val="0"/>
      <w:divBdr>
        <w:top w:val="none" w:sz="0" w:space="0" w:color="auto"/>
        <w:left w:val="none" w:sz="0" w:space="0" w:color="auto"/>
        <w:bottom w:val="none" w:sz="0" w:space="0" w:color="auto"/>
        <w:right w:val="none" w:sz="0" w:space="0" w:color="auto"/>
      </w:divBdr>
    </w:div>
    <w:div w:id="899513173">
      <w:bodyDiv w:val="1"/>
      <w:marLeft w:val="0"/>
      <w:marRight w:val="0"/>
      <w:marTop w:val="0"/>
      <w:marBottom w:val="0"/>
      <w:divBdr>
        <w:top w:val="none" w:sz="0" w:space="0" w:color="auto"/>
        <w:left w:val="none" w:sz="0" w:space="0" w:color="auto"/>
        <w:bottom w:val="none" w:sz="0" w:space="0" w:color="auto"/>
        <w:right w:val="none" w:sz="0" w:space="0" w:color="auto"/>
      </w:divBdr>
    </w:div>
    <w:div w:id="1014919084">
      <w:bodyDiv w:val="1"/>
      <w:marLeft w:val="0"/>
      <w:marRight w:val="0"/>
      <w:marTop w:val="0"/>
      <w:marBottom w:val="0"/>
      <w:divBdr>
        <w:top w:val="none" w:sz="0" w:space="0" w:color="auto"/>
        <w:left w:val="none" w:sz="0" w:space="0" w:color="auto"/>
        <w:bottom w:val="none" w:sz="0" w:space="0" w:color="auto"/>
        <w:right w:val="none" w:sz="0" w:space="0" w:color="auto"/>
      </w:divBdr>
    </w:div>
    <w:div w:id="1056198857">
      <w:bodyDiv w:val="1"/>
      <w:marLeft w:val="0"/>
      <w:marRight w:val="0"/>
      <w:marTop w:val="0"/>
      <w:marBottom w:val="0"/>
      <w:divBdr>
        <w:top w:val="none" w:sz="0" w:space="0" w:color="auto"/>
        <w:left w:val="none" w:sz="0" w:space="0" w:color="auto"/>
        <w:bottom w:val="none" w:sz="0" w:space="0" w:color="auto"/>
        <w:right w:val="none" w:sz="0" w:space="0" w:color="auto"/>
      </w:divBdr>
      <w:divsChild>
        <w:div w:id="1643000614">
          <w:marLeft w:val="0"/>
          <w:marRight w:val="0"/>
          <w:marTop w:val="0"/>
          <w:marBottom w:val="0"/>
          <w:divBdr>
            <w:top w:val="none" w:sz="0" w:space="0" w:color="auto"/>
            <w:left w:val="none" w:sz="0" w:space="0" w:color="auto"/>
            <w:bottom w:val="none" w:sz="0" w:space="0" w:color="auto"/>
            <w:right w:val="none" w:sz="0" w:space="0" w:color="auto"/>
          </w:divBdr>
          <w:divsChild>
            <w:div w:id="1494567597">
              <w:marLeft w:val="0"/>
              <w:marRight w:val="0"/>
              <w:marTop w:val="0"/>
              <w:marBottom w:val="0"/>
              <w:divBdr>
                <w:top w:val="none" w:sz="0" w:space="0" w:color="auto"/>
                <w:left w:val="none" w:sz="0" w:space="0" w:color="auto"/>
                <w:bottom w:val="none" w:sz="0" w:space="0" w:color="auto"/>
                <w:right w:val="none" w:sz="0" w:space="0" w:color="auto"/>
              </w:divBdr>
              <w:divsChild>
                <w:div w:id="919756372">
                  <w:marLeft w:val="0"/>
                  <w:marRight w:val="0"/>
                  <w:marTop w:val="0"/>
                  <w:marBottom w:val="0"/>
                  <w:divBdr>
                    <w:top w:val="none" w:sz="0" w:space="0" w:color="auto"/>
                    <w:left w:val="none" w:sz="0" w:space="0" w:color="auto"/>
                    <w:bottom w:val="none" w:sz="0" w:space="0" w:color="auto"/>
                    <w:right w:val="none" w:sz="0" w:space="0" w:color="auto"/>
                  </w:divBdr>
                  <w:divsChild>
                    <w:div w:id="1563365635">
                      <w:marLeft w:val="0"/>
                      <w:marRight w:val="0"/>
                      <w:marTop w:val="0"/>
                      <w:marBottom w:val="0"/>
                      <w:divBdr>
                        <w:top w:val="none" w:sz="0" w:space="0" w:color="auto"/>
                        <w:left w:val="none" w:sz="0" w:space="0" w:color="auto"/>
                        <w:bottom w:val="none" w:sz="0" w:space="0" w:color="auto"/>
                        <w:right w:val="none" w:sz="0" w:space="0" w:color="auto"/>
                      </w:divBdr>
                      <w:divsChild>
                        <w:div w:id="6101860">
                          <w:marLeft w:val="0"/>
                          <w:marRight w:val="0"/>
                          <w:marTop w:val="0"/>
                          <w:marBottom w:val="0"/>
                          <w:divBdr>
                            <w:top w:val="none" w:sz="0" w:space="0" w:color="auto"/>
                            <w:left w:val="none" w:sz="0" w:space="0" w:color="auto"/>
                            <w:bottom w:val="none" w:sz="0" w:space="0" w:color="auto"/>
                            <w:right w:val="none" w:sz="0" w:space="0" w:color="auto"/>
                          </w:divBdr>
                          <w:divsChild>
                            <w:div w:id="2061517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8867464">
      <w:bodyDiv w:val="1"/>
      <w:marLeft w:val="0"/>
      <w:marRight w:val="0"/>
      <w:marTop w:val="0"/>
      <w:marBottom w:val="0"/>
      <w:divBdr>
        <w:top w:val="none" w:sz="0" w:space="0" w:color="auto"/>
        <w:left w:val="none" w:sz="0" w:space="0" w:color="auto"/>
        <w:bottom w:val="none" w:sz="0" w:space="0" w:color="auto"/>
        <w:right w:val="none" w:sz="0" w:space="0" w:color="auto"/>
      </w:divBdr>
    </w:div>
    <w:div w:id="1228109901">
      <w:bodyDiv w:val="1"/>
      <w:marLeft w:val="0"/>
      <w:marRight w:val="0"/>
      <w:marTop w:val="0"/>
      <w:marBottom w:val="0"/>
      <w:divBdr>
        <w:top w:val="none" w:sz="0" w:space="0" w:color="auto"/>
        <w:left w:val="none" w:sz="0" w:space="0" w:color="auto"/>
        <w:bottom w:val="none" w:sz="0" w:space="0" w:color="auto"/>
        <w:right w:val="none" w:sz="0" w:space="0" w:color="auto"/>
      </w:divBdr>
    </w:div>
    <w:div w:id="1610310927">
      <w:bodyDiv w:val="1"/>
      <w:marLeft w:val="0"/>
      <w:marRight w:val="0"/>
      <w:marTop w:val="0"/>
      <w:marBottom w:val="0"/>
      <w:divBdr>
        <w:top w:val="none" w:sz="0" w:space="0" w:color="auto"/>
        <w:left w:val="none" w:sz="0" w:space="0" w:color="auto"/>
        <w:bottom w:val="none" w:sz="0" w:space="0" w:color="auto"/>
        <w:right w:val="none" w:sz="0" w:space="0" w:color="auto"/>
      </w:divBdr>
    </w:div>
    <w:div w:id="1861123418">
      <w:bodyDiv w:val="1"/>
      <w:marLeft w:val="0"/>
      <w:marRight w:val="0"/>
      <w:marTop w:val="0"/>
      <w:marBottom w:val="0"/>
      <w:divBdr>
        <w:top w:val="none" w:sz="0" w:space="0" w:color="auto"/>
        <w:left w:val="none" w:sz="0" w:space="0" w:color="auto"/>
        <w:bottom w:val="none" w:sz="0" w:space="0" w:color="auto"/>
        <w:right w:val="none" w:sz="0" w:space="0" w:color="auto"/>
      </w:divBdr>
    </w:div>
    <w:div w:id="1891379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1033</Words>
  <Characters>5685</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Pablo  Ochoa Alvarado</dc:creator>
  <cp:keywords/>
  <dc:description/>
  <cp:lastModifiedBy>Juan Pablo  Ochoa Alvarado</cp:lastModifiedBy>
  <cp:revision>1</cp:revision>
  <dcterms:created xsi:type="dcterms:W3CDTF">2024-09-26T00:06:00Z</dcterms:created>
  <dcterms:modified xsi:type="dcterms:W3CDTF">2024-09-26T00:23:00Z</dcterms:modified>
</cp:coreProperties>
</file>