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74B63124" w:rsidR="00170D4D" w:rsidRPr="00352F5F" w:rsidRDefault="003E35DA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RELATÓRIO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2BF12CE0" w:rsidR="007E7324" w:rsidRPr="003E35DA" w:rsidRDefault="003E35DA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>SOLICITAÇÃO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186A89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="00186A89">
        <w:rPr>
          <w:rFonts w:ascii="Arial" w:hAnsi="Arial" w:cs="Arial"/>
          <w:sz w:val="24"/>
          <w:szCs w:val="24"/>
          <w:lang w:val="pt-BR"/>
        </w:rPr>
        <w:t>n_processo</w:t>
      </w:r>
      <w:proofErr w:type="spellEnd"/>
      <w:r w:rsidR="00186A89">
        <w:rPr>
          <w:rFonts w:ascii="Arial" w:hAnsi="Arial" w:cs="Arial"/>
          <w:sz w:val="24"/>
          <w:szCs w:val="24"/>
          <w:lang w:val="pt-BR"/>
        </w:rPr>
        <w:t>}}</w:t>
      </w:r>
    </w:p>
    <w:p w14:paraId="44D6B3C9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3E35DA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3E35DA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3E35DA">
        <w:rPr>
          <w:rFonts w:ascii="Arial" w:hAnsi="Arial" w:cs="Arial"/>
          <w:sz w:val="24"/>
          <w:szCs w:val="24"/>
          <w:lang w:val="pt-BR"/>
        </w:rPr>
        <w:t>endereco</w:t>
      </w:r>
      <w:proofErr w:type="spellEnd"/>
      <w:r w:rsidRPr="003E35DA">
        <w:rPr>
          <w:rFonts w:ascii="Arial" w:hAnsi="Arial" w:cs="Arial"/>
          <w:sz w:val="24"/>
          <w:szCs w:val="24"/>
          <w:lang w:val="pt-BR"/>
        </w:rPr>
        <w:t>}}</w:t>
      </w:r>
    </w:p>
    <w:p w14:paraId="3E7F3851" w14:textId="5D7FB83B" w:rsidR="00F47EDA" w:rsidRPr="003E35DA" w:rsidRDefault="007E7324" w:rsidP="003E35DA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3E35DA">
        <w:rPr>
          <w:rFonts w:ascii="Arial" w:hAnsi="Arial" w:cs="Arial"/>
          <w:sz w:val="24"/>
          <w:szCs w:val="24"/>
          <w:lang w:val="pt-BR"/>
        </w:rPr>
        <w:t>{{latitude}}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”W,</w:t>
      </w:r>
      <w:r w:rsidRPr="003E35DA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”S</w:t>
      </w:r>
      <w:r w:rsidR="00F47EDA" w:rsidRPr="003E35DA"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2AAD9A4F" w:rsidR="00170D4D" w:rsidRPr="003E35DA" w:rsidRDefault="003E35DA" w:rsidP="0065527D">
      <w:pPr>
        <w:ind w:right="-43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>RELATÓRIO</w:t>
      </w:r>
      <w:r w:rsidR="00170D4D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TÉCNICO DE VISTORIA 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AD0BF7D" w14:textId="4C11C835" w:rsidR="00D67B09" w:rsidRPr="003E35DA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3E35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  <w:t>Figura 01 – {{descricao1}}</w:t>
      </w:r>
    </w:p>
    <w:p w14:paraId="24C83BB7" w14:textId="77777777" w:rsidR="00F47EDA" w:rsidRPr="003E35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3E35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3E35DA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4CECD66A" w:rsidR="007821C4" w:rsidRPr="003E35DA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O objetivo da vistoria é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a avaliação dos riscos, existentes </w:t>
      </w:r>
      <w:proofErr w:type="spellStart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oui</w:t>
      </w:r>
      <w:proofErr w:type="spellEnd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não, das áreas informadas por processos geotécnicos e hidrológicos, para fins de regularização fundiária urbana na área localizada no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BAIRRO/LOTEAMENTO: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{{bairro}},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ENDEREÇO: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{{</w:t>
      </w:r>
      <w:proofErr w:type="spellStart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endereco</w:t>
      </w:r>
      <w:proofErr w:type="spellEnd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}}.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F4FA529" w14:textId="495AC349" w:rsidR="003E35DA" w:rsidRPr="003E35DA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 atendimento ao </w:t>
      </w:r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n_processo</w:t>
      </w:r>
      <w:proofErr w:type="spellEnd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expedido pela </w:t>
      </w:r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empresa </w:t>
      </w:r>
      <w:proofErr w:type="spellStart"/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Geogis</w:t>
      </w:r>
      <w:proofErr w:type="spellEnd"/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Geotecnologia Ltda., inscrita no CNPJ 14.116.583/0001-60, regularmente contratada para realizar a regularização fundiária urbana do núcleo urbano informal consolidado, denominado {{bairro}}. </w:t>
      </w:r>
    </w:p>
    <w:p w14:paraId="723AEE4D" w14:textId="1B105AF2" w:rsidR="00A97421" w:rsidRPr="003E35DA" w:rsidRDefault="003E35DA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  <w:t>A</w:t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presente vistoria foi realizada com a finalidade de analisar o risco nas áreas indicadas, a fim de subsidiar os trâmites relacionados à Regularização Fundiária Urbana (REURB).</w:t>
      </w:r>
    </w:p>
    <w:p w14:paraId="612051FB" w14:textId="4AFE30C2" w:rsidR="007821C4" w:rsidRPr="003E35DA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28ECBE6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conforme indicado no </w:t>
      </w:r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n_processo</w:t>
      </w:r>
      <w:proofErr w:type="spellEnd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59AE4A66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</w:t>
      </w:r>
      <w:r w:rsidR="00E03D3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0C6A6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2151B9BA" w14:textId="216E8435" w:rsid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77EED8C8" w14:textId="77777777" w:rsidR="00525ACB" w:rsidRPr="00FD0EE9" w:rsidRDefault="00525ACB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5209FD1F" w14:textId="2CAB161D" w:rsidR="00FA5C07" w:rsidRPr="00FA5C07" w:rsidRDefault="00FA5C07" w:rsidP="00F319C2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Com base na vistoria realizada, foram identificados </w:t>
      </w:r>
      <w:r w:rsidRPr="006713F0">
        <w:rPr>
          <w:rFonts w:ascii="Arial" w:hAnsi="Arial" w:cs="Arial"/>
          <w:b/>
          <w:bCs/>
          <w:sz w:val="24"/>
          <w:lang w:val="pt-BR"/>
        </w:rPr>
        <w:t>indicativos de risco geológico e/ou hidrológico</w:t>
      </w:r>
      <w:r w:rsidRPr="00FA5C07">
        <w:rPr>
          <w:rFonts w:ascii="Arial" w:hAnsi="Arial" w:cs="Arial"/>
          <w:sz w:val="24"/>
          <w:lang w:val="pt-BR"/>
        </w:rPr>
        <w:t xml:space="preserve"> na área avaliada, os quais demandam atenção por parte dos órgãos competentes.</w:t>
      </w:r>
      <w:r w:rsidR="00F319C2">
        <w:rPr>
          <w:rFonts w:ascii="Arial" w:hAnsi="Arial" w:cs="Arial"/>
          <w:sz w:val="24"/>
          <w:lang w:val="pt-BR"/>
        </w:rPr>
        <w:t xml:space="preserve"> </w:t>
      </w:r>
      <w:r w:rsidRPr="00FA5C07">
        <w:rPr>
          <w:rFonts w:ascii="Arial" w:hAnsi="Arial" w:cs="Arial"/>
          <w:sz w:val="24"/>
          <w:lang w:val="pt-BR"/>
        </w:rPr>
        <w:t>Considerando os elementos observados in loco, e</w:t>
      </w:r>
      <w:r w:rsidR="00F319C2">
        <w:rPr>
          <w:rFonts w:ascii="Arial" w:hAnsi="Arial" w:cs="Arial"/>
          <w:sz w:val="24"/>
          <w:lang w:val="pt-BR"/>
        </w:rPr>
        <w:t xml:space="preserve"> em</w:t>
      </w:r>
      <w:r w:rsidRPr="00FA5C07">
        <w:rPr>
          <w:rFonts w:ascii="Arial" w:hAnsi="Arial" w:cs="Arial"/>
          <w:sz w:val="24"/>
          <w:lang w:val="pt-BR"/>
        </w:rPr>
        <w:t xml:space="preserve"> conform</w:t>
      </w:r>
      <w:r w:rsidR="00F319C2">
        <w:rPr>
          <w:rFonts w:ascii="Arial" w:hAnsi="Arial" w:cs="Arial"/>
          <w:sz w:val="24"/>
          <w:lang w:val="pt-BR"/>
        </w:rPr>
        <w:t>idade</w:t>
      </w:r>
      <w:r w:rsidRPr="00FA5C07">
        <w:rPr>
          <w:rFonts w:ascii="Arial" w:hAnsi="Arial" w:cs="Arial"/>
          <w:sz w:val="24"/>
          <w:lang w:val="pt-BR"/>
        </w:rPr>
        <w:t xml:space="preserve"> os critérios técnicos da Defesa Civil, a área encontra-se classificada com </w:t>
      </w:r>
      <w:r w:rsidRPr="00F4504A">
        <w:rPr>
          <w:rFonts w:ascii="Arial" w:hAnsi="Arial" w:cs="Arial"/>
          <w:b/>
          <w:bCs/>
          <w:sz w:val="24"/>
          <w:lang w:val="pt-BR"/>
        </w:rPr>
        <w:t xml:space="preserve">GRAU DE RISCO: </w:t>
      </w:r>
      <w:r w:rsidR="007E0B5E" w:rsidRPr="00F4504A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F4504A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F4504A">
        <w:rPr>
          <w:rFonts w:ascii="Arial" w:hAnsi="Arial" w:cs="Arial"/>
          <w:b/>
          <w:bCs/>
          <w:sz w:val="24"/>
          <w:lang w:val="pt-BR"/>
        </w:rPr>
        <w:t>}}</w:t>
      </w:r>
      <w:r w:rsidRPr="00F4504A">
        <w:rPr>
          <w:rFonts w:ascii="Arial" w:hAnsi="Arial" w:cs="Arial"/>
          <w:b/>
          <w:bCs/>
          <w:sz w:val="24"/>
          <w:lang w:val="pt-BR"/>
        </w:rPr>
        <w:t xml:space="preserve">, </w:t>
      </w:r>
      <w:r w:rsidR="00F319C2">
        <w:rPr>
          <w:rFonts w:ascii="Arial" w:hAnsi="Arial" w:cs="Arial"/>
          <w:sz w:val="24"/>
          <w:lang w:val="pt-BR"/>
        </w:rPr>
        <w:t>o que exige</w:t>
      </w:r>
      <w:r w:rsidRPr="00FA5C07">
        <w:rPr>
          <w:rFonts w:ascii="Arial" w:hAnsi="Arial" w:cs="Arial"/>
          <w:sz w:val="24"/>
          <w:lang w:val="pt-BR"/>
        </w:rPr>
        <w:t xml:space="preserve"> </w:t>
      </w:r>
      <w:r w:rsidR="00F319C2">
        <w:rPr>
          <w:rFonts w:ascii="Arial" w:hAnsi="Arial" w:cs="Arial"/>
          <w:sz w:val="24"/>
          <w:lang w:val="pt-BR"/>
        </w:rPr>
        <w:t xml:space="preserve">a adoção de </w:t>
      </w:r>
      <w:r w:rsidRPr="00FA5C07">
        <w:rPr>
          <w:rFonts w:ascii="Arial" w:hAnsi="Arial" w:cs="Arial"/>
          <w:sz w:val="24"/>
          <w:lang w:val="pt-BR"/>
        </w:rPr>
        <w:t xml:space="preserve">medidas corretivas e preventivas, </w:t>
      </w:r>
      <w:r w:rsidR="00F319C2">
        <w:rPr>
          <w:rFonts w:ascii="Arial" w:hAnsi="Arial" w:cs="Arial"/>
          <w:sz w:val="24"/>
          <w:lang w:val="pt-BR"/>
        </w:rPr>
        <w:t xml:space="preserve">tais como </w:t>
      </w:r>
      <w:r w:rsidRPr="00FA5C07">
        <w:rPr>
          <w:rFonts w:ascii="Arial" w:hAnsi="Arial" w:cs="Arial"/>
          <w:sz w:val="24"/>
          <w:lang w:val="pt-BR"/>
        </w:rPr>
        <w:t xml:space="preserve">a </w:t>
      </w:r>
      <w:r w:rsidRPr="006713F0">
        <w:rPr>
          <w:rFonts w:ascii="Arial" w:hAnsi="Arial" w:cs="Arial"/>
          <w:b/>
          <w:bCs/>
          <w:sz w:val="24"/>
          <w:lang w:val="pt-BR"/>
        </w:rPr>
        <w:t>avaliação contínua da ocupação,</w:t>
      </w:r>
      <w:r w:rsidR="00F319C2">
        <w:rPr>
          <w:rFonts w:ascii="Arial" w:hAnsi="Arial" w:cs="Arial"/>
          <w:b/>
          <w:bCs/>
          <w:sz w:val="24"/>
          <w:lang w:val="pt-BR"/>
        </w:rPr>
        <w:t xml:space="preserve"> implementação de</w:t>
      </w:r>
      <w:r w:rsidRPr="006713F0">
        <w:rPr>
          <w:rFonts w:ascii="Arial" w:hAnsi="Arial" w:cs="Arial"/>
          <w:b/>
          <w:bCs/>
          <w:sz w:val="24"/>
          <w:lang w:val="pt-BR"/>
        </w:rPr>
        <w:t xml:space="preserve"> melhorias em infraestrutura urbana</w:t>
      </w:r>
      <w:r w:rsidRPr="00FA5C07">
        <w:rPr>
          <w:rFonts w:ascii="Arial" w:hAnsi="Arial" w:cs="Arial"/>
          <w:sz w:val="24"/>
          <w:lang w:val="pt-BR"/>
        </w:rPr>
        <w:t xml:space="preserve"> e, </w:t>
      </w:r>
      <w:r w:rsidR="006713F0">
        <w:rPr>
          <w:rFonts w:ascii="Arial" w:hAnsi="Arial" w:cs="Arial"/>
          <w:sz w:val="24"/>
          <w:lang w:val="pt-BR"/>
        </w:rPr>
        <w:t>quando</w:t>
      </w:r>
      <w:r w:rsidRPr="00FA5C07">
        <w:rPr>
          <w:rFonts w:ascii="Arial" w:hAnsi="Arial" w:cs="Arial"/>
          <w:sz w:val="24"/>
          <w:lang w:val="pt-BR"/>
        </w:rPr>
        <w:t xml:space="preserve"> necessário, </w:t>
      </w:r>
      <w:r w:rsidRPr="006713F0">
        <w:rPr>
          <w:rFonts w:ascii="Arial" w:hAnsi="Arial" w:cs="Arial"/>
          <w:b/>
          <w:bCs/>
          <w:sz w:val="24"/>
          <w:lang w:val="pt-BR"/>
        </w:rPr>
        <w:t>intervenções emergenciais</w:t>
      </w:r>
      <w:r w:rsidRPr="00FA5C07">
        <w:rPr>
          <w:rFonts w:ascii="Arial" w:hAnsi="Arial" w:cs="Arial"/>
          <w:sz w:val="24"/>
          <w:lang w:val="pt-BR"/>
        </w:rPr>
        <w:t xml:space="preserve"> </w:t>
      </w:r>
      <w:r w:rsidR="00F319C2">
        <w:rPr>
          <w:rFonts w:ascii="Arial" w:hAnsi="Arial" w:cs="Arial"/>
          <w:sz w:val="24"/>
          <w:lang w:val="pt-BR"/>
        </w:rPr>
        <w:t>que assegurem a integridade e</w:t>
      </w:r>
      <w:r w:rsidRPr="00FA5C07">
        <w:rPr>
          <w:rFonts w:ascii="Arial" w:hAnsi="Arial" w:cs="Arial"/>
          <w:sz w:val="24"/>
          <w:lang w:val="pt-BR"/>
        </w:rPr>
        <w:t xml:space="preserve"> a segurança dos moradores.</w:t>
      </w:r>
    </w:p>
    <w:p w14:paraId="04A11389" w14:textId="08E000B1" w:rsidR="004C0207" w:rsidRDefault="009F73BC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Ressalta-se que a</w:t>
      </w:r>
      <w:r w:rsidR="00FA5C07" w:rsidRPr="00FA5C07">
        <w:rPr>
          <w:rFonts w:ascii="Arial" w:hAnsi="Arial" w:cs="Arial"/>
          <w:sz w:val="24"/>
          <w:lang w:val="pt-BR"/>
        </w:rPr>
        <w:t xml:space="preserve"> presente conclusão tem por finalidade</w:t>
      </w:r>
      <w:r w:rsidR="00525ACB">
        <w:rPr>
          <w:rFonts w:ascii="Arial" w:hAnsi="Arial" w:cs="Arial"/>
          <w:sz w:val="24"/>
          <w:lang w:val="pt-BR"/>
        </w:rPr>
        <w:t xml:space="preserve"> </w:t>
      </w:r>
      <w:r w:rsidR="00525ACB" w:rsidRPr="00F319C2">
        <w:rPr>
          <w:rFonts w:ascii="Arial" w:hAnsi="Arial" w:cs="Arial"/>
          <w:b/>
          <w:bCs/>
          <w:sz w:val="24"/>
          <w:lang w:val="pt-BR"/>
        </w:rPr>
        <w:t>expedir o relatório</w:t>
      </w:r>
      <w:r w:rsidR="006713F0" w:rsidRPr="00F319C2">
        <w:rPr>
          <w:rFonts w:ascii="Arial" w:hAnsi="Arial" w:cs="Arial"/>
          <w:b/>
          <w:bCs/>
          <w:sz w:val="24"/>
          <w:lang w:val="pt-BR"/>
        </w:rPr>
        <w:t xml:space="preserve"> técnico</w:t>
      </w:r>
      <w:r w:rsidR="00525ACB" w:rsidRPr="00F319C2">
        <w:rPr>
          <w:rFonts w:ascii="Arial" w:hAnsi="Arial" w:cs="Arial"/>
          <w:b/>
          <w:bCs/>
          <w:sz w:val="24"/>
          <w:lang w:val="pt-BR"/>
        </w:rPr>
        <w:t xml:space="preserve"> para 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>subsidiar os</w:t>
      </w:r>
      <w:r w:rsidR="00F319C2">
        <w:rPr>
          <w:rFonts w:ascii="Arial" w:hAnsi="Arial" w:cs="Arial"/>
          <w:b/>
          <w:bCs/>
          <w:sz w:val="24"/>
          <w:lang w:val="pt-BR"/>
        </w:rPr>
        <w:t xml:space="preserve"> procedimentos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 xml:space="preserve"> d</w:t>
      </w:r>
      <w:r w:rsidR="00F319C2">
        <w:rPr>
          <w:rFonts w:ascii="Arial" w:hAnsi="Arial" w:cs="Arial"/>
          <w:b/>
          <w:bCs/>
          <w:sz w:val="24"/>
          <w:lang w:val="pt-BR"/>
        </w:rPr>
        <w:t>e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 xml:space="preserve"> Regularização Fundiária Urbana (REURB),</w:t>
      </w:r>
      <w:r w:rsidR="00FA5C07" w:rsidRPr="00FA5C07">
        <w:rPr>
          <w:rFonts w:ascii="Arial" w:hAnsi="Arial" w:cs="Arial"/>
          <w:sz w:val="24"/>
          <w:lang w:val="pt-BR"/>
        </w:rPr>
        <w:t xml:space="preserve"> </w:t>
      </w:r>
      <w:r w:rsidR="00F319C2">
        <w:rPr>
          <w:rFonts w:ascii="Arial" w:hAnsi="Arial" w:cs="Arial"/>
          <w:sz w:val="24"/>
          <w:lang w:val="pt-BR"/>
        </w:rPr>
        <w:t>indicando a existência ou não de áreas sujeitas a riscos geotécnicos e hidrológicos, em consonância com os</w:t>
      </w:r>
      <w:r w:rsidR="00FA5C07" w:rsidRPr="00FA5C07">
        <w:rPr>
          <w:rFonts w:ascii="Arial" w:hAnsi="Arial" w:cs="Arial"/>
          <w:sz w:val="24"/>
          <w:lang w:val="pt-BR"/>
        </w:rPr>
        <w:t xml:space="preserve"> parâmetros estabelecidos pela 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 xml:space="preserve">Lei nº 13.465/2017 </w:t>
      </w:r>
      <w:r w:rsidR="00FA5C07" w:rsidRPr="00FA5C07">
        <w:rPr>
          <w:rFonts w:ascii="Arial" w:hAnsi="Arial" w:cs="Arial"/>
          <w:sz w:val="24"/>
          <w:lang w:val="pt-BR"/>
        </w:rPr>
        <w:t xml:space="preserve">e pelo 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>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23F12C7D" w14:textId="77777777" w:rsidR="00F85E01" w:rsidRDefault="00F85E01" w:rsidP="00525ACB">
      <w:pPr>
        <w:spacing w:after="0" w:line="360" w:lineRule="auto"/>
        <w:ind w:firstLine="709"/>
        <w:jc w:val="right"/>
        <w:rPr>
          <w:rFonts w:ascii="Arial" w:hAnsi="Arial" w:cs="Arial"/>
          <w:b/>
          <w:bCs/>
          <w:sz w:val="20"/>
          <w:szCs w:val="18"/>
          <w:lang w:val="pt-BR"/>
        </w:rPr>
      </w:pPr>
    </w:p>
    <w:p w14:paraId="67AE7A8F" w14:textId="1658F3C5" w:rsidR="005C24DF" w:rsidRPr="00A34422" w:rsidRDefault="00525ACB" w:rsidP="00A34422">
      <w:pPr>
        <w:spacing w:after="0" w:line="360" w:lineRule="auto"/>
        <w:ind w:firstLine="709"/>
        <w:jc w:val="right"/>
        <w:rPr>
          <w:rFonts w:ascii="Arial" w:hAnsi="Arial" w:cs="Arial"/>
          <w:b/>
          <w:bCs/>
          <w:sz w:val="20"/>
          <w:szCs w:val="18"/>
          <w:lang w:val="pt-BR"/>
        </w:rPr>
      </w:pPr>
      <w:r w:rsidRPr="00525ACB">
        <w:rPr>
          <w:rFonts w:ascii="Arial" w:hAnsi="Arial" w:cs="Arial"/>
          <w:b/>
          <w:bCs/>
          <w:sz w:val="20"/>
          <w:szCs w:val="18"/>
          <w:lang w:val="pt-BR"/>
        </w:rPr>
        <w:t>Cuiabá/MT, {{</w:t>
      </w:r>
      <w:proofErr w:type="spellStart"/>
      <w:r w:rsidRPr="00525ACB">
        <w:rPr>
          <w:rFonts w:ascii="Arial" w:hAnsi="Arial" w:cs="Arial"/>
          <w:b/>
          <w:bCs/>
          <w:sz w:val="20"/>
          <w:szCs w:val="18"/>
          <w:lang w:val="pt-BR"/>
        </w:rPr>
        <w:t>data_relatorio</w:t>
      </w:r>
      <w:proofErr w:type="spellEnd"/>
      <w:r w:rsidRPr="00525ACB">
        <w:rPr>
          <w:rFonts w:ascii="Arial" w:hAnsi="Arial" w:cs="Arial"/>
          <w:b/>
          <w:bCs/>
          <w:sz w:val="20"/>
          <w:szCs w:val="18"/>
          <w:lang w:val="pt-BR"/>
        </w:rPr>
        <w:t>}}</w:t>
      </w:r>
    </w:p>
    <w:p w14:paraId="2BA0B0A5" w14:textId="1D935B82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09E03AE6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7C8771EA" w14:textId="22EF737F" w:rsidR="00CC48A4" w:rsidRPr="00CC48A4" w:rsidRDefault="00CC48A4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p w14:paraId="6D211C14" w14:textId="3F4E5985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53B5B4E0" w14:textId="77777777" w:rsidR="005C24DF" w:rsidRPr="00F809D7" w:rsidRDefault="005C24DF" w:rsidP="00CC48A4">
      <w:pPr>
        <w:tabs>
          <w:tab w:val="left" w:pos="851"/>
        </w:tabs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6A1E0B5" w14:textId="0E185D14" w:rsidR="004C0207" w:rsidRDefault="005C24DF" w:rsidP="00525A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337FD738" w14:textId="1C66B7ED" w:rsidR="00CC48A4" w:rsidRPr="00CC48A4" w:rsidRDefault="00CC48A4" w:rsidP="00525ACB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lang w:val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sectPr w:rsidR="00CC48A4" w:rsidRPr="00CC48A4" w:rsidSect="005112AC">
      <w:headerReference w:type="default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C6A64"/>
    <w:rsid w:val="000D37ED"/>
    <w:rsid w:val="000D796A"/>
    <w:rsid w:val="000F33FD"/>
    <w:rsid w:val="001448F5"/>
    <w:rsid w:val="0015074B"/>
    <w:rsid w:val="00170D4D"/>
    <w:rsid w:val="00186A89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3E35DA"/>
    <w:rsid w:val="00410D90"/>
    <w:rsid w:val="00454677"/>
    <w:rsid w:val="0046037C"/>
    <w:rsid w:val="004C0207"/>
    <w:rsid w:val="004C4F1E"/>
    <w:rsid w:val="005112AC"/>
    <w:rsid w:val="005206AD"/>
    <w:rsid w:val="00524D3B"/>
    <w:rsid w:val="00525ACB"/>
    <w:rsid w:val="00531C09"/>
    <w:rsid w:val="00574DFA"/>
    <w:rsid w:val="00574E27"/>
    <w:rsid w:val="005A0EA1"/>
    <w:rsid w:val="005C24DF"/>
    <w:rsid w:val="005D1DA6"/>
    <w:rsid w:val="0065527D"/>
    <w:rsid w:val="006713F0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C309B"/>
    <w:rsid w:val="008E2EA7"/>
    <w:rsid w:val="009352C6"/>
    <w:rsid w:val="00945A20"/>
    <w:rsid w:val="009668C3"/>
    <w:rsid w:val="00976A7F"/>
    <w:rsid w:val="009A7D97"/>
    <w:rsid w:val="009F73BC"/>
    <w:rsid w:val="00A34422"/>
    <w:rsid w:val="00A97421"/>
    <w:rsid w:val="00AA1D8D"/>
    <w:rsid w:val="00AA4B99"/>
    <w:rsid w:val="00AB39AE"/>
    <w:rsid w:val="00AE44F4"/>
    <w:rsid w:val="00AF3FCC"/>
    <w:rsid w:val="00B01843"/>
    <w:rsid w:val="00B47730"/>
    <w:rsid w:val="00B82012"/>
    <w:rsid w:val="00B908A0"/>
    <w:rsid w:val="00C6590D"/>
    <w:rsid w:val="00CB0664"/>
    <w:rsid w:val="00CC48A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03D34"/>
    <w:rsid w:val="00E178FD"/>
    <w:rsid w:val="00E3315D"/>
    <w:rsid w:val="00E61A62"/>
    <w:rsid w:val="00E6423C"/>
    <w:rsid w:val="00E66A9A"/>
    <w:rsid w:val="00ED6D9C"/>
    <w:rsid w:val="00EE42DD"/>
    <w:rsid w:val="00F06016"/>
    <w:rsid w:val="00F319C2"/>
    <w:rsid w:val="00F4504A"/>
    <w:rsid w:val="00F47EDA"/>
    <w:rsid w:val="00F828F4"/>
    <w:rsid w:val="00F85E01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660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23</cp:revision>
  <dcterms:created xsi:type="dcterms:W3CDTF">2025-07-15T04:29:00Z</dcterms:created>
  <dcterms:modified xsi:type="dcterms:W3CDTF">2025-09-27T20:06:00Z</dcterms:modified>
  <cp:category/>
  <dc:identifier/>
  <dc:language/>
</cp:coreProperties>
</file>