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53B" w:rsidRDefault="0064353B" w:rsidP="0064353B">
      <w:pPr>
        <w:pStyle w:val="NormalWeb"/>
        <w:jc w:val="center"/>
        <w:rPr>
          <w:rFonts w:ascii="Arial" w:hAnsi="Arial" w:cs="Arial"/>
          <w:b/>
          <w:bCs/>
          <w:color w:val="000000" w:themeColor="text1"/>
        </w:rPr>
      </w:pPr>
      <w:r w:rsidRPr="0064353B">
        <w:rPr>
          <w:rFonts w:ascii="Arial" w:hAnsi="Arial" w:cs="Arial"/>
          <w:b/>
          <w:bCs/>
          <w:color w:val="000000" w:themeColor="text1"/>
        </w:rPr>
        <w:t>IEEE135 de 1995</w:t>
      </w:r>
    </w:p>
    <w:p w:rsidR="0064353B" w:rsidRPr="0064353B" w:rsidRDefault="0064353B" w:rsidP="0064353B">
      <w:pPr>
        <w:pStyle w:val="NormalWeb"/>
        <w:jc w:val="center"/>
        <w:rPr>
          <w:color w:val="000000" w:themeColor="text1"/>
        </w:rPr>
      </w:pPr>
      <w:bookmarkStart w:id="0" w:name="_GoBack"/>
      <w:bookmarkEnd w:id="0"/>
    </w:p>
    <w:p w:rsidR="0064353B" w:rsidRPr="0064353B" w:rsidRDefault="0064353B" w:rsidP="0064353B">
      <w:pPr>
        <w:pStyle w:val="NormalWeb"/>
        <w:jc w:val="both"/>
        <w:rPr>
          <w:color w:val="000000" w:themeColor="text1"/>
        </w:rPr>
      </w:pPr>
      <w:r w:rsidRPr="0064353B">
        <w:rPr>
          <w:rFonts w:ascii="Arial" w:hAnsi="Arial" w:cs="Arial"/>
          <w:b/>
          <w:bCs/>
          <w:color w:val="000000" w:themeColor="text1"/>
          <w:sz w:val="20"/>
          <w:szCs w:val="20"/>
        </w:rPr>
        <w:t>IEEE Standard 1355-1995</w:t>
      </w:r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4353B">
        <w:rPr>
          <w:rFonts w:ascii="Arial" w:hAnsi="Arial" w:cs="Arial"/>
          <w:b/>
          <w:bCs/>
          <w:color w:val="000000" w:themeColor="text1"/>
          <w:sz w:val="20"/>
          <w:szCs w:val="20"/>
        </w:rPr>
        <w:t>IEC 14575</w:t>
      </w:r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o </w:t>
      </w:r>
      <w:r w:rsidRPr="006435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ISO 14575 </w:t>
      </w:r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es un estándar de </w:t>
      </w:r>
      <w:hyperlink r:id="rId4" w:history="1"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comunicaciones de datos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para interconexión heterogénea (HIC).</w:t>
      </w:r>
    </w:p>
    <w:p w:rsidR="0064353B" w:rsidRPr="0064353B" w:rsidRDefault="0064353B" w:rsidP="0064353B">
      <w:pPr>
        <w:pStyle w:val="NormalWeb"/>
        <w:jc w:val="both"/>
        <w:rPr>
          <w:color w:val="000000" w:themeColor="text1"/>
        </w:rPr>
      </w:pPr>
      <w:r w:rsidRPr="006435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IEC 14575 </w:t>
      </w:r>
      <w:r w:rsidRPr="0064353B">
        <w:rPr>
          <w:rFonts w:ascii="Arial" w:hAnsi="Arial" w:cs="Arial"/>
          <w:color w:val="000000" w:themeColor="text1"/>
          <w:sz w:val="20"/>
          <w:szCs w:val="20"/>
        </w:rPr>
        <w:t>es un sistema de interconexión en serie escalable, de baja latencia y bajo costo, originalmente diseñado para la comunicación entre un gran número de computadoras de bajo costo.</w:t>
      </w:r>
    </w:p>
    <w:p w:rsidR="0064353B" w:rsidRPr="0064353B" w:rsidRDefault="0064353B" w:rsidP="0064353B">
      <w:pPr>
        <w:pStyle w:val="NormalWeb"/>
        <w:jc w:val="both"/>
        <w:rPr>
          <w:color w:val="000000" w:themeColor="text1"/>
        </w:rPr>
      </w:pPr>
      <w:r w:rsidRPr="006435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IEC 14575 </w:t>
      </w:r>
      <w:r w:rsidRPr="0064353B">
        <w:rPr>
          <w:rFonts w:ascii="Arial" w:hAnsi="Arial" w:cs="Arial"/>
          <w:color w:val="000000" w:themeColor="text1"/>
          <w:sz w:val="20"/>
          <w:szCs w:val="20"/>
        </w:rPr>
        <w:t>carece de muchas de las complejidades de otras redes de datos. El estándar definió varios tipos diferentes de medios de transmisión (incluidos cables y fibra óptica) para abordar diferentes aplicaciones.</w:t>
      </w:r>
    </w:p>
    <w:p w:rsidR="0064353B" w:rsidRPr="0064353B" w:rsidRDefault="0064353B" w:rsidP="0064353B">
      <w:pPr>
        <w:pStyle w:val="NormalWeb"/>
        <w:jc w:val="both"/>
        <w:rPr>
          <w:color w:val="000000" w:themeColor="text1"/>
        </w:rPr>
      </w:pPr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Dado que la lógica de red de alto nivel es compatible, son posibles los adaptadores electrónicos de bajo costo. IEEE 1355 se usa a menudo en laboratorios científicos. Los promotores incluyen grandes laboratorios, como el </w:t>
      </w:r>
      <w:hyperlink r:id="rId5" w:history="1"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CERN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, y agencias científicas.</w:t>
      </w:r>
    </w:p>
    <w:p w:rsidR="0064353B" w:rsidRPr="0064353B" w:rsidRDefault="0064353B" w:rsidP="0064353B">
      <w:pPr>
        <w:pStyle w:val="NormalWeb"/>
        <w:jc w:val="both"/>
        <w:rPr>
          <w:color w:val="000000" w:themeColor="text1"/>
        </w:rPr>
      </w:pPr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El protocolo fue diseñado para una red conmutada simple y de bajo costo hecha de enlaces </w:t>
      </w:r>
      <w:hyperlink r:id="rId6" w:history="1"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punto a punto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. Esta red envía paquetes de datos de longitud variable de manera confiable a alta velocidad. </w:t>
      </w:r>
      <w:proofErr w:type="spellStart"/>
      <w:r w:rsidRPr="0064353B">
        <w:rPr>
          <w:rFonts w:ascii="Arial" w:hAnsi="Arial" w:cs="Arial"/>
          <w:color w:val="000000" w:themeColor="text1"/>
          <w:sz w:val="20"/>
          <w:szCs w:val="20"/>
        </w:rPr>
        <w:t>Enruta</w:t>
      </w:r>
      <w:proofErr w:type="spellEnd"/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los paquetes usando el </w:t>
      </w:r>
      <w:hyperlink r:id="rId7" w:history="1"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enrutamiento de agujero de gusano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. A diferencia de </w:t>
      </w:r>
      <w:hyperlink r:id="rId8" w:history="1">
        <w:proofErr w:type="spellStart"/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Token</w:t>
        </w:r>
        <w:proofErr w:type="spellEnd"/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 xml:space="preserve"> Ring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u otros tipos de </w:t>
      </w:r>
      <w:hyperlink r:id="rId9" w:history="1"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redes de área local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(LAN) con especificaciones comparables, IEEE 1355 escala más allá de mil nodos que requieren mayores velocidades de transmisión. La red está diseñada para transportar tráfico de otros tipos de redes, especialmente </w:t>
      </w:r>
      <w:hyperlink r:id="rId10" w:history="1"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el protocolo de Internet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y el </w:t>
      </w:r>
      <w:hyperlink r:id="rId11" w:history="1"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modo de transferencia asincrónica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(ATM), pero no depende de otros protocolos para transferencias de datos o conmutación. En esto, se parece a la </w:t>
      </w:r>
      <w:hyperlink r:id="rId12" w:history="1"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conmutación de etiquetas multiprotocolo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(MPLS).</w:t>
      </w:r>
    </w:p>
    <w:p w:rsidR="0064353B" w:rsidRPr="0064353B" w:rsidRDefault="0064353B" w:rsidP="0064353B">
      <w:pPr>
        <w:pStyle w:val="NormalWeb"/>
        <w:jc w:val="both"/>
        <w:rPr>
          <w:color w:val="000000" w:themeColor="text1"/>
        </w:rPr>
      </w:pPr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IEEE 1355 tenía objetivos como </w:t>
      </w:r>
      <w:hyperlink r:id="rId13" w:history="1">
        <w:proofErr w:type="spellStart"/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Futurebus</w:t>
        </w:r>
        <w:proofErr w:type="spellEnd"/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y sus derivados </w:t>
      </w:r>
      <w:hyperlink r:id="rId14" w:history="1">
        <w:proofErr w:type="spellStart"/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Scalable</w:t>
        </w:r>
        <w:proofErr w:type="spellEnd"/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 xml:space="preserve"> </w:t>
        </w:r>
        <w:proofErr w:type="spellStart"/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Coherent</w:t>
        </w:r>
        <w:proofErr w:type="spellEnd"/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 xml:space="preserve"> Interface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(SCI) e </w:t>
      </w:r>
      <w:hyperlink r:id="rId15" w:history="1">
        <w:proofErr w:type="spellStart"/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InfiniBand</w:t>
        </w:r>
        <w:proofErr w:type="spellEnd"/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. El sistema de enrutamiento de paquetes de IEEE 1355 también es similar a </w:t>
      </w:r>
      <w:hyperlink r:id="rId16" w:history="1"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VPLS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y utiliza un esquema de etiquetado de paquetes similar a MPLS.</w:t>
      </w:r>
    </w:p>
    <w:p w:rsidR="0064353B" w:rsidRPr="0064353B" w:rsidRDefault="0064353B" w:rsidP="0064353B">
      <w:pPr>
        <w:pStyle w:val="NormalWeb"/>
        <w:spacing w:line="240" w:lineRule="auto"/>
        <w:jc w:val="both"/>
        <w:rPr>
          <w:color w:val="000000" w:themeColor="text1"/>
        </w:rPr>
      </w:pPr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IEEE 1355 logra sus objetivos de diseño con una electrónica digital relativamente simple y muy poco software. Muchos ingenieros y científicos valoran esta simplicidad. Paul Walker Dijo que cuando se implementa en un </w:t>
      </w:r>
      <w:hyperlink r:id="rId17" w:history="1"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FPGA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, el estándar toma aproximadamente un tercio de los recursos de hardware de un </w:t>
      </w:r>
      <w:hyperlink r:id="rId18" w:history="1"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UART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(un puerto serie estándar), y da cien veces la capacidad de transmisión de datos, mientras implementa una red de conmutación completa y ser más fácil de programar.</w:t>
      </w:r>
    </w:p>
    <w:p w:rsidR="0064353B" w:rsidRPr="0064353B" w:rsidRDefault="0064353B" w:rsidP="0064353B">
      <w:pPr>
        <w:pStyle w:val="NormalWeb"/>
        <w:spacing w:line="240" w:lineRule="auto"/>
        <w:jc w:val="both"/>
        <w:rPr>
          <w:color w:val="000000" w:themeColor="text1"/>
        </w:rPr>
      </w:pPr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Históricamente, IEEE 1355 se deriva de las redes seriales asíncronas desarrolladas para las interfaces de datos serie en chip </w:t>
      </w:r>
      <w:hyperlink r:id="rId19" w:history="1">
        <w:proofErr w:type="spellStart"/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Transputer</w:t>
        </w:r>
        <w:proofErr w:type="spellEnd"/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modelo T9000. El </w:t>
      </w:r>
      <w:proofErr w:type="spellStart"/>
      <w:r w:rsidRPr="0064353B">
        <w:rPr>
          <w:rFonts w:ascii="Arial" w:hAnsi="Arial" w:cs="Arial"/>
          <w:color w:val="000000" w:themeColor="text1"/>
          <w:sz w:val="20"/>
          <w:szCs w:val="20"/>
        </w:rPr>
        <w:t>Transputer</w:t>
      </w:r>
      <w:proofErr w:type="spellEnd"/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fue un </w:t>
      </w:r>
      <w:hyperlink r:id="rId20" w:history="1"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microprocesador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desarrollado para implementar de forma económica el cálculo en paralelo. IEEE 1355 fue el resultado de un intento de preservar la red de datos inusualmente simple del </w:t>
      </w:r>
      <w:proofErr w:type="spellStart"/>
      <w:r w:rsidRPr="0064353B">
        <w:rPr>
          <w:rFonts w:ascii="Arial" w:hAnsi="Arial" w:cs="Arial"/>
          <w:color w:val="000000" w:themeColor="text1"/>
          <w:sz w:val="20"/>
          <w:szCs w:val="20"/>
        </w:rPr>
        <w:t>Transputer</w:t>
      </w:r>
      <w:proofErr w:type="spellEnd"/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. Este esquema de </w:t>
      </w:r>
      <w:hyperlink r:id="rId21" w:history="1"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codificación estroboscópica de datos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hace que los enlaces se sincronicen automáticamente y se puedan adaptar automáticamente a diferentes velocidades. Fue patentado por </w:t>
      </w:r>
      <w:hyperlink r:id="rId22" w:history="1">
        <w:proofErr w:type="spellStart"/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Inmos</w:t>
        </w:r>
        <w:proofErr w:type="spellEnd"/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bajo la patente del Reino Unido número 9011700.3, reivindicación 16 (codificación a nivel de bit DS-Link), y en 1991 bajo la patente estadounidense 5341371, reivindicación 16.</w:t>
      </w:r>
      <w:bookmarkStart w:id="1" w:name="Use"/>
      <w:bookmarkEnd w:id="1"/>
      <w:r>
        <w:rPr>
          <w:color w:val="000000" w:themeColor="text1"/>
        </w:rPr>
        <w:t xml:space="preserve"> </w:t>
      </w:r>
      <w:r w:rsidRPr="0064353B">
        <w:rPr>
          <w:rFonts w:ascii="Arial" w:hAnsi="Arial" w:cs="Arial"/>
          <w:color w:val="000000" w:themeColor="text1"/>
          <w:sz w:val="20"/>
          <w:szCs w:val="20"/>
        </w:rPr>
        <w:t>La patente aún puede estar en vigor.</w:t>
      </w:r>
    </w:p>
    <w:p w:rsidR="0064353B" w:rsidRPr="0064353B" w:rsidRDefault="0064353B" w:rsidP="0064353B">
      <w:pPr>
        <w:pStyle w:val="NormalWeb"/>
        <w:jc w:val="both"/>
        <w:rPr>
          <w:color w:val="000000" w:themeColor="text1"/>
        </w:rPr>
      </w:pPr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IEEE 1355 inspiró </w:t>
      </w:r>
      <w:hyperlink r:id="rId23" w:history="1">
        <w:proofErr w:type="spellStart"/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SpaceWire</w:t>
        </w:r>
        <w:proofErr w:type="spellEnd"/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. A veces se usa para conexiones de datos digitales entre instrumentos científicos, controladores y sistemas de grabación. IEEE 1355 se utiliza en instrumentación científica </w:t>
      </w:r>
      <w:r w:rsidRPr="0064353B">
        <w:rPr>
          <w:rFonts w:ascii="Arial" w:hAnsi="Arial" w:cs="Arial"/>
          <w:color w:val="000000" w:themeColor="text1"/>
          <w:sz w:val="20"/>
          <w:szCs w:val="20"/>
        </w:rPr>
        <w:lastRenderedPageBreak/>
        <w:t>porque es fácil de programar y administra la mayoría de los eventos por sí mismo sin un software complejo en tiempo real.</w:t>
      </w:r>
    </w:p>
    <w:p w:rsidR="0064353B" w:rsidRPr="0064353B" w:rsidRDefault="0064353B" w:rsidP="0064353B">
      <w:pPr>
        <w:pStyle w:val="NormalWeb"/>
        <w:jc w:val="both"/>
        <w:rPr>
          <w:color w:val="000000" w:themeColor="text1"/>
        </w:rPr>
      </w:pPr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IEEE 1355 incluye una definición de medios de red baratos, rápidos y de corta distancia, destinados a ser los protocolos internos de la electrónica, incluidos los equipos de conmutación y enrutamiento de red. También incluye protocolos de red de media y larga distancia, destinados a </w:t>
      </w:r>
      <w:hyperlink r:id="rId24" w:history="1"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redes de área local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y </w:t>
      </w:r>
      <w:hyperlink r:id="rId25" w:history="1"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redes de área amplia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64353B" w:rsidRPr="0064353B" w:rsidRDefault="0064353B" w:rsidP="0064353B">
      <w:pPr>
        <w:pStyle w:val="NormalWeb"/>
        <w:spacing w:line="240" w:lineRule="auto"/>
        <w:jc w:val="both"/>
        <w:rPr>
          <w:color w:val="000000" w:themeColor="text1"/>
        </w:rPr>
      </w:pPr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IEEE 1355 está diseñado para uso punto a punto. Por lo tanto, podría tomar el lugar del uso más común de </w:t>
      </w:r>
      <w:hyperlink r:id="rId26" w:history="1"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Ethernet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, si utilizara tecnologías de señalización equivalentes (como </w:t>
      </w:r>
      <w:hyperlink r:id="rId27" w:history="1"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señalización diferencial de baja tensión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>).</w:t>
      </w:r>
    </w:p>
    <w:p w:rsidR="0064353B" w:rsidRPr="0064353B" w:rsidRDefault="0064353B" w:rsidP="0064353B">
      <w:pPr>
        <w:pStyle w:val="NormalWeb"/>
        <w:jc w:val="both"/>
        <w:rPr>
          <w:color w:val="000000" w:themeColor="text1"/>
        </w:rPr>
      </w:pPr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IEEE 1355 podría funcionar bien para los dispositivos digitales de consumo. El protocolo es más simple que </w:t>
      </w:r>
      <w:hyperlink r:id="rId28" w:history="1"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Universal Serial Bus</w:t>
        </w:r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(USB), </w:t>
      </w:r>
      <w:hyperlink r:id="rId29" w:history="1">
        <w:proofErr w:type="spellStart"/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FireWire</w:t>
        </w:r>
        <w:proofErr w:type="spellEnd"/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hyperlink r:id="rId30" w:history="1">
        <w:proofErr w:type="spellStart"/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Peripheral</w:t>
        </w:r>
        <w:proofErr w:type="spellEnd"/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 xml:space="preserve"> </w:t>
        </w:r>
        <w:proofErr w:type="spellStart"/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Component</w:t>
        </w:r>
        <w:proofErr w:type="spellEnd"/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 xml:space="preserve"> </w:t>
        </w:r>
        <w:proofErr w:type="spellStart"/>
        <w:r w:rsidRPr="0064353B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</w:rPr>
          <w:t>Interconnect</w:t>
        </w:r>
        <w:proofErr w:type="spellEnd"/>
      </w:hyperlink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 (PCI) y otros protocolos de consumo. Esta simplicidad puede reducir el costo del equipo y mejorar la confiabilidad. IEEE 1355 no define ninguna transacción a nivel de mensaje, por lo que estas deberían definirse en estándares auxiliares.</w:t>
      </w:r>
    </w:p>
    <w:p w:rsidR="0064353B" w:rsidRPr="0064353B" w:rsidRDefault="0064353B" w:rsidP="0064353B">
      <w:pPr>
        <w:pStyle w:val="NormalWeb"/>
        <w:spacing w:line="240" w:lineRule="auto"/>
        <w:jc w:val="both"/>
        <w:rPr>
          <w:color w:val="000000" w:themeColor="text1"/>
        </w:rPr>
      </w:pPr>
      <w:r w:rsidRPr="0064353B">
        <w:rPr>
          <w:rFonts w:ascii="Arial" w:hAnsi="Arial" w:cs="Arial"/>
          <w:color w:val="000000" w:themeColor="text1"/>
          <w:sz w:val="20"/>
          <w:szCs w:val="20"/>
        </w:rPr>
        <w:t xml:space="preserve">En 1997, se construyó en Europa un banco de pruebas de 1024 nodos llamado Macramé. </w:t>
      </w:r>
      <w:hyperlink r:id="rId31" w:anchor="cite_note-4" w:history="1">
        <w:r w:rsidRPr="0064353B">
          <w:rPr>
            <w:rStyle w:val="Hipervnculo"/>
            <w:rFonts w:ascii="Arial" w:hAnsi="Arial" w:cs="Arial"/>
            <w:color w:val="000000" w:themeColor="text1"/>
            <w:sz w:val="16"/>
            <w:szCs w:val="16"/>
            <w:u w:val="none"/>
          </w:rPr>
          <w:t>Los</w:t>
        </w:r>
      </w:hyperlink>
      <w:r w:rsidRPr="0064353B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64353B">
        <w:rPr>
          <w:rFonts w:ascii="Arial" w:hAnsi="Arial" w:cs="Arial"/>
          <w:color w:val="000000" w:themeColor="text1"/>
          <w:sz w:val="20"/>
          <w:szCs w:val="20"/>
        </w:rPr>
        <w:t>investigadores que midieron el rendimiento y la fiabilidad del banco de pruebas de Macramé aportaron datos útiles al grupo de trabajo que estableció el estándar.</w:t>
      </w:r>
    </w:p>
    <w:p w:rsidR="0064353B" w:rsidRPr="0064353B" w:rsidRDefault="0064353B" w:rsidP="0064353B">
      <w:pPr>
        <w:pStyle w:val="NormalWeb"/>
        <w:spacing w:after="240"/>
        <w:jc w:val="both"/>
        <w:rPr>
          <w:color w:val="000000" w:themeColor="text1"/>
        </w:rPr>
      </w:pPr>
    </w:p>
    <w:p w:rsidR="0064353B" w:rsidRPr="0064353B" w:rsidRDefault="0064353B" w:rsidP="0064353B">
      <w:pPr>
        <w:pStyle w:val="NormalWeb"/>
        <w:spacing w:after="240"/>
        <w:jc w:val="both"/>
        <w:rPr>
          <w:color w:val="000000" w:themeColor="text1"/>
        </w:rPr>
      </w:pPr>
    </w:p>
    <w:p w:rsidR="0064353B" w:rsidRPr="0064353B" w:rsidRDefault="0064353B" w:rsidP="0064353B">
      <w:pPr>
        <w:pStyle w:val="NormalWeb"/>
        <w:spacing w:after="0" w:line="240" w:lineRule="auto"/>
        <w:jc w:val="both"/>
        <w:rPr>
          <w:color w:val="000000" w:themeColor="text1"/>
        </w:rPr>
      </w:pPr>
    </w:p>
    <w:p w:rsidR="007329BA" w:rsidRPr="0064353B" w:rsidRDefault="007329BA" w:rsidP="0064353B">
      <w:pPr>
        <w:jc w:val="both"/>
        <w:rPr>
          <w:color w:val="000000" w:themeColor="text1"/>
        </w:rPr>
      </w:pPr>
    </w:p>
    <w:sectPr w:rsidR="007329BA" w:rsidRPr="00643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3B"/>
    <w:rsid w:val="0064353B"/>
    <w:rsid w:val="0073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CE74"/>
  <w15:chartTrackingRefBased/>
  <w15:docId w15:val="{C132E6C0-34F5-49DB-9661-214E670B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53B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43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uturebus" TargetMode="External"/><Relationship Id="rId18" Type="http://schemas.openxmlformats.org/officeDocument/2006/relationships/hyperlink" Target="https://en.wikipedia.org/wiki/UART" TargetMode="External"/><Relationship Id="rId26" Type="http://schemas.openxmlformats.org/officeDocument/2006/relationships/hyperlink" Target="https://en.wikipedia.org/wiki/Etherne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Data_strobe_encoding" TargetMode="External"/><Relationship Id="rId7" Type="http://schemas.openxmlformats.org/officeDocument/2006/relationships/hyperlink" Target="https://en.wikipedia.org/wiki/Wormhole_routing" TargetMode="External"/><Relationship Id="rId12" Type="http://schemas.openxmlformats.org/officeDocument/2006/relationships/hyperlink" Target="https://en.wikipedia.org/wiki/Multiprotocol_Label_Switching" TargetMode="External"/><Relationship Id="rId17" Type="http://schemas.openxmlformats.org/officeDocument/2006/relationships/hyperlink" Target="https://en.wikipedia.org/wiki/FPGA" TargetMode="External"/><Relationship Id="rId25" Type="http://schemas.openxmlformats.org/officeDocument/2006/relationships/hyperlink" Target="https://en.wikipedia.org/wiki/Wide_area_network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VPLS" TargetMode="External"/><Relationship Id="rId20" Type="http://schemas.openxmlformats.org/officeDocument/2006/relationships/hyperlink" Target="https://en.wikipedia.org/wiki/Microprocessor" TargetMode="External"/><Relationship Id="rId29" Type="http://schemas.openxmlformats.org/officeDocument/2006/relationships/hyperlink" Target="https://en.wikipedia.org/wiki/FireWir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int-to-point_(telecommunications)" TargetMode="External"/><Relationship Id="rId11" Type="http://schemas.openxmlformats.org/officeDocument/2006/relationships/hyperlink" Target="https://en.wikipedia.org/wiki/Asynchronous_Transfer_Mode" TargetMode="External"/><Relationship Id="rId24" Type="http://schemas.openxmlformats.org/officeDocument/2006/relationships/hyperlink" Target="https://en.wikipedia.org/wiki/Local_area_network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n.wikipedia.org/wiki/CERN" TargetMode="External"/><Relationship Id="rId15" Type="http://schemas.openxmlformats.org/officeDocument/2006/relationships/hyperlink" Target="https://en.wikipedia.org/wiki/InfiniBand" TargetMode="External"/><Relationship Id="rId23" Type="http://schemas.openxmlformats.org/officeDocument/2006/relationships/hyperlink" Target="https://en.wikipedia.org/wiki/SpaceWire" TargetMode="External"/><Relationship Id="rId28" Type="http://schemas.openxmlformats.org/officeDocument/2006/relationships/hyperlink" Target="https://en.wikipedia.org/wiki/Universal_Serial_Bus" TargetMode="External"/><Relationship Id="rId10" Type="http://schemas.openxmlformats.org/officeDocument/2006/relationships/hyperlink" Target="https://en.wikipedia.org/wiki/Internet_Protocol" TargetMode="External"/><Relationship Id="rId19" Type="http://schemas.openxmlformats.org/officeDocument/2006/relationships/hyperlink" Target="https://en.wikipedia.org/wiki/Transputer" TargetMode="External"/><Relationship Id="rId31" Type="http://schemas.openxmlformats.org/officeDocument/2006/relationships/hyperlink" Target="https://en.wikipedia.org/wiki/IEEE_1355" TargetMode="External"/><Relationship Id="rId4" Type="http://schemas.openxmlformats.org/officeDocument/2006/relationships/hyperlink" Target="https://en.wikipedia.org/wiki/Data_communication" TargetMode="External"/><Relationship Id="rId9" Type="http://schemas.openxmlformats.org/officeDocument/2006/relationships/hyperlink" Target="https://en.wikipedia.org/wiki/Local_area_network" TargetMode="External"/><Relationship Id="rId14" Type="http://schemas.openxmlformats.org/officeDocument/2006/relationships/hyperlink" Target="https://en.wikipedia.org/wiki/Scalable_Coherent_Interface" TargetMode="External"/><Relationship Id="rId22" Type="http://schemas.openxmlformats.org/officeDocument/2006/relationships/hyperlink" Target="https://en.wikipedia.org/wiki/Inmos" TargetMode="External"/><Relationship Id="rId27" Type="http://schemas.openxmlformats.org/officeDocument/2006/relationships/hyperlink" Target="https://en.wikipedia.org/wiki/Low_voltage_differential_signaling" TargetMode="External"/><Relationship Id="rId30" Type="http://schemas.openxmlformats.org/officeDocument/2006/relationships/hyperlink" Target="https://en.wikipedia.org/wiki/Peripheral_Component_Interconnect" TargetMode="External"/><Relationship Id="rId8" Type="http://schemas.openxmlformats.org/officeDocument/2006/relationships/hyperlink" Target="https://en.wikipedia.org/wiki/IBM_token_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978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2017-11-29T01:48:00Z</dcterms:created>
  <dcterms:modified xsi:type="dcterms:W3CDTF">2017-11-29T01:50:00Z</dcterms:modified>
</cp:coreProperties>
</file>