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7A69" w14:textId="2593C91F" w:rsidR="002D190A" w:rsidRDefault="002D190A" w:rsidP="00CD113F">
      <w:pPr>
        <w:spacing w:after="240"/>
        <w:ind w:left="6372"/>
        <w:rPr>
          <w:sz w:val="22"/>
        </w:rPr>
      </w:pPr>
      <w:r>
        <w:rPr>
          <w:sz w:val="22"/>
        </w:rPr>
        <w:t xml:space="preserve">Warszawa, </w:t>
      </w:r>
      <w:r w:rsidR="00E65516">
        <w:rPr>
          <w:sz w:val="22"/>
        </w:rPr>
        <w:t>2</w:t>
      </w:r>
      <w:r w:rsidR="000C4489">
        <w:rPr>
          <w:sz w:val="22"/>
        </w:rPr>
        <w:t>6</w:t>
      </w:r>
      <w:r w:rsidR="00263BB5" w:rsidRPr="00263BB5">
        <w:rPr>
          <w:sz w:val="22"/>
        </w:rPr>
        <w:t>.</w:t>
      </w:r>
      <w:r w:rsidR="00D23E01">
        <w:rPr>
          <w:sz w:val="22"/>
        </w:rPr>
        <w:t>0</w:t>
      </w:r>
      <w:r w:rsidR="000C4489">
        <w:rPr>
          <w:sz w:val="22"/>
        </w:rPr>
        <w:t>1</w:t>
      </w:r>
      <w:r w:rsidR="00263BB5" w:rsidRPr="00263BB5">
        <w:rPr>
          <w:sz w:val="22"/>
        </w:rPr>
        <w:t>.202</w:t>
      </w:r>
      <w:r w:rsidR="000C4489">
        <w:rPr>
          <w:sz w:val="22"/>
        </w:rPr>
        <w:t>3</w:t>
      </w:r>
      <w:r w:rsidR="00263BB5" w:rsidRPr="00263BB5">
        <w:rPr>
          <w:sz w:val="22"/>
        </w:rPr>
        <w:t xml:space="preserve"> </w:t>
      </w:r>
      <w:r>
        <w:rPr>
          <w:sz w:val="22"/>
        </w:rPr>
        <w:t xml:space="preserve">r. </w:t>
      </w:r>
    </w:p>
    <w:p w14:paraId="00B436DE" w14:textId="77777777" w:rsidR="00FB22EA" w:rsidRDefault="00FB22EA" w:rsidP="002D190A">
      <w:pPr>
        <w:spacing w:after="240"/>
        <w:rPr>
          <w:sz w:val="28"/>
          <w:szCs w:val="28"/>
        </w:rPr>
      </w:pPr>
    </w:p>
    <w:p w14:paraId="1457A4B8" w14:textId="7FB5E8E3" w:rsidR="002D190A" w:rsidRPr="00FB22EA" w:rsidRDefault="002D190A" w:rsidP="002D190A">
      <w:pPr>
        <w:spacing w:after="240"/>
        <w:rPr>
          <w:sz w:val="28"/>
          <w:szCs w:val="28"/>
        </w:rPr>
      </w:pPr>
      <w:r w:rsidRPr="00FB22EA">
        <w:rPr>
          <w:sz w:val="28"/>
          <w:szCs w:val="28"/>
        </w:rPr>
        <w:t>INFORMACJA PRASOWA</w:t>
      </w:r>
      <w:r w:rsidRPr="00FB22EA">
        <w:rPr>
          <w:sz w:val="28"/>
          <w:szCs w:val="28"/>
        </w:rPr>
        <w:br/>
        <w:t>…………………………………….</w:t>
      </w:r>
    </w:p>
    <w:p w14:paraId="7950CA03" w14:textId="77777777" w:rsidR="00996665" w:rsidRDefault="00996665" w:rsidP="001D3DE7">
      <w:pPr>
        <w:jc w:val="both"/>
        <w:rPr>
          <w:b/>
          <w:bCs/>
          <w:sz w:val="24"/>
          <w:szCs w:val="24"/>
        </w:rPr>
      </w:pPr>
      <w:bookmarkStart w:id="0" w:name="_Hlk73698368"/>
    </w:p>
    <w:p w14:paraId="631A28D0" w14:textId="64AC84A6" w:rsidR="00AD0E09" w:rsidRDefault="00996665" w:rsidP="001D3DE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</w:t>
      </w:r>
      <w:r w:rsidRPr="00996665">
        <w:rPr>
          <w:b/>
          <w:bCs/>
          <w:sz w:val="24"/>
          <w:szCs w:val="24"/>
        </w:rPr>
        <w:t>K podsumow</w:t>
      </w:r>
      <w:r w:rsidR="00252B24">
        <w:rPr>
          <w:b/>
          <w:bCs/>
          <w:sz w:val="24"/>
          <w:szCs w:val="24"/>
        </w:rPr>
        <w:t>uje</w:t>
      </w:r>
      <w:r w:rsidRPr="00996665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2</w:t>
      </w:r>
      <w:r w:rsidRPr="00996665">
        <w:rPr>
          <w:b/>
          <w:bCs/>
          <w:sz w:val="24"/>
          <w:szCs w:val="24"/>
        </w:rPr>
        <w:t xml:space="preserve"> r.</w:t>
      </w:r>
      <w:r w:rsidR="000C4489">
        <w:rPr>
          <w:b/>
          <w:bCs/>
          <w:sz w:val="24"/>
          <w:szCs w:val="24"/>
        </w:rPr>
        <w:t xml:space="preserve"> na rynku kredytów i pożyczek</w:t>
      </w:r>
      <w:r w:rsidR="00252B24">
        <w:rPr>
          <w:b/>
          <w:bCs/>
          <w:sz w:val="24"/>
          <w:szCs w:val="24"/>
        </w:rPr>
        <w:t xml:space="preserve"> oraz p</w:t>
      </w:r>
      <w:r w:rsidR="000C4489">
        <w:rPr>
          <w:b/>
          <w:bCs/>
          <w:sz w:val="24"/>
          <w:szCs w:val="24"/>
        </w:rPr>
        <w:t xml:space="preserve">rognozuje 2023 r. </w:t>
      </w:r>
    </w:p>
    <w:p w14:paraId="792FF12E" w14:textId="77777777" w:rsidR="000B0502" w:rsidRDefault="000B0502" w:rsidP="001D3DE7">
      <w:pPr>
        <w:jc w:val="both"/>
        <w:rPr>
          <w:rFonts w:cstheme="minorHAnsi"/>
          <w:b/>
          <w:bCs/>
          <w:sz w:val="22"/>
        </w:rPr>
      </w:pPr>
    </w:p>
    <w:p w14:paraId="3BA8439E" w14:textId="24DA9FAB" w:rsidR="007122F9" w:rsidRDefault="000C4489" w:rsidP="0064002F">
      <w:pPr>
        <w:jc w:val="both"/>
        <w:rPr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>O 13</w:t>
      </w:r>
      <w:r w:rsidR="00932D5D">
        <w:rPr>
          <w:rFonts w:cstheme="minorHAnsi"/>
          <w:b/>
          <w:bCs/>
          <w:sz w:val="22"/>
        </w:rPr>
        <w:t>,4</w:t>
      </w:r>
      <w:r>
        <w:rPr>
          <w:rFonts w:cstheme="minorHAnsi"/>
          <w:b/>
          <w:bCs/>
          <w:sz w:val="22"/>
        </w:rPr>
        <w:t xml:space="preserve"> mld zł sp</w:t>
      </w:r>
      <w:r w:rsidRPr="009C47B0">
        <w:rPr>
          <w:rFonts w:cstheme="minorHAnsi"/>
          <w:b/>
          <w:bCs/>
          <w:sz w:val="22"/>
        </w:rPr>
        <w:t xml:space="preserve">adła wartość zadłużenia </w:t>
      </w:r>
      <w:r w:rsidR="000A6F07">
        <w:rPr>
          <w:rFonts w:cstheme="minorHAnsi"/>
          <w:b/>
          <w:bCs/>
          <w:sz w:val="22"/>
        </w:rPr>
        <w:t xml:space="preserve">gospodarstw domowych </w:t>
      </w:r>
      <w:r>
        <w:rPr>
          <w:rFonts w:cstheme="minorHAnsi"/>
          <w:b/>
          <w:bCs/>
          <w:sz w:val="22"/>
        </w:rPr>
        <w:t xml:space="preserve">z tytułu </w:t>
      </w:r>
      <w:r w:rsidR="00AF0C3C">
        <w:rPr>
          <w:rFonts w:cstheme="minorHAnsi"/>
          <w:b/>
          <w:bCs/>
          <w:sz w:val="22"/>
        </w:rPr>
        <w:t xml:space="preserve">posiadanych </w:t>
      </w:r>
      <w:r>
        <w:rPr>
          <w:rFonts w:cstheme="minorHAnsi"/>
          <w:b/>
          <w:bCs/>
          <w:sz w:val="22"/>
        </w:rPr>
        <w:t>kredytów i pożyczek</w:t>
      </w:r>
      <w:r w:rsidR="00992310">
        <w:rPr>
          <w:rFonts w:cstheme="minorHAnsi"/>
          <w:b/>
          <w:bCs/>
          <w:sz w:val="22"/>
        </w:rPr>
        <w:t xml:space="preserve"> w porównania do grudnia 2021 r</w:t>
      </w:r>
      <w:r w:rsidR="00AF0C3C">
        <w:rPr>
          <w:rFonts w:cstheme="minorHAnsi"/>
          <w:b/>
          <w:bCs/>
          <w:sz w:val="22"/>
        </w:rPr>
        <w:t xml:space="preserve">. </w:t>
      </w:r>
      <w:r w:rsidR="00AF0C3C" w:rsidRPr="002A198F">
        <w:rPr>
          <w:rFonts w:cstheme="minorHAnsi"/>
          <w:b/>
          <w:bCs/>
          <w:sz w:val="22"/>
        </w:rPr>
        <w:t xml:space="preserve">Mimo, że Polacy w całym </w:t>
      </w:r>
      <w:r w:rsidRPr="002A198F">
        <w:rPr>
          <w:rFonts w:cstheme="minorHAnsi"/>
          <w:b/>
          <w:bCs/>
          <w:sz w:val="22"/>
        </w:rPr>
        <w:t xml:space="preserve">2022 r. </w:t>
      </w:r>
      <w:r w:rsidR="00AF0C3C" w:rsidRPr="002A198F">
        <w:rPr>
          <w:rFonts w:cstheme="minorHAnsi"/>
          <w:b/>
          <w:bCs/>
          <w:sz w:val="22"/>
        </w:rPr>
        <w:t>zaciągnęli łącznie 14</w:t>
      </w:r>
      <w:r w:rsidR="002A198F" w:rsidRPr="002A198F">
        <w:rPr>
          <w:rFonts w:cstheme="minorHAnsi"/>
          <w:b/>
          <w:bCs/>
          <w:sz w:val="22"/>
        </w:rPr>
        <w:t>3</w:t>
      </w:r>
      <w:r w:rsidR="00AF0C3C" w:rsidRPr="002A198F">
        <w:rPr>
          <w:rFonts w:cstheme="minorHAnsi"/>
          <w:b/>
          <w:bCs/>
          <w:sz w:val="22"/>
        </w:rPr>
        <w:t>,6 mld zł nowych kredytów i pożyczek</w:t>
      </w:r>
      <w:r w:rsidR="0064002F" w:rsidRPr="002A198F">
        <w:rPr>
          <w:rFonts w:cstheme="minorHAnsi"/>
          <w:b/>
          <w:bCs/>
          <w:sz w:val="22"/>
        </w:rPr>
        <w:t>,</w:t>
      </w:r>
      <w:r w:rsidRPr="002A198F">
        <w:rPr>
          <w:rFonts w:cstheme="minorHAnsi"/>
          <w:b/>
          <w:bCs/>
          <w:sz w:val="22"/>
        </w:rPr>
        <w:t xml:space="preserve"> w porównaniu do roku 2021</w:t>
      </w:r>
      <w:r w:rsidR="00CA48FA" w:rsidRPr="002A198F">
        <w:rPr>
          <w:rFonts w:cstheme="minorHAnsi"/>
          <w:b/>
          <w:bCs/>
          <w:sz w:val="22"/>
        </w:rPr>
        <w:t xml:space="preserve"> </w:t>
      </w:r>
      <w:r w:rsidR="00AF0C3C" w:rsidRPr="002A198F">
        <w:rPr>
          <w:rFonts w:cstheme="minorHAnsi"/>
          <w:b/>
          <w:bCs/>
          <w:sz w:val="22"/>
        </w:rPr>
        <w:t xml:space="preserve">dynamika wartości </w:t>
      </w:r>
      <w:r w:rsidR="002A198F">
        <w:rPr>
          <w:rFonts w:cstheme="minorHAnsi"/>
          <w:b/>
          <w:bCs/>
          <w:sz w:val="22"/>
        </w:rPr>
        <w:t>sprzedaży większości</w:t>
      </w:r>
      <w:r w:rsidR="00CA48FA" w:rsidRPr="002A198F">
        <w:rPr>
          <w:rFonts w:cstheme="minorHAnsi"/>
          <w:b/>
          <w:bCs/>
          <w:sz w:val="22"/>
        </w:rPr>
        <w:t xml:space="preserve"> </w:t>
      </w:r>
      <w:r w:rsidR="007122F9" w:rsidRPr="002A198F">
        <w:rPr>
          <w:rFonts w:cstheme="minorHAnsi"/>
          <w:b/>
          <w:bCs/>
          <w:sz w:val="22"/>
        </w:rPr>
        <w:t>rodzajów</w:t>
      </w:r>
      <w:r w:rsidR="00CA48FA" w:rsidRPr="002A198F">
        <w:rPr>
          <w:rFonts w:cstheme="minorHAnsi"/>
          <w:b/>
          <w:bCs/>
          <w:sz w:val="22"/>
        </w:rPr>
        <w:t xml:space="preserve"> kredytów </w:t>
      </w:r>
      <w:r w:rsidR="00AF0C3C" w:rsidRPr="002A198F">
        <w:rPr>
          <w:rFonts w:cstheme="minorHAnsi"/>
          <w:b/>
          <w:bCs/>
          <w:sz w:val="22"/>
        </w:rPr>
        <w:t>była ujemna</w:t>
      </w:r>
      <w:r w:rsidR="007122F9" w:rsidRPr="002A198F">
        <w:rPr>
          <w:rFonts w:cstheme="minorHAnsi"/>
          <w:b/>
          <w:bCs/>
          <w:sz w:val="22"/>
        </w:rPr>
        <w:t>.</w:t>
      </w:r>
      <w:r w:rsidR="007122F9">
        <w:rPr>
          <w:rFonts w:cstheme="minorHAnsi"/>
          <w:b/>
          <w:bCs/>
          <w:sz w:val="22"/>
        </w:rPr>
        <w:t xml:space="preserve"> </w:t>
      </w:r>
      <w:r w:rsidR="009E3DF6">
        <w:rPr>
          <w:rFonts w:cstheme="minorHAnsi"/>
          <w:b/>
          <w:bCs/>
          <w:sz w:val="22"/>
        </w:rPr>
        <w:t xml:space="preserve">O prawie połowę </w:t>
      </w:r>
      <w:r w:rsidR="00AF0C3C">
        <w:rPr>
          <w:rFonts w:cstheme="minorHAnsi"/>
          <w:b/>
          <w:bCs/>
          <w:sz w:val="22"/>
        </w:rPr>
        <w:t>spadła wartość</w:t>
      </w:r>
      <w:r w:rsidR="000C729C">
        <w:rPr>
          <w:rFonts w:cstheme="minorHAnsi"/>
          <w:b/>
          <w:bCs/>
          <w:sz w:val="22"/>
        </w:rPr>
        <w:t xml:space="preserve"> </w:t>
      </w:r>
      <w:r w:rsidR="00AF0C3C">
        <w:rPr>
          <w:rFonts w:cstheme="minorHAnsi"/>
          <w:b/>
          <w:bCs/>
          <w:sz w:val="22"/>
        </w:rPr>
        <w:t>udzielonych</w:t>
      </w:r>
      <w:r w:rsidR="007122F9">
        <w:rPr>
          <w:rFonts w:cstheme="minorHAnsi"/>
          <w:b/>
          <w:bCs/>
          <w:sz w:val="22"/>
        </w:rPr>
        <w:t xml:space="preserve"> </w:t>
      </w:r>
      <w:r w:rsidR="00AF0C3C">
        <w:rPr>
          <w:rFonts w:cstheme="minorHAnsi"/>
          <w:b/>
          <w:bCs/>
          <w:sz w:val="22"/>
        </w:rPr>
        <w:t>kredytów mieszkaniowych</w:t>
      </w:r>
      <w:r w:rsidR="009E3DF6">
        <w:rPr>
          <w:rFonts w:cstheme="minorHAnsi"/>
          <w:b/>
          <w:bCs/>
          <w:sz w:val="22"/>
        </w:rPr>
        <w:t xml:space="preserve"> </w:t>
      </w:r>
      <w:r w:rsidR="007122F9">
        <w:rPr>
          <w:rFonts w:cstheme="minorHAnsi"/>
          <w:b/>
          <w:bCs/>
          <w:sz w:val="22"/>
        </w:rPr>
        <w:t>(-49,1</w:t>
      </w:r>
      <w:r w:rsidR="00C573A5">
        <w:rPr>
          <w:rFonts w:cstheme="minorHAnsi"/>
          <w:b/>
          <w:bCs/>
          <w:sz w:val="22"/>
        </w:rPr>
        <w:t xml:space="preserve"> </w:t>
      </w:r>
      <w:r w:rsidR="007122F9">
        <w:rPr>
          <w:rFonts w:cstheme="minorHAnsi"/>
          <w:b/>
          <w:bCs/>
          <w:sz w:val="22"/>
        </w:rPr>
        <w:t>proc.)</w:t>
      </w:r>
      <w:r w:rsidR="002A198F">
        <w:rPr>
          <w:rFonts w:cstheme="minorHAnsi"/>
          <w:b/>
          <w:bCs/>
          <w:sz w:val="22"/>
        </w:rPr>
        <w:t xml:space="preserve">. </w:t>
      </w:r>
      <w:r w:rsidR="00581993">
        <w:rPr>
          <w:rFonts w:cstheme="minorHAnsi"/>
          <w:b/>
          <w:bCs/>
          <w:sz w:val="22"/>
        </w:rPr>
        <w:t xml:space="preserve">Jedynie sprzedaż </w:t>
      </w:r>
      <w:r w:rsidR="00AF0C3C">
        <w:rPr>
          <w:rFonts w:cstheme="minorHAnsi"/>
          <w:b/>
          <w:bCs/>
          <w:sz w:val="22"/>
        </w:rPr>
        <w:t>kredytów rataln</w:t>
      </w:r>
      <w:r w:rsidR="009A342F">
        <w:rPr>
          <w:rFonts w:cstheme="minorHAnsi"/>
          <w:b/>
          <w:bCs/>
          <w:sz w:val="22"/>
        </w:rPr>
        <w:t>ych</w:t>
      </w:r>
      <w:r w:rsidR="00AF0C3C">
        <w:rPr>
          <w:rFonts w:cstheme="minorHAnsi"/>
          <w:b/>
          <w:bCs/>
          <w:sz w:val="22"/>
        </w:rPr>
        <w:t xml:space="preserve"> </w:t>
      </w:r>
      <w:r w:rsidR="00581993">
        <w:rPr>
          <w:rFonts w:cstheme="minorHAnsi"/>
          <w:b/>
          <w:bCs/>
          <w:sz w:val="22"/>
        </w:rPr>
        <w:t xml:space="preserve">utrzymała się na poziomie roku poprzedniego. </w:t>
      </w:r>
      <w:r w:rsidR="00261864">
        <w:rPr>
          <w:rFonts w:cstheme="minorHAnsi"/>
          <w:b/>
          <w:bCs/>
          <w:sz w:val="22"/>
        </w:rPr>
        <w:t xml:space="preserve">W </w:t>
      </w:r>
      <w:r w:rsidR="00C573A5">
        <w:rPr>
          <w:rFonts w:cstheme="minorHAnsi"/>
          <w:b/>
          <w:bCs/>
          <w:sz w:val="22"/>
        </w:rPr>
        <w:t>2022</w:t>
      </w:r>
      <w:r w:rsidR="00261864">
        <w:rPr>
          <w:rFonts w:cstheme="minorHAnsi"/>
          <w:b/>
          <w:bCs/>
          <w:sz w:val="22"/>
        </w:rPr>
        <w:t xml:space="preserve"> r. wzrosty odnotowały </w:t>
      </w:r>
      <w:r w:rsidR="00C573A5">
        <w:rPr>
          <w:rFonts w:cstheme="minorHAnsi"/>
          <w:b/>
          <w:bCs/>
          <w:sz w:val="22"/>
        </w:rPr>
        <w:t xml:space="preserve"> </w:t>
      </w:r>
      <w:r w:rsidR="00261864">
        <w:rPr>
          <w:rFonts w:cstheme="minorHAnsi"/>
          <w:b/>
          <w:bCs/>
          <w:sz w:val="22"/>
        </w:rPr>
        <w:t xml:space="preserve">pożyczki udzielone w sektorze </w:t>
      </w:r>
      <w:proofErr w:type="spellStart"/>
      <w:r w:rsidR="00261864">
        <w:rPr>
          <w:rFonts w:cstheme="minorHAnsi"/>
          <w:b/>
          <w:bCs/>
          <w:sz w:val="22"/>
        </w:rPr>
        <w:t>pozabankowym</w:t>
      </w:r>
      <w:proofErr w:type="spellEnd"/>
      <w:r w:rsidR="00261864">
        <w:rPr>
          <w:rFonts w:cstheme="minorHAnsi"/>
          <w:b/>
          <w:bCs/>
          <w:sz w:val="22"/>
        </w:rPr>
        <w:t xml:space="preserve"> </w:t>
      </w:r>
      <w:r w:rsidR="007122F9">
        <w:rPr>
          <w:rFonts w:cstheme="minorHAnsi"/>
          <w:b/>
          <w:bCs/>
          <w:sz w:val="22"/>
        </w:rPr>
        <w:t>zarówno wartości</w:t>
      </w:r>
      <w:r w:rsidR="00261864">
        <w:rPr>
          <w:rFonts w:cstheme="minorHAnsi"/>
          <w:b/>
          <w:bCs/>
          <w:sz w:val="22"/>
        </w:rPr>
        <w:t>owo</w:t>
      </w:r>
      <w:r w:rsidR="00C36B08">
        <w:rPr>
          <w:rFonts w:cstheme="minorHAnsi"/>
          <w:b/>
          <w:bCs/>
          <w:sz w:val="22"/>
        </w:rPr>
        <w:t xml:space="preserve"> (+27,0 proc.)</w:t>
      </w:r>
      <w:r w:rsidR="007122F9">
        <w:rPr>
          <w:rFonts w:cstheme="minorHAnsi"/>
          <w:b/>
          <w:bCs/>
          <w:sz w:val="22"/>
        </w:rPr>
        <w:t>, jak i liczb</w:t>
      </w:r>
      <w:r w:rsidR="00261864">
        <w:rPr>
          <w:rFonts w:cstheme="minorHAnsi"/>
          <w:b/>
          <w:bCs/>
          <w:sz w:val="22"/>
        </w:rPr>
        <w:t>owo</w:t>
      </w:r>
      <w:r w:rsidR="00C573A5">
        <w:rPr>
          <w:rFonts w:cstheme="minorHAnsi"/>
          <w:b/>
          <w:bCs/>
          <w:sz w:val="22"/>
        </w:rPr>
        <w:t xml:space="preserve"> </w:t>
      </w:r>
      <w:r w:rsidR="00C36B08">
        <w:rPr>
          <w:rFonts w:cstheme="minorHAnsi"/>
          <w:b/>
          <w:bCs/>
          <w:sz w:val="22"/>
        </w:rPr>
        <w:t>(+22,0 proc.)</w:t>
      </w:r>
      <w:r w:rsidR="00900D1F">
        <w:rPr>
          <w:rFonts w:cstheme="minorHAnsi"/>
          <w:b/>
          <w:bCs/>
          <w:sz w:val="22"/>
        </w:rPr>
        <w:t xml:space="preserve">. </w:t>
      </w:r>
      <w:r w:rsidR="00C36B08">
        <w:rPr>
          <w:rFonts w:cstheme="minorHAnsi"/>
          <w:b/>
          <w:bCs/>
          <w:sz w:val="22"/>
        </w:rPr>
        <w:t xml:space="preserve">- </w:t>
      </w:r>
      <w:r w:rsidR="00C36B08" w:rsidRPr="00C36B08">
        <w:rPr>
          <w:rFonts w:cstheme="minorHAnsi"/>
          <w:b/>
          <w:bCs/>
          <w:i/>
          <w:iCs/>
          <w:sz w:val="22"/>
        </w:rPr>
        <w:t xml:space="preserve">Wbrew obawom z początku </w:t>
      </w:r>
      <w:r w:rsidR="00C36B08">
        <w:rPr>
          <w:rFonts w:cstheme="minorHAnsi"/>
          <w:b/>
          <w:bCs/>
          <w:i/>
          <w:iCs/>
          <w:sz w:val="22"/>
        </w:rPr>
        <w:t>2022 r.</w:t>
      </w:r>
      <w:r w:rsidR="00C36B08" w:rsidRPr="00C36B08">
        <w:rPr>
          <w:rFonts w:cstheme="minorHAnsi"/>
          <w:b/>
          <w:bCs/>
          <w:i/>
          <w:iCs/>
          <w:sz w:val="22"/>
        </w:rPr>
        <w:t xml:space="preserve">, nie wystąpiło </w:t>
      </w:r>
      <w:r w:rsidR="007E23D8">
        <w:rPr>
          <w:rFonts w:cstheme="minorHAnsi"/>
          <w:b/>
          <w:bCs/>
          <w:i/>
          <w:iCs/>
          <w:sz w:val="22"/>
        </w:rPr>
        <w:t>zjawisko</w:t>
      </w:r>
      <w:r w:rsidR="00C36B08" w:rsidRPr="00C36B08">
        <w:rPr>
          <w:rFonts w:cstheme="minorHAnsi"/>
          <w:b/>
          <w:bCs/>
          <w:i/>
          <w:iCs/>
          <w:sz w:val="22"/>
        </w:rPr>
        <w:t xml:space="preserve"> </w:t>
      </w:r>
      <w:r w:rsidR="002A198F">
        <w:rPr>
          <w:rFonts w:cstheme="minorHAnsi"/>
          <w:b/>
          <w:bCs/>
          <w:i/>
          <w:iCs/>
          <w:sz w:val="22"/>
        </w:rPr>
        <w:t xml:space="preserve">istotnego </w:t>
      </w:r>
      <w:r w:rsidR="00D87624">
        <w:rPr>
          <w:rFonts w:cstheme="minorHAnsi"/>
          <w:b/>
          <w:bCs/>
          <w:i/>
          <w:iCs/>
          <w:sz w:val="22"/>
        </w:rPr>
        <w:t>pogorszenia</w:t>
      </w:r>
      <w:r w:rsidR="007E23D8">
        <w:rPr>
          <w:rFonts w:cstheme="minorHAnsi"/>
          <w:b/>
          <w:bCs/>
          <w:i/>
          <w:iCs/>
          <w:sz w:val="22"/>
        </w:rPr>
        <w:t xml:space="preserve"> się</w:t>
      </w:r>
      <w:r w:rsidR="00D87624">
        <w:rPr>
          <w:rFonts w:cstheme="minorHAnsi"/>
          <w:b/>
          <w:bCs/>
          <w:i/>
          <w:iCs/>
          <w:sz w:val="22"/>
        </w:rPr>
        <w:t xml:space="preserve"> </w:t>
      </w:r>
      <w:r w:rsidR="008A281A" w:rsidRPr="00C36B08">
        <w:rPr>
          <w:rFonts w:cstheme="minorHAnsi"/>
          <w:b/>
          <w:bCs/>
          <w:i/>
          <w:iCs/>
          <w:sz w:val="22"/>
        </w:rPr>
        <w:t xml:space="preserve">jakości </w:t>
      </w:r>
      <w:r w:rsidR="00D87624">
        <w:rPr>
          <w:rFonts w:cstheme="minorHAnsi"/>
          <w:b/>
          <w:bCs/>
          <w:i/>
          <w:iCs/>
          <w:sz w:val="22"/>
        </w:rPr>
        <w:t>portfela</w:t>
      </w:r>
      <w:r w:rsidR="00C36B08" w:rsidRPr="00C36B08">
        <w:rPr>
          <w:rFonts w:cstheme="minorHAnsi"/>
          <w:b/>
          <w:bCs/>
          <w:i/>
          <w:iCs/>
          <w:sz w:val="22"/>
        </w:rPr>
        <w:t xml:space="preserve"> kredytów</w:t>
      </w:r>
      <w:r w:rsidR="00C36B08">
        <w:rPr>
          <w:rFonts w:cstheme="minorHAnsi"/>
          <w:b/>
          <w:bCs/>
          <w:sz w:val="22"/>
        </w:rPr>
        <w:t xml:space="preserve"> – </w:t>
      </w:r>
      <w:r w:rsidR="00185B94">
        <w:rPr>
          <w:rFonts w:cstheme="minorHAnsi"/>
          <w:b/>
          <w:bCs/>
          <w:sz w:val="22"/>
        </w:rPr>
        <w:t>zauważa</w:t>
      </w:r>
      <w:r w:rsidR="00C36B08">
        <w:rPr>
          <w:rFonts w:cstheme="minorHAnsi"/>
          <w:b/>
          <w:bCs/>
          <w:sz w:val="22"/>
        </w:rPr>
        <w:t xml:space="preserve"> </w:t>
      </w:r>
      <w:r w:rsidR="003A0E17">
        <w:rPr>
          <w:rFonts w:cstheme="minorHAnsi"/>
          <w:b/>
          <w:bCs/>
          <w:sz w:val="22"/>
        </w:rPr>
        <w:t>P</w:t>
      </w:r>
      <w:r w:rsidR="00C36B08">
        <w:rPr>
          <w:rFonts w:cstheme="minorHAnsi"/>
          <w:b/>
          <w:bCs/>
          <w:sz w:val="22"/>
        </w:rPr>
        <w:t>rezes BIK i przedstawia analizę zjawisk</w:t>
      </w:r>
      <w:r w:rsidR="00A331E9">
        <w:rPr>
          <w:rFonts w:cstheme="minorHAnsi"/>
          <w:b/>
          <w:bCs/>
          <w:sz w:val="22"/>
        </w:rPr>
        <w:t xml:space="preserve"> </w:t>
      </w:r>
      <w:r w:rsidR="00C36B08">
        <w:rPr>
          <w:rFonts w:cstheme="minorHAnsi"/>
          <w:b/>
          <w:bCs/>
          <w:sz w:val="22"/>
        </w:rPr>
        <w:t>na rynku kredytowym.</w:t>
      </w:r>
    </w:p>
    <w:p w14:paraId="08240C10" w14:textId="77777777" w:rsidR="00900D1F" w:rsidRDefault="00900D1F" w:rsidP="001D3DE7">
      <w:pPr>
        <w:jc w:val="both"/>
        <w:rPr>
          <w:rFonts w:cstheme="minorHAnsi"/>
          <w:b/>
          <w:bCs/>
          <w:sz w:val="22"/>
        </w:rPr>
      </w:pPr>
    </w:p>
    <w:p w14:paraId="3C2113A2" w14:textId="7EA0137D" w:rsidR="000A6F07" w:rsidRDefault="000A6F07" w:rsidP="000A6F07">
      <w:pPr>
        <w:jc w:val="both"/>
        <w:rPr>
          <w:rFonts w:cstheme="minorHAnsi"/>
          <w:sz w:val="22"/>
        </w:rPr>
      </w:pPr>
      <w:r w:rsidRPr="009D1E8B">
        <w:rPr>
          <w:rFonts w:cstheme="minorHAnsi"/>
          <w:sz w:val="22"/>
        </w:rPr>
        <w:t>W całym 202</w:t>
      </w:r>
      <w:r>
        <w:rPr>
          <w:rFonts w:cstheme="minorHAnsi"/>
          <w:sz w:val="22"/>
        </w:rPr>
        <w:t>2</w:t>
      </w:r>
      <w:r w:rsidRPr="009D1E8B">
        <w:rPr>
          <w:rFonts w:cstheme="minorHAnsi"/>
          <w:sz w:val="22"/>
        </w:rPr>
        <w:t xml:space="preserve"> r. banki i SKOK-i udzieliły</w:t>
      </w:r>
      <w:r>
        <w:rPr>
          <w:rFonts w:cstheme="minorHAnsi"/>
          <w:sz w:val="22"/>
        </w:rPr>
        <w:t xml:space="preserve"> k</w:t>
      </w:r>
      <w:r w:rsidRPr="009D1E8B">
        <w:rPr>
          <w:rFonts w:cstheme="minorHAnsi"/>
          <w:sz w:val="22"/>
        </w:rPr>
        <w:t xml:space="preserve">redytów </w:t>
      </w:r>
      <w:r>
        <w:rPr>
          <w:rFonts w:cstheme="minorHAnsi"/>
          <w:sz w:val="22"/>
        </w:rPr>
        <w:t xml:space="preserve">gotówkowych na kwotę 64,9 mld zł (-2,4 proc.), </w:t>
      </w:r>
      <w:r w:rsidRPr="009D1E8B">
        <w:rPr>
          <w:rFonts w:cstheme="minorHAnsi"/>
          <w:sz w:val="22"/>
        </w:rPr>
        <w:t xml:space="preserve">mieszkaniowych na kwotę </w:t>
      </w:r>
      <w:r>
        <w:rPr>
          <w:rFonts w:cstheme="minorHAnsi"/>
          <w:sz w:val="22"/>
        </w:rPr>
        <w:t>45,4</w:t>
      </w:r>
      <w:r w:rsidRPr="009D1E8B">
        <w:rPr>
          <w:rFonts w:cstheme="minorHAnsi"/>
          <w:sz w:val="22"/>
        </w:rPr>
        <w:t xml:space="preserve"> mld zł (</w:t>
      </w:r>
      <w:r>
        <w:rPr>
          <w:rFonts w:cstheme="minorHAnsi"/>
          <w:sz w:val="22"/>
        </w:rPr>
        <w:t xml:space="preserve">-49,1 proc.) oraz </w:t>
      </w:r>
      <w:r w:rsidRPr="009D1E8B">
        <w:rPr>
          <w:rFonts w:cstheme="minorHAnsi"/>
          <w:sz w:val="22"/>
        </w:rPr>
        <w:t>kredytów ratalnych</w:t>
      </w:r>
      <w:r w:rsidRPr="008B5C6E">
        <w:rPr>
          <w:rFonts w:cstheme="minorHAnsi"/>
          <w:sz w:val="22"/>
        </w:rPr>
        <w:t xml:space="preserve"> </w:t>
      </w:r>
      <w:r w:rsidRPr="009D1E8B">
        <w:rPr>
          <w:rFonts w:cstheme="minorHAnsi"/>
          <w:sz w:val="22"/>
        </w:rPr>
        <w:t>na kwotę 18,0 mld zł (</w:t>
      </w:r>
      <w:r w:rsidR="00F8380F">
        <w:rPr>
          <w:rFonts w:cstheme="minorHAnsi"/>
          <w:sz w:val="22"/>
        </w:rPr>
        <w:t>-</w:t>
      </w:r>
      <w:r>
        <w:rPr>
          <w:rFonts w:cstheme="minorHAnsi"/>
          <w:sz w:val="22"/>
        </w:rPr>
        <w:t>0,3 proc.</w:t>
      </w:r>
      <w:r w:rsidRPr="009D1E8B">
        <w:rPr>
          <w:rFonts w:cstheme="minorHAnsi"/>
          <w:sz w:val="22"/>
        </w:rPr>
        <w:t>)</w:t>
      </w:r>
      <w:r>
        <w:rPr>
          <w:rFonts w:cstheme="minorHAnsi"/>
          <w:sz w:val="22"/>
        </w:rPr>
        <w:t xml:space="preserve">. Wartość </w:t>
      </w:r>
      <w:r w:rsidR="00F76F29">
        <w:rPr>
          <w:rFonts w:cstheme="minorHAnsi"/>
          <w:sz w:val="22"/>
        </w:rPr>
        <w:t xml:space="preserve">udzielonych </w:t>
      </w:r>
      <w:r>
        <w:rPr>
          <w:rFonts w:cstheme="minorHAnsi"/>
          <w:sz w:val="22"/>
        </w:rPr>
        <w:t xml:space="preserve">pożyczek </w:t>
      </w:r>
      <w:proofErr w:type="spellStart"/>
      <w:r>
        <w:rPr>
          <w:rFonts w:cstheme="minorHAnsi"/>
          <w:sz w:val="22"/>
        </w:rPr>
        <w:t>pozabankowych</w:t>
      </w:r>
      <w:proofErr w:type="spellEnd"/>
      <w:r>
        <w:rPr>
          <w:rFonts w:cstheme="minorHAnsi"/>
          <w:sz w:val="22"/>
        </w:rPr>
        <w:t xml:space="preserve"> osiągnęła 9,1 mld zł (+27,0 proc).</w:t>
      </w:r>
    </w:p>
    <w:p w14:paraId="27E802CE" w14:textId="77777777" w:rsidR="00E17AF7" w:rsidRDefault="00E17AF7" w:rsidP="00FB22E4">
      <w:pPr>
        <w:jc w:val="both"/>
        <w:rPr>
          <w:rFonts w:cstheme="minorHAnsi"/>
          <w:sz w:val="22"/>
        </w:rPr>
      </w:pPr>
      <w:bookmarkStart w:id="1" w:name="_Hlk125462433"/>
    </w:p>
    <w:p w14:paraId="749E888F" w14:textId="5B13F698" w:rsidR="00FB22E4" w:rsidRDefault="009052A4" w:rsidP="00FB22E4">
      <w:pPr>
        <w:jc w:val="both"/>
        <w:rPr>
          <w:sz w:val="22"/>
        </w:rPr>
      </w:pPr>
      <w:r>
        <w:rPr>
          <w:rFonts w:cstheme="minorHAnsi"/>
          <w:sz w:val="22"/>
        </w:rPr>
        <w:t>Ł</w:t>
      </w:r>
      <w:r w:rsidR="00FB22E4">
        <w:rPr>
          <w:rFonts w:cstheme="minorHAnsi"/>
          <w:sz w:val="22"/>
        </w:rPr>
        <w:t>ączne zadłużenie na koniec 2022 r. wynosił</w:t>
      </w:r>
      <w:r w:rsidR="0083379A">
        <w:rPr>
          <w:rFonts w:cstheme="minorHAnsi"/>
          <w:sz w:val="22"/>
        </w:rPr>
        <w:t>o</w:t>
      </w:r>
      <w:r w:rsidR="00FB22E4">
        <w:rPr>
          <w:rFonts w:cstheme="minorHAnsi"/>
          <w:sz w:val="22"/>
        </w:rPr>
        <w:t xml:space="preserve"> 7</w:t>
      </w:r>
      <w:r w:rsidR="000F069D">
        <w:rPr>
          <w:rFonts w:cstheme="minorHAnsi"/>
          <w:sz w:val="22"/>
        </w:rPr>
        <w:t xml:space="preserve">24 </w:t>
      </w:r>
      <w:r w:rsidR="00FB22E4">
        <w:rPr>
          <w:rFonts w:cstheme="minorHAnsi"/>
          <w:sz w:val="22"/>
        </w:rPr>
        <w:t xml:space="preserve">mld zł i </w:t>
      </w:r>
      <w:r w:rsidR="00185B94">
        <w:rPr>
          <w:rFonts w:cstheme="minorHAnsi"/>
          <w:sz w:val="22"/>
        </w:rPr>
        <w:t>zmalał</w:t>
      </w:r>
      <w:r w:rsidR="0083379A">
        <w:rPr>
          <w:rFonts w:cstheme="minorHAnsi"/>
          <w:sz w:val="22"/>
        </w:rPr>
        <w:t>o</w:t>
      </w:r>
      <w:r w:rsidR="00FB22E4">
        <w:rPr>
          <w:rFonts w:cstheme="minorHAnsi"/>
          <w:sz w:val="22"/>
        </w:rPr>
        <w:t xml:space="preserve"> </w:t>
      </w:r>
      <w:r w:rsidR="000F069D">
        <w:rPr>
          <w:rFonts w:cstheme="minorHAnsi"/>
          <w:sz w:val="22"/>
        </w:rPr>
        <w:t>o 13</w:t>
      </w:r>
      <w:r w:rsidR="00E17AF7">
        <w:rPr>
          <w:rFonts w:cstheme="minorHAnsi"/>
          <w:sz w:val="22"/>
        </w:rPr>
        <w:t>,4</w:t>
      </w:r>
      <w:r w:rsidR="000F069D">
        <w:rPr>
          <w:rFonts w:cstheme="minorHAnsi"/>
          <w:sz w:val="22"/>
        </w:rPr>
        <w:t xml:space="preserve"> mld </w:t>
      </w:r>
      <w:r w:rsidR="00FB22E4">
        <w:rPr>
          <w:rFonts w:cstheme="minorHAnsi"/>
          <w:sz w:val="22"/>
        </w:rPr>
        <w:t xml:space="preserve">zł w porównaniu do 2021 r. </w:t>
      </w:r>
    </w:p>
    <w:bookmarkEnd w:id="1"/>
    <w:p w14:paraId="276FEDA3" w14:textId="1F1010ED" w:rsidR="00F55224" w:rsidRPr="00D70309" w:rsidRDefault="00F55224" w:rsidP="002A60EE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- </w:t>
      </w:r>
      <w:r w:rsidR="002A60EE" w:rsidRPr="00F8380F">
        <w:rPr>
          <w:rFonts w:cstheme="minorHAnsi"/>
          <w:i/>
          <w:iCs/>
          <w:sz w:val="22"/>
        </w:rPr>
        <w:t xml:space="preserve">Tak wyraźny spadek wartości kredytów bankowych o </w:t>
      </w:r>
      <w:r w:rsidR="00E17AF7">
        <w:rPr>
          <w:rFonts w:cstheme="minorHAnsi"/>
          <w:i/>
          <w:iCs/>
          <w:sz w:val="22"/>
        </w:rPr>
        <w:t xml:space="preserve">ponad </w:t>
      </w:r>
      <w:r w:rsidR="002A60EE" w:rsidRPr="00F8380F">
        <w:rPr>
          <w:rFonts w:cstheme="minorHAnsi"/>
          <w:i/>
          <w:iCs/>
          <w:sz w:val="22"/>
        </w:rPr>
        <w:t xml:space="preserve">13 mld zł rok do roku nie był dotychczas odnotowany. </w:t>
      </w:r>
      <w:r w:rsidR="009A73B5">
        <w:rPr>
          <w:rFonts w:cstheme="minorHAnsi"/>
          <w:i/>
          <w:iCs/>
          <w:sz w:val="22"/>
        </w:rPr>
        <w:t xml:space="preserve">Zdecydował o tym niższy </w:t>
      </w:r>
      <w:r w:rsidR="0049251C" w:rsidRPr="0049251C">
        <w:rPr>
          <w:rFonts w:cstheme="minorHAnsi"/>
          <w:i/>
          <w:iCs/>
          <w:sz w:val="22"/>
        </w:rPr>
        <w:t>o</w:t>
      </w:r>
      <w:r w:rsidR="00925A30" w:rsidRPr="0049251C">
        <w:rPr>
          <w:rFonts w:cstheme="minorHAnsi"/>
          <w:i/>
          <w:iCs/>
          <w:sz w:val="22"/>
        </w:rPr>
        <w:t xml:space="preserve"> 11,8 mld zł </w:t>
      </w:r>
      <w:r w:rsidR="00925A30">
        <w:rPr>
          <w:rFonts w:cstheme="minorHAnsi"/>
          <w:i/>
          <w:iCs/>
          <w:sz w:val="22"/>
        </w:rPr>
        <w:t xml:space="preserve">portfel kredytów mieszkaniowych. </w:t>
      </w:r>
      <w:bookmarkStart w:id="2" w:name="_Hlk125464141"/>
      <w:r w:rsidR="00925A30">
        <w:rPr>
          <w:rFonts w:cstheme="minorHAnsi"/>
          <w:i/>
          <w:iCs/>
          <w:sz w:val="22"/>
        </w:rPr>
        <w:t xml:space="preserve">Spadek ten był wynikiem </w:t>
      </w:r>
      <w:r w:rsidR="0083379A">
        <w:rPr>
          <w:rFonts w:cstheme="minorHAnsi"/>
          <w:i/>
          <w:iCs/>
          <w:sz w:val="22"/>
        </w:rPr>
        <w:t xml:space="preserve">gwałtownego </w:t>
      </w:r>
      <w:r w:rsidR="0049251C" w:rsidRPr="0049251C">
        <w:rPr>
          <w:rFonts w:cstheme="minorHAnsi"/>
          <w:i/>
          <w:iCs/>
          <w:sz w:val="22"/>
        </w:rPr>
        <w:t>wyhamowani</w:t>
      </w:r>
      <w:r w:rsidR="00925A30">
        <w:rPr>
          <w:rFonts w:cstheme="minorHAnsi"/>
          <w:i/>
          <w:iCs/>
          <w:sz w:val="22"/>
        </w:rPr>
        <w:t>a</w:t>
      </w:r>
      <w:r w:rsidR="0049251C" w:rsidRPr="0049251C">
        <w:rPr>
          <w:rFonts w:cstheme="minorHAnsi"/>
          <w:i/>
          <w:iCs/>
          <w:sz w:val="22"/>
        </w:rPr>
        <w:t xml:space="preserve"> </w:t>
      </w:r>
      <w:r w:rsidR="00925A30">
        <w:rPr>
          <w:rFonts w:cstheme="minorHAnsi"/>
          <w:i/>
          <w:iCs/>
          <w:sz w:val="22"/>
        </w:rPr>
        <w:t>akcji kredytowej w 2022 r</w:t>
      </w:r>
      <w:bookmarkStart w:id="3" w:name="_Hlk125464088"/>
      <w:r w:rsidR="00925A30">
        <w:rPr>
          <w:rFonts w:cstheme="minorHAnsi"/>
          <w:i/>
          <w:iCs/>
          <w:sz w:val="22"/>
        </w:rPr>
        <w:t>.</w:t>
      </w:r>
      <w:r w:rsidR="009A73B5">
        <w:rPr>
          <w:rFonts w:cstheme="minorHAnsi"/>
          <w:i/>
          <w:iCs/>
          <w:sz w:val="22"/>
        </w:rPr>
        <w:t xml:space="preserve">, spowodowanego m.in. </w:t>
      </w:r>
      <w:r w:rsidR="002F2B2E">
        <w:rPr>
          <w:rFonts w:cstheme="minorHAnsi"/>
          <w:i/>
          <w:iCs/>
          <w:sz w:val="22"/>
        </w:rPr>
        <w:t xml:space="preserve">obniżeniem </w:t>
      </w:r>
      <w:r w:rsidR="00E16ED6">
        <w:rPr>
          <w:rFonts w:cstheme="minorHAnsi"/>
          <w:i/>
          <w:iCs/>
          <w:sz w:val="22"/>
        </w:rPr>
        <w:t>zdolności kredytowej</w:t>
      </w:r>
      <w:r w:rsidR="009A73B5">
        <w:rPr>
          <w:rFonts w:cstheme="minorHAnsi"/>
          <w:i/>
          <w:iCs/>
          <w:sz w:val="22"/>
        </w:rPr>
        <w:t xml:space="preserve"> </w:t>
      </w:r>
      <w:bookmarkEnd w:id="3"/>
      <w:r w:rsidR="009A73B5">
        <w:rPr>
          <w:rFonts w:cstheme="minorHAnsi"/>
          <w:i/>
          <w:iCs/>
          <w:sz w:val="22"/>
        </w:rPr>
        <w:t>Polaków</w:t>
      </w:r>
      <w:r w:rsidR="00E16ED6">
        <w:rPr>
          <w:rFonts w:cstheme="minorHAnsi"/>
          <w:i/>
          <w:iCs/>
          <w:sz w:val="22"/>
        </w:rPr>
        <w:t xml:space="preserve">. </w:t>
      </w:r>
      <w:bookmarkEnd w:id="2"/>
      <w:r w:rsidR="00E16ED6">
        <w:rPr>
          <w:rFonts w:cstheme="minorHAnsi"/>
          <w:i/>
          <w:iCs/>
          <w:sz w:val="22"/>
        </w:rPr>
        <w:t>W</w:t>
      </w:r>
      <w:r w:rsidR="00925A30">
        <w:rPr>
          <w:rFonts w:cstheme="minorHAnsi"/>
          <w:i/>
          <w:iCs/>
          <w:sz w:val="22"/>
        </w:rPr>
        <w:t xml:space="preserve">artość </w:t>
      </w:r>
      <w:r w:rsidR="0049251C" w:rsidRPr="0049251C">
        <w:rPr>
          <w:rFonts w:cstheme="minorHAnsi"/>
          <w:i/>
          <w:iCs/>
          <w:sz w:val="22"/>
        </w:rPr>
        <w:t xml:space="preserve">nowo </w:t>
      </w:r>
      <w:r w:rsidR="009A73B5">
        <w:rPr>
          <w:rFonts w:cstheme="minorHAnsi"/>
          <w:i/>
          <w:iCs/>
          <w:sz w:val="22"/>
        </w:rPr>
        <w:t>udzielonych</w:t>
      </w:r>
      <w:r w:rsidR="009A73B5" w:rsidRPr="0049251C">
        <w:rPr>
          <w:rFonts w:cstheme="minorHAnsi"/>
          <w:i/>
          <w:iCs/>
          <w:sz w:val="22"/>
        </w:rPr>
        <w:t xml:space="preserve"> </w:t>
      </w:r>
      <w:r w:rsidR="0049251C" w:rsidRPr="0049251C">
        <w:rPr>
          <w:rFonts w:cstheme="minorHAnsi"/>
          <w:i/>
          <w:iCs/>
          <w:sz w:val="22"/>
        </w:rPr>
        <w:t>kredytów mieszkaniowych</w:t>
      </w:r>
      <w:r w:rsidR="00925A30">
        <w:rPr>
          <w:rFonts w:cstheme="minorHAnsi"/>
          <w:i/>
          <w:iCs/>
          <w:sz w:val="22"/>
        </w:rPr>
        <w:t xml:space="preserve"> była niższa</w:t>
      </w:r>
      <w:r w:rsidR="00185B94">
        <w:rPr>
          <w:rFonts w:cstheme="minorHAnsi"/>
          <w:i/>
          <w:iCs/>
          <w:sz w:val="22"/>
        </w:rPr>
        <w:t xml:space="preserve"> o </w:t>
      </w:r>
      <w:r w:rsidR="00E17AF7">
        <w:rPr>
          <w:rFonts w:cstheme="minorHAnsi"/>
          <w:i/>
          <w:iCs/>
          <w:sz w:val="22"/>
        </w:rPr>
        <w:t xml:space="preserve">prawie 44 </w:t>
      </w:r>
      <w:r w:rsidR="00925A30">
        <w:rPr>
          <w:rFonts w:cstheme="minorHAnsi"/>
          <w:i/>
          <w:iCs/>
          <w:sz w:val="22"/>
        </w:rPr>
        <w:t xml:space="preserve">mld zł </w:t>
      </w:r>
      <w:r w:rsidR="00925A30" w:rsidRPr="0049251C">
        <w:rPr>
          <w:rFonts w:cstheme="minorHAnsi"/>
          <w:i/>
          <w:iCs/>
          <w:sz w:val="22"/>
        </w:rPr>
        <w:t xml:space="preserve">w stosunku do </w:t>
      </w:r>
      <w:r w:rsidR="00925A30">
        <w:rPr>
          <w:rFonts w:cstheme="minorHAnsi"/>
          <w:i/>
          <w:iCs/>
          <w:sz w:val="22"/>
        </w:rPr>
        <w:t xml:space="preserve">rekordowego </w:t>
      </w:r>
      <w:r w:rsidR="00925A30" w:rsidRPr="0049251C">
        <w:rPr>
          <w:rFonts w:cstheme="minorHAnsi"/>
          <w:i/>
          <w:iCs/>
          <w:sz w:val="22"/>
        </w:rPr>
        <w:t>2021 r.</w:t>
      </w:r>
      <w:r w:rsidR="0049251C" w:rsidRPr="0049251C">
        <w:rPr>
          <w:rFonts w:cstheme="minorHAnsi"/>
          <w:i/>
          <w:iCs/>
          <w:sz w:val="22"/>
        </w:rPr>
        <w:t xml:space="preserve"> </w:t>
      </w:r>
      <w:r w:rsidR="0073466F">
        <w:rPr>
          <w:rFonts w:cstheme="minorHAnsi"/>
          <w:i/>
          <w:iCs/>
          <w:sz w:val="22"/>
        </w:rPr>
        <w:t xml:space="preserve">Drugim powodem </w:t>
      </w:r>
      <w:r w:rsidR="009A73B5">
        <w:rPr>
          <w:rFonts w:cstheme="minorHAnsi"/>
          <w:i/>
          <w:iCs/>
          <w:sz w:val="22"/>
        </w:rPr>
        <w:t xml:space="preserve">redukcji portfela </w:t>
      </w:r>
      <w:r w:rsidR="0073466F">
        <w:rPr>
          <w:rFonts w:cstheme="minorHAnsi"/>
          <w:i/>
          <w:iCs/>
          <w:sz w:val="22"/>
        </w:rPr>
        <w:t xml:space="preserve">był </w:t>
      </w:r>
      <w:r w:rsidR="00AF1456">
        <w:rPr>
          <w:rFonts w:cstheme="minorHAnsi"/>
          <w:i/>
          <w:iCs/>
          <w:sz w:val="22"/>
        </w:rPr>
        <w:t xml:space="preserve">prawie dwukrotny </w:t>
      </w:r>
      <w:r w:rsidR="0073466F">
        <w:rPr>
          <w:rFonts w:cstheme="minorHAnsi"/>
          <w:i/>
          <w:iCs/>
          <w:sz w:val="22"/>
        </w:rPr>
        <w:t>wzrost wartości nadpłat i całkowitych spłat kredytów mieszkaniowych</w:t>
      </w:r>
      <w:r w:rsidR="00174407">
        <w:rPr>
          <w:rFonts w:cstheme="minorHAnsi"/>
          <w:i/>
          <w:iCs/>
          <w:sz w:val="22"/>
        </w:rPr>
        <w:t xml:space="preserve"> przez kredytobiorców</w:t>
      </w:r>
      <w:r w:rsidR="00AF1456">
        <w:rPr>
          <w:rFonts w:cstheme="minorHAnsi"/>
          <w:i/>
          <w:iCs/>
          <w:sz w:val="22"/>
        </w:rPr>
        <w:t>,</w:t>
      </w:r>
      <w:r w:rsidR="0083379A">
        <w:rPr>
          <w:rFonts w:cstheme="minorHAnsi"/>
          <w:i/>
          <w:iCs/>
          <w:sz w:val="22"/>
        </w:rPr>
        <w:t xml:space="preserve"> </w:t>
      </w:r>
      <w:r w:rsidR="004B116E">
        <w:rPr>
          <w:rFonts w:cstheme="minorHAnsi"/>
          <w:i/>
          <w:iCs/>
          <w:sz w:val="22"/>
        </w:rPr>
        <w:t>na kwotę 52</w:t>
      </w:r>
      <w:r w:rsidR="00C208FB">
        <w:rPr>
          <w:rFonts w:cstheme="minorHAnsi"/>
          <w:i/>
          <w:iCs/>
          <w:sz w:val="22"/>
        </w:rPr>
        <w:t>,4</w:t>
      </w:r>
      <w:r w:rsidR="004B116E">
        <w:rPr>
          <w:rFonts w:cstheme="minorHAnsi"/>
          <w:i/>
          <w:iCs/>
          <w:sz w:val="22"/>
        </w:rPr>
        <w:t xml:space="preserve"> mld</w:t>
      </w:r>
      <w:r w:rsidR="00174407">
        <w:rPr>
          <w:rFonts w:cstheme="minorHAnsi"/>
          <w:i/>
          <w:iCs/>
          <w:sz w:val="22"/>
        </w:rPr>
        <w:t xml:space="preserve"> zł </w:t>
      </w:r>
      <w:r w:rsidR="0073466F">
        <w:rPr>
          <w:rFonts w:cstheme="minorHAnsi"/>
          <w:i/>
          <w:iCs/>
          <w:sz w:val="22"/>
        </w:rPr>
        <w:t xml:space="preserve">- </w:t>
      </w:r>
      <w:r w:rsidR="0049251C" w:rsidRPr="00D70309">
        <w:rPr>
          <w:rFonts w:cstheme="minorHAnsi"/>
          <w:sz w:val="22"/>
        </w:rPr>
        <w:t xml:space="preserve">wskazuje dr </w:t>
      </w:r>
      <w:r w:rsidR="00D70309">
        <w:rPr>
          <w:rFonts w:cstheme="minorHAnsi"/>
          <w:sz w:val="22"/>
        </w:rPr>
        <w:t>M</w:t>
      </w:r>
      <w:r w:rsidR="0049251C" w:rsidRPr="00D70309">
        <w:rPr>
          <w:rFonts w:cstheme="minorHAnsi"/>
          <w:sz w:val="22"/>
        </w:rPr>
        <w:t xml:space="preserve">ariusz Cholewa, prezes Zarządu BIK S.A. </w:t>
      </w:r>
    </w:p>
    <w:p w14:paraId="120A1DF0" w14:textId="28CC8000" w:rsidR="00D70309" w:rsidRDefault="00D70309" w:rsidP="00B5238E">
      <w:pPr>
        <w:jc w:val="both"/>
        <w:rPr>
          <w:sz w:val="22"/>
        </w:rPr>
      </w:pPr>
    </w:p>
    <w:p w14:paraId="6E3FA059" w14:textId="1F9C8C41" w:rsidR="009F4BCD" w:rsidRDefault="00AF1456" w:rsidP="000B0502">
      <w:pPr>
        <w:jc w:val="both"/>
        <w:rPr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>W 2023 r. o</w:t>
      </w:r>
      <w:r w:rsidR="009F4BCD">
        <w:rPr>
          <w:rFonts w:cstheme="minorHAnsi"/>
          <w:b/>
          <w:bCs/>
          <w:sz w:val="22"/>
        </w:rPr>
        <w:t xml:space="preserve"> 1/3 </w:t>
      </w:r>
      <w:r>
        <w:rPr>
          <w:rFonts w:cstheme="minorHAnsi"/>
          <w:b/>
          <w:bCs/>
          <w:sz w:val="22"/>
        </w:rPr>
        <w:t xml:space="preserve">spadnie </w:t>
      </w:r>
      <w:r w:rsidR="009F4BCD">
        <w:rPr>
          <w:rFonts w:cstheme="minorHAnsi"/>
          <w:b/>
          <w:bCs/>
          <w:sz w:val="22"/>
        </w:rPr>
        <w:t xml:space="preserve">wartość </w:t>
      </w:r>
      <w:r w:rsidR="00252B24">
        <w:rPr>
          <w:rFonts w:cstheme="minorHAnsi"/>
          <w:b/>
          <w:bCs/>
          <w:sz w:val="22"/>
        </w:rPr>
        <w:t xml:space="preserve">udzielonych </w:t>
      </w:r>
      <w:r w:rsidR="009F4BCD">
        <w:rPr>
          <w:rFonts w:cstheme="minorHAnsi"/>
          <w:b/>
          <w:bCs/>
          <w:sz w:val="22"/>
        </w:rPr>
        <w:t xml:space="preserve">kredytów mieszkaniowych </w:t>
      </w:r>
    </w:p>
    <w:p w14:paraId="3C616BCA" w14:textId="77777777" w:rsidR="00FC4D83" w:rsidRDefault="00FC4D83" w:rsidP="000B0502">
      <w:pPr>
        <w:jc w:val="both"/>
        <w:rPr>
          <w:rFonts w:cstheme="minorHAnsi"/>
          <w:sz w:val="22"/>
        </w:rPr>
      </w:pPr>
    </w:p>
    <w:p w14:paraId="276063FF" w14:textId="6AB5F527" w:rsidR="00E26720" w:rsidRPr="00E26720" w:rsidRDefault="00E26720" w:rsidP="00E26720">
      <w:pPr>
        <w:jc w:val="both"/>
        <w:rPr>
          <w:rFonts w:cstheme="minorHAnsi"/>
          <w:sz w:val="22"/>
        </w:rPr>
      </w:pPr>
      <w:r w:rsidRPr="00E26720">
        <w:rPr>
          <w:rFonts w:cstheme="minorHAnsi"/>
          <w:sz w:val="22"/>
        </w:rPr>
        <w:t xml:space="preserve">Wartość akcji kredytowej w </w:t>
      </w:r>
      <w:r w:rsidR="00AF1456">
        <w:rPr>
          <w:rFonts w:cstheme="minorHAnsi"/>
          <w:sz w:val="22"/>
        </w:rPr>
        <w:t xml:space="preserve">2022 r. </w:t>
      </w:r>
      <w:r w:rsidRPr="00E26720">
        <w:rPr>
          <w:rFonts w:cstheme="minorHAnsi"/>
          <w:sz w:val="22"/>
        </w:rPr>
        <w:t xml:space="preserve">spadła blisko o połowę. Również o ponad połowę spadła liczba udzielonych kredytów mieszkaniowych. </w:t>
      </w:r>
    </w:p>
    <w:p w14:paraId="37E8F126" w14:textId="3A62DCF1" w:rsidR="00E26720" w:rsidRDefault="00E26720" w:rsidP="00E26720">
      <w:pPr>
        <w:jc w:val="both"/>
        <w:rPr>
          <w:rFonts w:cstheme="minorHAnsi"/>
          <w:sz w:val="22"/>
        </w:rPr>
      </w:pPr>
      <w:r w:rsidRPr="00E26720">
        <w:rPr>
          <w:rFonts w:cstheme="minorHAnsi"/>
          <w:sz w:val="22"/>
        </w:rPr>
        <w:t>Przyczyn tych spadków należy szukać we wzajemnie ze sobą powiązanych zjawiskach: wysokich stopach procentowych</w:t>
      </w:r>
      <w:r w:rsidR="007E463E">
        <w:rPr>
          <w:rFonts w:cstheme="minorHAnsi"/>
          <w:sz w:val="22"/>
        </w:rPr>
        <w:t xml:space="preserve"> oraz </w:t>
      </w:r>
      <w:r w:rsidRPr="00E26720">
        <w:rPr>
          <w:rFonts w:cstheme="minorHAnsi"/>
          <w:sz w:val="22"/>
        </w:rPr>
        <w:t xml:space="preserve">rosnącej inflacji i kosztach utrzymania. Te same czynniki będą determinować sytuację na rynku kredytów mieszkaniowych w </w:t>
      </w:r>
      <w:r>
        <w:rPr>
          <w:rFonts w:cstheme="minorHAnsi"/>
          <w:sz w:val="22"/>
        </w:rPr>
        <w:t>2023 r.</w:t>
      </w:r>
    </w:p>
    <w:p w14:paraId="77BE00B8" w14:textId="77777777" w:rsidR="00E26720" w:rsidRPr="00E26720" w:rsidRDefault="00E26720" w:rsidP="00E26720">
      <w:pPr>
        <w:jc w:val="both"/>
        <w:rPr>
          <w:rFonts w:cstheme="minorHAnsi"/>
          <w:sz w:val="22"/>
        </w:rPr>
      </w:pPr>
    </w:p>
    <w:p w14:paraId="5E5F3A3E" w14:textId="4A412B64" w:rsidR="00E26720" w:rsidRPr="00E26720" w:rsidRDefault="00E26720" w:rsidP="005A205A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- </w:t>
      </w:r>
      <w:r w:rsidRPr="005A205A">
        <w:rPr>
          <w:rFonts w:cstheme="minorHAnsi"/>
          <w:i/>
          <w:iCs/>
          <w:sz w:val="22"/>
        </w:rPr>
        <w:t xml:space="preserve">Ewentualne ożywienie popytu w </w:t>
      </w:r>
      <w:r w:rsidR="0083379A">
        <w:rPr>
          <w:rFonts w:cstheme="minorHAnsi"/>
          <w:i/>
          <w:iCs/>
          <w:sz w:val="22"/>
        </w:rPr>
        <w:t>2023</w:t>
      </w:r>
      <w:r w:rsidR="0083379A" w:rsidRPr="005A205A">
        <w:rPr>
          <w:rFonts w:cstheme="minorHAnsi"/>
          <w:i/>
          <w:iCs/>
          <w:sz w:val="22"/>
        </w:rPr>
        <w:t xml:space="preserve"> </w:t>
      </w:r>
      <w:r w:rsidRPr="005A205A">
        <w:rPr>
          <w:rFonts w:cstheme="minorHAnsi"/>
          <w:i/>
          <w:iCs/>
          <w:sz w:val="22"/>
        </w:rPr>
        <w:t xml:space="preserve">roku byłoby możliwe w przypadku wzrostu zdolności kredytowej, a także stabilizacji cen nieruchomości. Rynek kredytów mieszkaniowych </w:t>
      </w:r>
      <w:r w:rsidR="005A205A" w:rsidRPr="005A205A">
        <w:rPr>
          <w:rFonts w:cstheme="minorHAnsi"/>
          <w:i/>
          <w:iCs/>
          <w:sz w:val="22"/>
        </w:rPr>
        <w:t>mógłby się</w:t>
      </w:r>
      <w:r w:rsidRPr="005A205A">
        <w:rPr>
          <w:rFonts w:cstheme="minorHAnsi"/>
          <w:i/>
          <w:iCs/>
          <w:sz w:val="22"/>
        </w:rPr>
        <w:t xml:space="preserve"> odbudować, gdy</w:t>
      </w:r>
      <w:r w:rsidR="005A205A" w:rsidRPr="005A205A">
        <w:rPr>
          <w:rFonts w:cstheme="minorHAnsi"/>
          <w:i/>
          <w:iCs/>
          <w:sz w:val="22"/>
        </w:rPr>
        <w:t>by</w:t>
      </w:r>
      <w:r w:rsidRPr="005A205A">
        <w:rPr>
          <w:rFonts w:cstheme="minorHAnsi"/>
          <w:i/>
          <w:iCs/>
          <w:sz w:val="22"/>
        </w:rPr>
        <w:t xml:space="preserve"> </w:t>
      </w:r>
      <w:r w:rsidRPr="005A205A">
        <w:rPr>
          <w:rFonts w:cstheme="minorHAnsi"/>
          <w:i/>
          <w:iCs/>
          <w:sz w:val="22"/>
        </w:rPr>
        <w:lastRenderedPageBreak/>
        <w:t>wystąpi</w:t>
      </w:r>
      <w:r w:rsidR="005A205A" w:rsidRPr="005A205A">
        <w:rPr>
          <w:rFonts w:cstheme="minorHAnsi"/>
          <w:i/>
          <w:iCs/>
          <w:sz w:val="22"/>
        </w:rPr>
        <w:t xml:space="preserve">ła </w:t>
      </w:r>
      <w:r w:rsidRPr="005A205A">
        <w:rPr>
          <w:rFonts w:cstheme="minorHAnsi"/>
          <w:i/>
          <w:iCs/>
          <w:sz w:val="22"/>
        </w:rPr>
        <w:t>obniżka stóp procentowych</w:t>
      </w:r>
      <w:r w:rsidR="00A331E9">
        <w:rPr>
          <w:rFonts w:cstheme="minorHAnsi"/>
          <w:i/>
          <w:iCs/>
          <w:sz w:val="22"/>
        </w:rPr>
        <w:t xml:space="preserve"> oraz </w:t>
      </w:r>
      <w:r w:rsidR="00252B24">
        <w:rPr>
          <w:rFonts w:cstheme="minorHAnsi"/>
          <w:i/>
          <w:iCs/>
          <w:sz w:val="22"/>
        </w:rPr>
        <w:t xml:space="preserve">poluzowanie </w:t>
      </w:r>
      <w:r w:rsidR="007E463E">
        <w:rPr>
          <w:rFonts w:cstheme="minorHAnsi"/>
          <w:i/>
          <w:iCs/>
          <w:sz w:val="22"/>
        </w:rPr>
        <w:t>wymogów</w:t>
      </w:r>
      <w:r w:rsidR="00744BD5">
        <w:rPr>
          <w:rFonts w:cstheme="minorHAnsi"/>
          <w:i/>
          <w:iCs/>
          <w:sz w:val="22"/>
        </w:rPr>
        <w:t xml:space="preserve"> regulacyjnych</w:t>
      </w:r>
      <w:r w:rsidR="007E463E">
        <w:rPr>
          <w:rFonts w:cstheme="minorHAnsi"/>
          <w:i/>
          <w:iCs/>
          <w:sz w:val="22"/>
        </w:rPr>
        <w:t xml:space="preserve"> w kontekście </w:t>
      </w:r>
      <w:r w:rsidR="00744BD5">
        <w:rPr>
          <w:rFonts w:cstheme="minorHAnsi"/>
          <w:i/>
          <w:iCs/>
          <w:sz w:val="22"/>
        </w:rPr>
        <w:t>obl</w:t>
      </w:r>
      <w:r w:rsidR="007E463E">
        <w:rPr>
          <w:rFonts w:cstheme="minorHAnsi"/>
          <w:i/>
          <w:iCs/>
          <w:sz w:val="22"/>
        </w:rPr>
        <w:t>icz</w:t>
      </w:r>
      <w:r w:rsidR="00744BD5">
        <w:rPr>
          <w:rFonts w:cstheme="minorHAnsi"/>
          <w:i/>
          <w:iCs/>
          <w:sz w:val="22"/>
        </w:rPr>
        <w:t>a</w:t>
      </w:r>
      <w:r w:rsidR="007E463E">
        <w:rPr>
          <w:rFonts w:cstheme="minorHAnsi"/>
          <w:i/>
          <w:iCs/>
          <w:sz w:val="22"/>
        </w:rPr>
        <w:t>nia</w:t>
      </w:r>
      <w:r w:rsidR="00744BD5">
        <w:rPr>
          <w:rFonts w:cstheme="minorHAnsi"/>
          <w:i/>
          <w:iCs/>
          <w:sz w:val="22"/>
        </w:rPr>
        <w:t xml:space="preserve"> przez banki</w:t>
      </w:r>
      <w:r w:rsidR="007E463E">
        <w:rPr>
          <w:rFonts w:cstheme="minorHAnsi"/>
          <w:i/>
          <w:iCs/>
          <w:sz w:val="22"/>
        </w:rPr>
        <w:t xml:space="preserve"> zdolności kredytowej</w:t>
      </w:r>
      <w:r w:rsidR="00A331E9">
        <w:rPr>
          <w:rFonts w:cstheme="minorHAnsi"/>
          <w:i/>
          <w:iCs/>
          <w:sz w:val="22"/>
        </w:rPr>
        <w:t xml:space="preserve"> - </w:t>
      </w:r>
      <w:r w:rsidR="005A205A" w:rsidRPr="005A205A">
        <w:rPr>
          <w:rFonts w:cstheme="minorHAnsi"/>
          <w:sz w:val="22"/>
        </w:rPr>
        <w:t>mówi prezes BIK</w:t>
      </w:r>
      <w:r w:rsidR="005A205A">
        <w:rPr>
          <w:rFonts w:cstheme="minorHAnsi"/>
          <w:sz w:val="22"/>
        </w:rPr>
        <w:t xml:space="preserve"> i szacuje, że p</w:t>
      </w:r>
      <w:r w:rsidRPr="00E26720">
        <w:rPr>
          <w:rFonts w:cstheme="minorHAnsi"/>
          <w:sz w:val="22"/>
        </w:rPr>
        <w:t>rzy tak zmienny</w:t>
      </w:r>
      <w:r w:rsidR="00534126">
        <w:rPr>
          <w:rFonts w:cstheme="minorHAnsi"/>
          <w:sz w:val="22"/>
        </w:rPr>
        <w:t xml:space="preserve">m otoczeniu </w:t>
      </w:r>
      <w:r w:rsidRPr="00E26720">
        <w:rPr>
          <w:rFonts w:cstheme="minorHAnsi"/>
          <w:sz w:val="22"/>
        </w:rPr>
        <w:t>gospodarczy</w:t>
      </w:r>
      <w:r w:rsidR="00534126">
        <w:rPr>
          <w:rFonts w:cstheme="minorHAnsi"/>
          <w:sz w:val="22"/>
        </w:rPr>
        <w:t>m</w:t>
      </w:r>
      <w:r w:rsidRPr="00E26720">
        <w:rPr>
          <w:rFonts w:cstheme="minorHAnsi"/>
          <w:sz w:val="22"/>
        </w:rPr>
        <w:t xml:space="preserve"> </w:t>
      </w:r>
      <w:r w:rsidR="005A205A" w:rsidRPr="00E26720">
        <w:rPr>
          <w:rFonts w:cstheme="minorHAnsi"/>
          <w:sz w:val="22"/>
        </w:rPr>
        <w:t>tendencj</w:t>
      </w:r>
      <w:r w:rsidR="005A205A">
        <w:rPr>
          <w:rFonts w:cstheme="minorHAnsi"/>
          <w:sz w:val="22"/>
        </w:rPr>
        <w:t>a</w:t>
      </w:r>
      <w:r w:rsidR="005A205A" w:rsidRPr="00E26720">
        <w:rPr>
          <w:rFonts w:cstheme="minorHAnsi"/>
          <w:sz w:val="22"/>
        </w:rPr>
        <w:t xml:space="preserve"> spadkow</w:t>
      </w:r>
      <w:r w:rsidR="005A205A">
        <w:rPr>
          <w:rFonts w:cstheme="minorHAnsi"/>
          <w:sz w:val="22"/>
        </w:rPr>
        <w:t>a</w:t>
      </w:r>
      <w:r w:rsidR="005A205A" w:rsidRPr="00E26720">
        <w:rPr>
          <w:rFonts w:cstheme="minorHAnsi"/>
          <w:sz w:val="22"/>
        </w:rPr>
        <w:t xml:space="preserve"> </w:t>
      </w:r>
      <w:r w:rsidR="005A205A">
        <w:rPr>
          <w:rFonts w:cstheme="minorHAnsi"/>
          <w:sz w:val="22"/>
        </w:rPr>
        <w:t xml:space="preserve">w kredytach mieszkaniowych może </w:t>
      </w:r>
      <w:r w:rsidRPr="00E26720">
        <w:rPr>
          <w:rFonts w:cstheme="minorHAnsi"/>
          <w:sz w:val="22"/>
        </w:rPr>
        <w:t>zatrzyma</w:t>
      </w:r>
      <w:r w:rsidR="005A205A">
        <w:rPr>
          <w:rFonts w:cstheme="minorHAnsi"/>
          <w:sz w:val="22"/>
        </w:rPr>
        <w:t xml:space="preserve">ć się </w:t>
      </w:r>
      <w:r w:rsidRPr="00E26720">
        <w:rPr>
          <w:rFonts w:cstheme="minorHAnsi"/>
          <w:sz w:val="22"/>
        </w:rPr>
        <w:t xml:space="preserve">w </w:t>
      </w:r>
      <w:r w:rsidR="00777B1B">
        <w:rPr>
          <w:rFonts w:cstheme="minorHAnsi"/>
          <w:sz w:val="22"/>
        </w:rPr>
        <w:t>pierwszym</w:t>
      </w:r>
      <w:r w:rsidRPr="00E26720">
        <w:rPr>
          <w:rFonts w:cstheme="minorHAnsi"/>
          <w:sz w:val="22"/>
        </w:rPr>
        <w:t xml:space="preserve"> półroczu</w:t>
      </w:r>
      <w:r w:rsidR="00534126">
        <w:rPr>
          <w:rFonts w:cstheme="minorHAnsi"/>
          <w:sz w:val="22"/>
        </w:rPr>
        <w:t xml:space="preserve">, a w drugim półroczu jest szansa na </w:t>
      </w:r>
      <w:r w:rsidRPr="00E26720">
        <w:rPr>
          <w:rFonts w:cstheme="minorHAnsi"/>
          <w:sz w:val="22"/>
        </w:rPr>
        <w:t>lekki wzrost poziomu akcji kredytowej.</w:t>
      </w:r>
    </w:p>
    <w:p w14:paraId="181F8012" w14:textId="77777777" w:rsidR="00F95D20" w:rsidRDefault="00F95D20" w:rsidP="00534126">
      <w:pPr>
        <w:jc w:val="both"/>
        <w:rPr>
          <w:rFonts w:cstheme="minorHAnsi"/>
          <w:sz w:val="22"/>
        </w:rPr>
      </w:pPr>
    </w:p>
    <w:p w14:paraId="6D075975" w14:textId="23CD2A24" w:rsidR="00E26720" w:rsidRDefault="00534126" w:rsidP="00534126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BIK </w:t>
      </w:r>
      <w:r w:rsidR="005E5F8E">
        <w:rPr>
          <w:rFonts w:cstheme="minorHAnsi"/>
          <w:sz w:val="22"/>
        </w:rPr>
        <w:t xml:space="preserve">w 2023 r. </w:t>
      </w:r>
      <w:r w:rsidR="007E463E">
        <w:rPr>
          <w:rFonts w:cstheme="minorHAnsi"/>
          <w:sz w:val="22"/>
        </w:rPr>
        <w:t xml:space="preserve">szacuje </w:t>
      </w:r>
      <w:r w:rsidR="00E26720" w:rsidRPr="00E26720">
        <w:rPr>
          <w:rFonts w:cstheme="minorHAnsi"/>
          <w:sz w:val="22"/>
        </w:rPr>
        <w:t xml:space="preserve">wartość akcji kredytowej </w:t>
      </w:r>
      <w:r w:rsidR="005E5F8E">
        <w:rPr>
          <w:rFonts w:cstheme="minorHAnsi"/>
          <w:sz w:val="22"/>
        </w:rPr>
        <w:t xml:space="preserve">w segmencie kredytów hipotecznych </w:t>
      </w:r>
      <w:r w:rsidR="005A205A">
        <w:rPr>
          <w:rFonts w:cstheme="minorHAnsi"/>
          <w:sz w:val="22"/>
        </w:rPr>
        <w:t xml:space="preserve">na poziomie </w:t>
      </w:r>
      <w:r w:rsidR="00AF1456">
        <w:rPr>
          <w:rFonts w:cstheme="minorHAnsi"/>
          <w:sz w:val="22"/>
        </w:rPr>
        <w:t>28</w:t>
      </w:r>
      <w:r w:rsidR="00E26720" w:rsidRPr="00E26720">
        <w:rPr>
          <w:rFonts w:cstheme="minorHAnsi"/>
          <w:sz w:val="22"/>
        </w:rPr>
        <w:t xml:space="preserve"> mld zł</w:t>
      </w:r>
      <w:r w:rsidR="005A205A">
        <w:rPr>
          <w:rFonts w:cstheme="minorHAnsi"/>
          <w:sz w:val="22"/>
        </w:rPr>
        <w:t xml:space="preserve"> – </w:t>
      </w:r>
      <w:r>
        <w:rPr>
          <w:rFonts w:cstheme="minorHAnsi"/>
          <w:sz w:val="22"/>
        </w:rPr>
        <w:t>czyli</w:t>
      </w:r>
      <w:r w:rsidR="005A205A">
        <w:rPr>
          <w:rFonts w:cstheme="minorHAnsi"/>
          <w:sz w:val="22"/>
        </w:rPr>
        <w:t xml:space="preserve"> </w:t>
      </w:r>
      <w:r w:rsidR="00E26720" w:rsidRPr="00E26720">
        <w:rPr>
          <w:rFonts w:cstheme="minorHAnsi"/>
          <w:sz w:val="22"/>
        </w:rPr>
        <w:t xml:space="preserve">o </w:t>
      </w:r>
      <w:r w:rsidR="00AF1456">
        <w:rPr>
          <w:rFonts w:cstheme="minorHAnsi"/>
          <w:sz w:val="22"/>
        </w:rPr>
        <w:t>38</w:t>
      </w:r>
      <w:r w:rsidR="005A205A">
        <w:rPr>
          <w:rFonts w:cstheme="minorHAnsi"/>
          <w:sz w:val="22"/>
        </w:rPr>
        <w:t xml:space="preserve"> </w:t>
      </w:r>
      <w:r w:rsidR="00E26720" w:rsidRPr="00E26720">
        <w:rPr>
          <w:rFonts w:cstheme="minorHAnsi"/>
          <w:sz w:val="22"/>
        </w:rPr>
        <w:t xml:space="preserve">proc. </w:t>
      </w:r>
      <w:r w:rsidR="00252B24">
        <w:rPr>
          <w:rFonts w:cstheme="minorHAnsi"/>
          <w:sz w:val="22"/>
        </w:rPr>
        <w:t>niższym</w:t>
      </w:r>
      <w:r w:rsidR="00252B24" w:rsidRPr="00E26720">
        <w:rPr>
          <w:rFonts w:cstheme="minorHAnsi"/>
          <w:sz w:val="22"/>
        </w:rPr>
        <w:t xml:space="preserve"> </w:t>
      </w:r>
      <w:r w:rsidR="00E26720" w:rsidRPr="00E26720">
        <w:rPr>
          <w:rFonts w:cstheme="minorHAnsi"/>
          <w:sz w:val="22"/>
        </w:rPr>
        <w:t xml:space="preserve">niż </w:t>
      </w:r>
      <w:r w:rsidR="005E5F8E">
        <w:rPr>
          <w:rFonts w:cstheme="minorHAnsi"/>
          <w:sz w:val="22"/>
        </w:rPr>
        <w:t xml:space="preserve">w </w:t>
      </w:r>
      <w:r w:rsidR="00E26720" w:rsidRPr="00E26720">
        <w:rPr>
          <w:rFonts w:cstheme="minorHAnsi"/>
          <w:sz w:val="22"/>
        </w:rPr>
        <w:t xml:space="preserve">2022 r. oraz o </w:t>
      </w:r>
      <w:r w:rsidR="00AF1456">
        <w:rPr>
          <w:rFonts w:cstheme="minorHAnsi"/>
          <w:sz w:val="22"/>
        </w:rPr>
        <w:t xml:space="preserve">prawie 70 </w:t>
      </w:r>
      <w:r w:rsidR="00E26720" w:rsidRPr="00E26720">
        <w:rPr>
          <w:rFonts w:cstheme="minorHAnsi"/>
          <w:sz w:val="22"/>
        </w:rPr>
        <w:t>proc.</w:t>
      </w:r>
      <w:r w:rsidR="00252B24">
        <w:rPr>
          <w:rFonts w:cstheme="minorHAnsi"/>
          <w:sz w:val="22"/>
        </w:rPr>
        <w:t xml:space="preserve"> niższym</w:t>
      </w:r>
      <w:r w:rsidR="00E26720" w:rsidRPr="00E26720">
        <w:rPr>
          <w:rFonts w:cstheme="minorHAnsi"/>
          <w:sz w:val="22"/>
        </w:rPr>
        <w:t xml:space="preserve"> niż w rekordowym 2021 r.</w:t>
      </w:r>
    </w:p>
    <w:p w14:paraId="22EF484C" w14:textId="77777777" w:rsidR="0073442F" w:rsidRDefault="0073442F" w:rsidP="000B0502">
      <w:pPr>
        <w:jc w:val="both"/>
        <w:rPr>
          <w:rFonts w:cstheme="minorHAnsi"/>
          <w:sz w:val="22"/>
        </w:rPr>
      </w:pPr>
    </w:p>
    <w:p w14:paraId="5A445EA7" w14:textId="5B591AB2" w:rsidR="00174407" w:rsidRDefault="00174407" w:rsidP="000D3F4C">
      <w:pPr>
        <w:jc w:val="both"/>
        <w:rPr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 xml:space="preserve">Kredyty ratalne w 2023 r. lekko w górę </w:t>
      </w:r>
    </w:p>
    <w:p w14:paraId="6BAE27DE" w14:textId="77777777" w:rsidR="000D3F4C" w:rsidRDefault="000D3F4C" w:rsidP="000B0502">
      <w:pPr>
        <w:jc w:val="both"/>
        <w:rPr>
          <w:rFonts w:cstheme="minorHAnsi"/>
          <w:sz w:val="22"/>
        </w:rPr>
      </w:pPr>
    </w:p>
    <w:p w14:paraId="10523815" w14:textId="5EC562FC" w:rsidR="009C6129" w:rsidRDefault="00AF1456" w:rsidP="00547BB4">
      <w:pPr>
        <w:jc w:val="both"/>
        <w:rPr>
          <w:rFonts w:cstheme="minorHAnsi"/>
          <w:sz w:val="22"/>
        </w:rPr>
      </w:pPr>
      <w:bookmarkStart w:id="4" w:name="_Hlk125442827"/>
      <w:bookmarkStart w:id="5" w:name="_Hlk109725189"/>
      <w:r w:rsidRPr="00AF1456">
        <w:rPr>
          <w:rFonts w:cstheme="minorHAnsi"/>
          <w:sz w:val="22"/>
        </w:rPr>
        <w:t xml:space="preserve">Wartość udzielonych kredytów ratalnych w 2022 r. utrzymała się na poziomie roku poprzedniego. Natomiast ich liczba wzrosła o ponad 1/3. </w:t>
      </w:r>
    </w:p>
    <w:bookmarkEnd w:id="4"/>
    <w:p w14:paraId="6CA7CB76" w14:textId="77777777" w:rsidR="001F2A08" w:rsidRDefault="001F2A08" w:rsidP="001F2A08">
      <w:pPr>
        <w:jc w:val="both"/>
        <w:rPr>
          <w:rFonts w:cstheme="minorHAnsi"/>
          <w:sz w:val="22"/>
        </w:rPr>
      </w:pPr>
    </w:p>
    <w:p w14:paraId="697F3ECA" w14:textId="716E4C8B" w:rsidR="00551F06" w:rsidRDefault="00551F06" w:rsidP="001F2A08">
      <w:pPr>
        <w:jc w:val="both"/>
        <w:rPr>
          <w:rFonts w:cstheme="minorHAnsi"/>
          <w:sz w:val="22"/>
        </w:rPr>
      </w:pPr>
      <w:bookmarkStart w:id="6" w:name="_Hlk125443377"/>
      <w:r>
        <w:rPr>
          <w:rFonts w:cstheme="minorHAnsi"/>
          <w:sz w:val="22"/>
        </w:rPr>
        <w:t xml:space="preserve">- </w:t>
      </w:r>
      <w:r w:rsidRPr="00897BC4">
        <w:rPr>
          <w:rFonts w:cstheme="minorHAnsi"/>
          <w:i/>
          <w:iCs/>
          <w:sz w:val="22"/>
        </w:rPr>
        <w:t>Najwyraźniej więcej klientów korzystało z finansowania zakupów w systemie ratalnym</w:t>
      </w:r>
      <w:r w:rsidR="00AF1456">
        <w:rPr>
          <w:rFonts w:cstheme="minorHAnsi"/>
          <w:i/>
          <w:iCs/>
          <w:sz w:val="22"/>
        </w:rPr>
        <w:t>.</w:t>
      </w:r>
      <w:r w:rsidR="00AF1456" w:rsidRPr="00AF1456">
        <w:rPr>
          <w:rFonts w:cstheme="minorHAnsi"/>
          <w:i/>
          <w:iCs/>
          <w:sz w:val="22"/>
        </w:rPr>
        <w:t xml:space="preserve"> </w:t>
      </w:r>
      <w:r w:rsidR="00AF1456" w:rsidRPr="00551F06">
        <w:rPr>
          <w:rFonts w:cstheme="minorHAnsi"/>
          <w:i/>
          <w:iCs/>
          <w:sz w:val="22"/>
        </w:rPr>
        <w:t>Zakupy na raty cieszyły się</w:t>
      </w:r>
      <w:r w:rsidR="00AF1456">
        <w:rPr>
          <w:rFonts w:cstheme="minorHAnsi"/>
          <w:i/>
          <w:iCs/>
          <w:sz w:val="22"/>
        </w:rPr>
        <w:t xml:space="preserve"> </w:t>
      </w:r>
      <w:r w:rsidR="00AF1456" w:rsidRPr="00551F06">
        <w:rPr>
          <w:rFonts w:cstheme="minorHAnsi"/>
          <w:i/>
          <w:iCs/>
          <w:sz w:val="22"/>
        </w:rPr>
        <w:t xml:space="preserve">popularnością także wśród mieszkających w Polsce obywateli Ukrainy, którzy zaciągnęli ich </w:t>
      </w:r>
      <w:r w:rsidR="00AF1456">
        <w:rPr>
          <w:rFonts w:cstheme="minorHAnsi"/>
          <w:i/>
          <w:iCs/>
          <w:sz w:val="22"/>
        </w:rPr>
        <w:t xml:space="preserve">na kwotę </w:t>
      </w:r>
      <w:r w:rsidR="00AF1456" w:rsidRPr="00551F06">
        <w:rPr>
          <w:rFonts w:cstheme="minorHAnsi"/>
          <w:i/>
          <w:iCs/>
          <w:sz w:val="22"/>
        </w:rPr>
        <w:t>o 46 proc</w:t>
      </w:r>
      <w:r w:rsidR="00AF1456">
        <w:rPr>
          <w:rFonts w:cstheme="minorHAnsi"/>
          <w:i/>
          <w:iCs/>
          <w:sz w:val="22"/>
        </w:rPr>
        <w:t xml:space="preserve">. wyższą </w:t>
      </w:r>
      <w:r w:rsidR="00AF1456" w:rsidRPr="00551F06">
        <w:rPr>
          <w:rFonts w:cstheme="minorHAnsi"/>
          <w:i/>
          <w:iCs/>
          <w:sz w:val="22"/>
        </w:rPr>
        <w:t>niż w 2021 r.</w:t>
      </w:r>
      <w:r w:rsidR="00AF1456">
        <w:rPr>
          <w:rFonts w:cstheme="minorHAnsi"/>
          <w:i/>
          <w:iCs/>
          <w:sz w:val="22"/>
        </w:rPr>
        <w:t xml:space="preserve"> Natomiast l</w:t>
      </w:r>
      <w:r w:rsidRPr="00551F06">
        <w:rPr>
          <w:rFonts w:cstheme="minorHAnsi"/>
          <w:i/>
          <w:iCs/>
          <w:sz w:val="22"/>
        </w:rPr>
        <w:t>iczbowy skok w kredytach ratalnych podyktowany był popularnością ofert sprzedażowych, uwzględniających zerową stawkę RRSO</w:t>
      </w:r>
      <w:r w:rsidR="00AF1456">
        <w:rPr>
          <w:rFonts w:cstheme="minorHAnsi"/>
          <w:i/>
          <w:iCs/>
          <w:sz w:val="22"/>
        </w:rPr>
        <w:t xml:space="preserve"> oraz </w:t>
      </w:r>
      <w:r>
        <w:rPr>
          <w:rFonts w:cstheme="minorHAnsi"/>
          <w:i/>
          <w:iCs/>
          <w:sz w:val="22"/>
        </w:rPr>
        <w:t>fakt</w:t>
      </w:r>
      <w:r w:rsidR="00AF1456">
        <w:rPr>
          <w:rFonts w:cstheme="minorHAnsi"/>
          <w:i/>
          <w:iCs/>
          <w:sz w:val="22"/>
        </w:rPr>
        <w:t>em</w:t>
      </w:r>
      <w:r w:rsidRPr="002B491D">
        <w:rPr>
          <w:rFonts w:cstheme="minorHAnsi"/>
          <w:i/>
          <w:iCs/>
          <w:sz w:val="22"/>
        </w:rPr>
        <w:t xml:space="preserve"> uwzględni</w:t>
      </w:r>
      <w:r>
        <w:rPr>
          <w:rFonts w:cstheme="minorHAnsi"/>
          <w:i/>
          <w:iCs/>
          <w:sz w:val="22"/>
        </w:rPr>
        <w:t>a</w:t>
      </w:r>
      <w:r w:rsidRPr="002B491D">
        <w:rPr>
          <w:rFonts w:cstheme="minorHAnsi"/>
          <w:i/>
          <w:iCs/>
          <w:sz w:val="22"/>
        </w:rPr>
        <w:t>ni</w:t>
      </w:r>
      <w:r>
        <w:rPr>
          <w:rFonts w:cstheme="minorHAnsi"/>
          <w:i/>
          <w:iCs/>
          <w:sz w:val="22"/>
        </w:rPr>
        <w:t>a</w:t>
      </w:r>
      <w:r w:rsidRPr="002B491D">
        <w:rPr>
          <w:rFonts w:cstheme="minorHAnsi"/>
          <w:i/>
          <w:iCs/>
          <w:sz w:val="22"/>
        </w:rPr>
        <w:t xml:space="preserve"> części płatności odroczonych </w:t>
      </w:r>
      <w:r w:rsidR="00AC3FC0">
        <w:rPr>
          <w:rFonts w:cstheme="minorHAnsi"/>
          <w:i/>
          <w:iCs/>
          <w:sz w:val="22"/>
        </w:rPr>
        <w:t xml:space="preserve">w kategorii kredytów ratalnych </w:t>
      </w:r>
      <w:r w:rsidRPr="002B491D">
        <w:rPr>
          <w:rFonts w:cstheme="minorHAnsi"/>
          <w:i/>
          <w:iCs/>
          <w:sz w:val="22"/>
        </w:rPr>
        <w:t>w bazie BIK</w:t>
      </w:r>
      <w:r>
        <w:rPr>
          <w:rFonts w:cstheme="minorHAnsi"/>
          <w:sz w:val="22"/>
        </w:rPr>
        <w:t xml:space="preserve"> - tłumaczy dr Mariusz Cholewa.</w:t>
      </w:r>
      <w:r w:rsidRPr="00547BB4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 </w:t>
      </w:r>
    </w:p>
    <w:bookmarkEnd w:id="6"/>
    <w:p w14:paraId="2C586125" w14:textId="77777777" w:rsidR="00897BC4" w:rsidRDefault="00897BC4" w:rsidP="00897BC4">
      <w:pPr>
        <w:jc w:val="both"/>
        <w:rPr>
          <w:rFonts w:cstheme="minorHAnsi"/>
          <w:sz w:val="22"/>
        </w:rPr>
      </w:pPr>
    </w:p>
    <w:p w14:paraId="4CFFA22B" w14:textId="185C21CD" w:rsidR="001F2A08" w:rsidRDefault="00852766" w:rsidP="00BA2C0D">
      <w:pPr>
        <w:jc w:val="both"/>
        <w:rPr>
          <w:rFonts w:cstheme="minorHAnsi"/>
          <w:sz w:val="22"/>
        </w:rPr>
      </w:pPr>
      <w:proofErr w:type="spellStart"/>
      <w:r>
        <w:rPr>
          <w:rFonts w:cstheme="minorHAnsi"/>
          <w:sz w:val="22"/>
        </w:rPr>
        <w:t>Buy</w:t>
      </w:r>
      <w:proofErr w:type="spellEnd"/>
      <w:r w:rsidR="00897BC4">
        <w:rPr>
          <w:rFonts w:cstheme="minorHAnsi"/>
          <w:sz w:val="22"/>
        </w:rPr>
        <w:t xml:space="preserve"> </w:t>
      </w:r>
      <w:proofErr w:type="spellStart"/>
      <w:r w:rsidR="00897BC4">
        <w:rPr>
          <w:rFonts w:cstheme="minorHAnsi"/>
          <w:sz w:val="22"/>
        </w:rPr>
        <w:t>now</w:t>
      </w:r>
      <w:proofErr w:type="spellEnd"/>
      <w:r w:rsidR="00E279F6">
        <w:rPr>
          <w:rFonts w:cstheme="minorHAnsi"/>
          <w:sz w:val="22"/>
        </w:rPr>
        <w:t xml:space="preserve">, </w:t>
      </w:r>
      <w:proofErr w:type="spellStart"/>
      <w:r w:rsidR="00897BC4">
        <w:rPr>
          <w:rFonts w:cstheme="minorHAnsi"/>
          <w:sz w:val="22"/>
        </w:rPr>
        <w:t>pay</w:t>
      </w:r>
      <w:proofErr w:type="spellEnd"/>
      <w:r w:rsidR="00897BC4">
        <w:rPr>
          <w:rFonts w:cstheme="minorHAnsi"/>
          <w:sz w:val="22"/>
        </w:rPr>
        <w:t xml:space="preserve"> </w:t>
      </w:r>
      <w:proofErr w:type="spellStart"/>
      <w:r w:rsidR="00897BC4">
        <w:rPr>
          <w:rFonts w:cstheme="minorHAnsi"/>
          <w:sz w:val="22"/>
        </w:rPr>
        <w:t>later</w:t>
      </w:r>
      <w:proofErr w:type="spellEnd"/>
      <w:r w:rsidR="00A86E11">
        <w:rPr>
          <w:rFonts w:cstheme="minorHAnsi"/>
          <w:sz w:val="22"/>
        </w:rPr>
        <w:t xml:space="preserve"> (kup teraz, zapłać później)</w:t>
      </w:r>
      <w:r w:rsidR="00897BC4" w:rsidRPr="00547BB4">
        <w:rPr>
          <w:rFonts w:cstheme="minorHAnsi"/>
          <w:sz w:val="22"/>
        </w:rPr>
        <w:t xml:space="preserve"> to </w:t>
      </w:r>
      <w:bookmarkStart w:id="7" w:name="_Hlk125443122"/>
      <w:r w:rsidR="00897BC4" w:rsidRPr="00547BB4">
        <w:rPr>
          <w:rFonts w:cstheme="minorHAnsi"/>
          <w:sz w:val="22"/>
        </w:rPr>
        <w:t>forma finansowania zakupów</w:t>
      </w:r>
      <w:r w:rsidR="005B4E73">
        <w:rPr>
          <w:rFonts w:cstheme="minorHAnsi"/>
          <w:sz w:val="22"/>
        </w:rPr>
        <w:t xml:space="preserve"> na platformach internetowych.</w:t>
      </w:r>
      <w:r w:rsidR="00897BC4" w:rsidRPr="00547BB4">
        <w:rPr>
          <w:rFonts w:cstheme="minorHAnsi"/>
          <w:sz w:val="22"/>
        </w:rPr>
        <w:t xml:space="preserve"> </w:t>
      </w:r>
      <w:bookmarkStart w:id="8" w:name="_Hlk125443140"/>
      <w:bookmarkEnd w:id="7"/>
      <w:r w:rsidR="00A86E11">
        <w:rPr>
          <w:rFonts w:cstheme="minorHAnsi"/>
          <w:sz w:val="22"/>
        </w:rPr>
        <w:t>Cz</w:t>
      </w:r>
      <w:r w:rsidR="003509C2">
        <w:rPr>
          <w:rFonts w:cstheme="minorHAnsi"/>
          <w:sz w:val="22"/>
        </w:rPr>
        <w:t>ę</w:t>
      </w:r>
      <w:r w:rsidR="00A86E11">
        <w:rPr>
          <w:rFonts w:cstheme="minorHAnsi"/>
          <w:sz w:val="22"/>
        </w:rPr>
        <w:t xml:space="preserve">ść z tego finansowania </w:t>
      </w:r>
      <w:r w:rsidR="003509C2">
        <w:rPr>
          <w:rFonts w:cstheme="minorHAnsi"/>
          <w:sz w:val="22"/>
        </w:rPr>
        <w:t xml:space="preserve">widoczna jest </w:t>
      </w:r>
      <w:r w:rsidR="00897BC4" w:rsidRPr="00547BB4">
        <w:rPr>
          <w:rFonts w:cstheme="minorHAnsi"/>
          <w:sz w:val="22"/>
        </w:rPr>
        <w:t>w kredyt</w:t>
      </w:r>
      <w:r w:rsidR="003509C2">
        <w:rPr>
          <w:rFonts w:cstheme="minorHAnsi"/>
          <w:sz w:val="22"/>
        </w:rPr>
        <w:t>ach</w:t>
      </w:r>
      <w:r w:rsidR="00897BC4" w:rsidRPr="00547BB4">
        <w:rPr>
          <w:rFonts w:cstheme="minorHAnsi"/>
          <w:sz w:val="22"/>
        </w:rPr>
        <w:t xml:space="preserve"> ratalny</w:t>
      </w:r>
      <w:r w:rsidR="003509C2">
        <w:rPr>
          <w:rFonts w:cstheme="minorHAnsi"/>
          <w:sz w:val="22"/>
        </w:rPr>
        <w:t>ch</w:t>
      </w:r>
      <w:r w:rsidR="00897BC4" w:rsidRPr="00547BB4">
        <w:rPr>
          <w:rFonts w:cstheme="minorHAnsi"/>
          <w:sz w:val="22"/>
        </w:rPr>
        <w:t xml:space="preserve">. </w:t>
      </w:r>
    </w:p>
    <w:p w14:paraId="25B1A373" w14:textId="77777777" w:rsidR="0017208F" w:rsidRDefault="0017208F" w:rsidP="00BA2C0D">
      <w:pPr>
        <w:jc w:val="both"/>
        <w:rPr>
          <w:rFonts w:cstheme="minorHAnsi"/>
          <w:i/>
          <w:iCs/>
          <w:sz w:val="22"/>
        </w:rPr>
      </w:pPr>
    </w:p>
    <w:bookmarkEnd w:id="8"/>
    <w:p w14:paraId="054B4629" w14:textId="28DC0AAA" w:rsidR="00BA2C0D" w:rsidRPr="005D06D0" w:rsidRDefault="001F2A08" w:rsidP="00BA2C0D">
      <w:pPr>
        <w:jc w:val="both"/>
        <w:rPr>
          <w:rFonts w:cstheme="minorHAnsi"/>
          <w:i/>
          <w:iCs/>
          <w:sz w:val="22"/>
        </w:rPr>
      </w:pPr>
      <w:r>
        <w:rPr>
          <w:rFonts w:cstheme="minorHAnsi"/>
          <w:i/>
          <w:iCs/>
          <w:sz w:val="22"/>
        </w:rPr>
        <w:t xml:space="preserve">- </w:t>
      </w:r>
      <w:bookmarkStart w:id="9" w:name="_Hlk125443323"/>
      <w:r w:rsidR="005D06D0" w:rsidRPr="005D06D0">
        <w:rPr>
          <w:rFonts w:cstheme="minorHAnsi"/>
          <w:i/>
          <w:iCs/>
          <w:sz w:val="22"/>
        </w:rPr>
        <w:t>Warto pamiętać, że odroczone płatności są jedną z form kredytowania i należy uważać, aby nie wpaść w pętlę zadłużenia – a takie ryzyko pokazują doświadczenia innych krajów</w:t>
      </w:r>
      <w:bookmarkEnd w:id="9"/>
      <w:r w:rsidR="005D06D0">
        <w:rPr>
          <w:rFonts w:cstheme="minorHAnsi"/>
          <w:i/>
          <w:iCs/>
          <w:sz w:val="22"/>
        </w:rPr>
        <w:t xml:space="preserve"> -</w:t>
      </w:r>
      <w:r w:rsidRPr="001F2A08">
        <w:rPr>
          <w:rFonts w:cstheme="minorHAnsi"/>
          <w:sz w:val="22"/>
        </w:rPr>
        <w:t xml:space="preserve"> przestrzega prezes BIK.</w:t>
      </w:r>
    </w:p>
    <w:p w14:paraId="7B9DA719" w14:textId="6A205860" w:rsidR="005D06D0" w:rsidRDefault="005D06D0" w:rsidP="00BA2C0D">
      <w:pPr>
        <w:jc w:val="both"/>
        <w:rPr>
          <w:rFonts w:cstheme="minorHAnsi"/>
          <w:sz w:val="22"/>
        </w:rPr>
      </w:pPr>
    </w:p>
    <w:p w14:paraId="2EB1C1F0" w14:textId="34D13D9A" w:rsidR="001F2A08" w:rsidRDefault="0027026C" w:rsidP="00547BB4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Zakładając</w:t>
      </w:r>
      <w:r w:rsidR="00547BB4" w:rsidRPr="00547BB4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dalszy rozwój </w:t>
      </w:r>
      <w:r w:rsidR="00B747D3">
        <w:rPr>
          <w:rFonts w:cstheme="minorHAnsi"/>
          <w:sz w:val="22"/>
        </w:rPr>
        <w:t>płatności</w:t>
      </w:r>
      <w:r w:rsidR="00547BB4" w:rsidRPr="00547BB4">
        <w:rPr>
          <w:rFonts w:cstheme="minorHAnsi"/>
          <w:sz w:val="22"/>
        </w:rPr>
        <w:t xml:space="preserve"> </w:t>
      </w:r>
      <w:r w:rsidR="00B747D3">
        <w:rPr>
          <w:rFonts w:cstheme="minorHAnsi"/>
          <w:sz w:val="22"/>
        </w:rPr>
        <w:t>odroczonych</w:t>
      </w:r>
      <w:r w:rsidR="00547BB4" w:rsidRPr="00547BB4">
        <w:rPr>
          <w:rFonts w:cstheme="minorHAnsi"/>
          <w:sz w:val="22"/>
        </w:rPr>
        <w:t xml:space="preserve"> oraz </w:t>
      </w:r>
      <w:r>
        <w:rPr>
          <w:rFonts w:cstheme="minorHAnsi"/>
          <w:sz w:val="22"/>
        </w:rPr>
        <w:t xml:space="preserve">utrzymanie ofert </w:t>
      </w:r>
      <w:r w:rsidR="00B747D3">
        <w:rPr>
          <w:rFonts w:cstheme="minorHAnsi"/>
          <w:sz w:val="22"/>
        </w:rPr>
        <w:t>sklepowych na tzw. zero procent</w:t>
      </w:r>
      <w:r w:rsidR="00547BB4" w:rsidRPr="00547BB4">
        <w:rPr>
          <w:rFonts w:cstheme="minorHAnsi"/>
          <w:sz w:val="22"/>
        </w:rPr>
        <w:t xml:space="preserve">, </w:t>
      </w:r>
      <w:bookmarkStart w:id="10" w:name="_Hlk125465758"/>
      <w:r w:rsidR="008537F7">
        <w:rPr>
          <w:rFonts w:cstheme="minorHAnsi"/>
          <w:sz w:val="22"/>
        </w:rPr>
        <w:t>BIK prognozuje, że</w:t>
      </w:r>
      <w:r w:rsidR="00547BB4" w:rsidRPr="00547BB4">
        <w:rPr>
          <w:rFonts w:cstheme="minorHAnsi"/>
          <w:sz w:val="22"/>
        </w:rPr>
        <w:t xml:space="preserve"> w 2023 r. wartość udzielonych kredytów ratalnych </w:t>
      </w:r>
      <w:r w:rsidR="0062205D">
        <w:rPr>
          <w:rFonts w:cstheme="minorHAnsi"/>
          <w:sz w:val="22"/>
        </w:rPr>
        <w:t>wyniesie 18,5 mld zł, to</w:t>
      </w:r>
      <w:r w:rsidR="00547BB4" w:rsidRPr="00547BB4">
        <w:rPr>
          <w:rFonts w:cstheme="minorHAnsi"/>
          <w:sz w:val="22"/>
        </w:rPr>
        <w:t xml:space="preserve"> </w:t>
      </w:r>
      <w:r w:rsidR="00777B1B">
        <w:rPr>
          <w:rFonts w:cstheme="minorHAnsi"/>
          <w:sz w:val="22"/>
        </w:rPr>
        <w:t>2,8</w:t>
      </w:r>
      <w:r w:rsidR="008537F7" w:rsidRPr="008F4D1F">
        <w:rPr>
          <w:rFonts w:cstheme="minorHAnsi"/>
          <w:sz w:val="22"/>
        </w:rPr>
        <w:t xml:space="preserve"> </w:t>
      </w:r>
      <w:r w:rsidR="00547BB4" w:rsidRPr="008F4D1F">
        <w:rPr>
          <w:rFonts w:cstheme="minorHAnsi"/>
          <w:sz w:val="22"/>
        </w:rPr>
        <w:t>proc.</w:t>
      </w:r>
      <w:r w:rsidR="00547BB4" w:rsidRPr="00547BB4">
        <w:rPr>
          <w:rFonts w:cstheme="minorHAnsi"/>
          <w:sz w:val="22"/>
        </w:rPr>
        <w:t xml:space="preserve"> </w:t>
      </w:r>
      <w:r w:rsidR="0062205D">
        <w:rPr>
          <w:rFonts w:cstheme="minorHAnsi"/>
          <w:sz w:val="22"/>
        </w:rPr>
        <w:t xml:space="preserve">więcej </w:t>
      </w:r>
      <w:r w:rsidR="00547BB4" w:rsidRPr="00547BB4">
        <w:rPr>
          <w:rFonts w:cstheme="minorHAnsi"/>
          <w:sz w:val="22"/>
        </w:rPr>
        <w:t xml:space="preserve">w </w:t>
      </w:r>
      <w:r w:rsidR="00B747D3">
        <w:rPr>
          <w:rFonts w:cstheme="minorHAnsi"/>
          <w:sz w:val="22"/>
        </w:rPr>
        <w:t>relacji</w:t>
      </w:r>
      <w:r w:rsidR="00547BB4" w:rsidRPr="00547BB4">
        <w:rPr>
          <w:rFonts w:cstheme="minorHAnsi"/>
          <w:sz w:val="22"/>
        </w:rPr>
        <w:t xml:space="preserve"> do ubiegłego roku.</w:t>
      </w:r>
      <w:r w:rsidR="001F2A08">
        <w:rPr>
          <w:rFonts w:cstheme="minorHAnsi"/>
          <w:sz w:val="22"/>
        </w:rPr>
        <w:t xml:space="preserve"> </w:t>
      </w:r>
    </w:p>
    <w:p w14:paraId="1BB8786E" w14:textId="77777777" w:rsidR="001F2A08" w:rsidRDefault="001F2A08" w:rsidP="00547BB4">
      <w:pPr>
        <w:jc w:val="both"/>
        <w:rPr>
          <w:rFonts w:cstheme="minorHAnsi"/>
          <w:sz w:val="22"/>
        </w:rPr>
      </w:pPr>
    </w:p>
    <w:bookmarkEnd w:id="5"/>
    <w:bookmarkEnd w:id="10"/>
    <w:p w14:paraId="6E45EBF2" w14:textId="56667A32" w:rsidR="00980CDA" w:rsidRDefault="004B2319" w:rsidP="00405881">
      <w:pPr>
        <w:jc w:val="both"/>
        <w:rPr>
          <w:rFonts w:cstheme="minorHAnsi"/>
          <w:i/>
          <w:iCs/>
          <w:sz w:val="22"/>
        </w:rPr>
      </w:pPr>
      <w:r>
        <w:rPr>
          <w:rFonts w:cstheme="minorHAnsi"/>
          <w:b/>
          <w:bCs/>
          <w:sz w:val="22"/>
        </w:rPr>
        <w:t>Kredyt</w:t>
      </w:r>
      <w:r w:rsidR="00355424">
        <w:rPr>
          <w:rFonts w:cstheme="minorHAnsi"/>
          <w:b/>
          <w:bCs/>
          <w:sz w:val="22"/>
        </w:rPr>
        <w:t xml:space="preserve">y </w:t>
      </w:r>
      <w:r>
        <w:rPr>
          <w:rFonts w:cstheme="minorHAnsi"/>
          <w:b/>
          <w:bCs/>
          <w:sz w:val="22"/>
        </w:rPr>
        <w:t>gotów</w:t>
      </w:r>
      <w:r w:rsidR="00355424">
        <w:rPr>
          <w:rFonts w:cstheme="minorHAnsi"/>
          <w:b/>
          <w:bCs/>
          <w:sz w:val="22"/>
        </w:rPr>
        <w:t>kowe</w:t>
      </w:r>
      <w:r>
        <w:rPr>
          <w:rFonts w:cstheme="minorHAnsi"/>
          <w:b/>
          <w:bCs/>
          <w:sz w:val="22"/>
        </w:rPr>
        <w:t xml:space="preserve"> dla </w:t>
      </w:r>
      <w:r w:rsidR="0027026C">
        <w:rPr>
          <w:rFonts w:cstheme="minorHAnsi"/>
          <w:b/>
          <w:bCs/>
          <w:sz w:val="22"/>
        </w:rPr>
        <w:t xml:space="preserve">własnych, dobrze </w:t>
      </w:r>
      <w:r w:rsidR="00355424">
        <w:rPr>
          <w:rFonts w:cstheme="minorHAnsi"/>
          <w:b/>
          <w:bCs/>
          <w:sz w:val="22"/>
        </w:rPr>
        <w:t xml:space="preserve">znanych </w:t>
      </w:r>
      <w:r>
        <w:rPr>
          <w:rFonts w:cstheme="minorHAnsi"/>
          <w:b/>
          <w:bCs/>
          <w:sz w:val="22"/>
        </w:rPr>
        <w:t>klient</w:t>
      </w:r>
      <w:r w:rsidR="00355424">
        <w:rPr>
          <w:rFonts w:cstheme="minorHAnsi"/>
          <w:b/>
          <w:bCs/>
          <w:sz w:val="22"/>
        </w:rPr>
        <w:t>ów</w:t>
      </w:r>
      <w:r>
        <w:rPr>
          <w:rFonts w:cstheme="minorHAnsi"/>
          <w:b/>
          <w:bCs/>
          <w:sz w:val="22"/>
        </w:rPr>
        <w:t xml:space="preserve"> </w:t>
      </w:r>
    </w:p>
    <w:p w14:paraId="64BF7BF9" w14:textId="0D8536E5" w:rsidR="00980CDA" w:rsidRDefault="00980CDA" w:rsidP="00405881">
      <w:pPr>
        <w:jc w:val="both"/>
      </w:pPr>
    </w:p>
    <w:p w14:paraId="6B637656" w14:textId="1FA050B8" w:rsidR="00F260AF" w:rsidRDefault="00F260AF" w:rsidP="004B2319">
      <w:pPr>
        <w:jc w:val="both"/>
        <w:rPr>
          <w:sz w:val="22"/>
        </w:rPr>
      </w:pPr>
      <w:bookmarkStart w:id="11" w:name="_Hlk125465868"/>
      <w:r>
        <w:rPr>
          <w:sz w:val="22"/>
        </w:rPr>
        <w:t xml:space="preserve">W </w:t>
      </w:r>
      <w:r w:rsidRPr="00980CDA">
        <w:rPr>
          <w:sz w:val="22"/>
        </w:rPr>
        <w:t xml:space="preserve">2022 r. </w:t>
      </w:r>
      <w:r w:rsidR="00F95D20">
        <w:rPr>
          <w:sz w:val="22"/>
        </w:rPr>
        <w:t xml:space="preserve">o </w:t>
      </w:r>
      <w:r w:rsidR="00F95D20" w:rsidRPr="00F95D20">
        <w:rPr>
          <w:sz w:val="22"/>
        </w:rPr>
        <w:t xml:space="preserve">3 mld zł </w:t>
      </w:r>
      <w:r w:rsidR="001427ED">
        <w:rPr>
          <w:sz w:val="22"/>
        </w:rPr>
        <w:t xml:space="preserve">spadła </w:t>
      </w:r>
      <w:r w:rsidR="00F95D20" w:rsidRPr="00F95D20">
        <w:rPr>
          <w:sz w:val="22"/>
        </w:rPr>
        <w:t xml:space="preserve">wartość </w:t>
      </w:r>
      <w:r w:rsidR="001427ED">
        <w:rPr>
          <w:sz w:val="22"/>
        </w:rPr>
        <w:t>zadłużenia z tytułu</w:t>
      </w:r>
      <w:r w:rsidR="00F95D20" w:rsidRPr="00F95D20">
        <w:rPr>
          <w:sz w:val="22"/>
        </w:rPr>
        <w:t xml:space="preserve"> kredytów gotówkowych</w:t>
      </w:r>
      <w:r w:rsidR="00F95D20">
        <w:rPr>
          <w:sz w:val="22"/>
        </w:rPr>
        <w:t xml:space="preserve"> w stosunku do 2021 r.</w:t>
      </w:r>
      <w:r w:rsidR="001427ED">
        <w:rPr>
          <w:sz w:val="22"/>
        </w:rPr>
        <w:t xml:space="preserve"> pomimo tego, że </w:t>
      </w:r>
      <w:r w:rsidR="00F95D20">
        <w:rPr>
          <w:sz w:val="22"/>
        </w:rPr>
        <w:t xml:space="preserve">udzielono </w:t>
      </w:r>
      <w:r w:rsidR="001427ED">
        <w:rPr>
          <w:sz w:val="22"/>
        </w:rPr>
        <w:t xml:space="preserve">ich </w:t>
      </w:r>
      <w:bookmarkStart w:id="12" w:name="_Hlk125465840"/>
      <w:r w:rsidR="001427ED">
        <w:rPr>
          <w:sz w:val="22"/>
        </w:rPr>
        <w:t xml:space="preserve">w 2022 r. </w:t>
      </w:r>
      <w:r w:rsidR="00F95D20">
        <w:rPr>
          <w:sz w:val="22"/>
        </w:rPr>
        <w:t>na</w:t>
      </w:r>
      <w:r>
        <w:rPr>
          <w:sz w:val="22"/>
        </w:rPr>
        <w:t xml:space="preserve"> </w:t>
      </w:r>
      <w:r w:rsidR="00C64491">
        <w:rPr>
          <w:sz w:val="22"/>
        </w:rPr>
        <w:t xml:space="preserve">kwotę </w:t>
      </w:r>
      <w:r>
        <w:rPr>
          <w:sz w:val="22"/>
        </w:rPr>
        <w:t xml:space="preserve">64,9 mld zł. Było to mniej o </w:t>
      </w:r>
      <w:r w:rsidRPr="00980CDA">
        <w:rPr>
          <w:sz w:val="22"/>
        </w:rPr>
        <w:t>2,4 proc.</w:t>
      </w:r>
      <w:r>
        <w:rPr>
          <w:sz w:val="22"/>
        </w:rPr>
        <w:t xml:space="preserve"> niż przed rokiem.</w:t>
      </w:r>
      <w:bookmarkEnd w:id="11"/>
      <w:r>
        <w:rPr>
          <w:sz w:val="22"/>
        </w:rPr>
        <w:t xml:space="preserve"> </w:t>
      </w:r>
      <w:bookmarkEnd w:id="12"/>
      <w:r>
        <w:rPr>
          <w:sz w:val="22"/>
        </w:rPr>
        <w:t xml:space="preserve">Niewiele, bowiem tylko </w:t>
      </w:r>
      <w:r w:rsidRPr="00980CDA">
        <w:rPr>
          <w:sz w:val="22"/>
        </w:rPr>
        <w:t xml:space="preserve">o 0,2 proc. </w:t>
      </w:r>
      <w:r>
        <w:rPr>
          <w:sz w:val="22"/>
        </w:rPr>
        <w:t>spadła także ich liczba</w:t>
      </w:r>
      <w:r w:rsidR="001427ED">
        <w:rPr>
          <w:sz w:val="22"/>
        </w:rPr>
        <w:t>, łącznie udzielono ich</w:t>
      </w:r>
      <w:r>
        <w:rPr>
          <w:sz w:val="22"/>
        </w:rPr>
        <w:t xml:space="preserve"> 3,14 mln</w:t>
      </w:r>
      <w:r w:rsidR="001427ED">
        <w:rPr>
          <w:sz w:val="22"/>
        </w:rPr>
        <w:t xml:space="preserve"> sztuk.</w:t>
      </w:r>
    </w:p>
    <w:p w14:paraId="4B0BD0CE" w14:textId="77777777" w:rsidR="00F260AF" w:rsidRDefault="00F260AF" w:rsidP="004B2319">
      <w:pPr>
        <w:jc w:val="both"/>
        <w:rPr>
          <w:sz w:val="22"/>
        </w:rPr>
      </w:pPr>
    </w:p>
    <w:p w14:paraId="4359CED3" w14:textId="235B6608" w:rsidR="00EC22AD" w:rsidRDefault="00D4355E" w:rsidP="00D4355E">
      <w:pPr>
        <w:jc w:val="both"/>
        <w:rPr>
          <w:rFonts w:cstheme="minorHAnsi"/>
          <w:i/>
          <w:iCs/>
          <w:sz w:val="22"/>
        </w:rPr>
      </w:pPr>
      <w:r>
        <w:rPr>
          <w:sz w:val="22"/>
        </w:rPr>
        <w:t xml:space="preserve">- </w:t>
      </w:r>
      <w:r w:rsidRPr="00DA4146">
        <w:rPr>
          <w:i/>
          <w:iCs/>
          <w:sz w:val="22"/>
        </w:rPr>
        <w:t>Jak wynika z analiz</w:t>
      </w:r>
      <w:r w:rsidR="009D49B0">
        <w:rPr>
          <w:i/>
          <w:iCs/>
          <w:sz w:val="22"/>
        </w:rPr>
        <w:t xml:space="preserve"> BIK</w:t>
      </w:r>
      <w:r w:rsidRPr="00DA4146">
        <w:rPr>
          <w:rFonts w:cstheme="minorHAnsi"/>
          <w:i/>
          <w:iCs/>
          <w:sz w:val="22"/>
        </w:rPr>
        <w:t xml:space="preserve"> instytucje finansowe koncentrują się na eksploracji własnej bazy klientów.</w:t>
      </w:r>
      <w:r>
        <w:rPr>
          <w:rFonts w:cstheme="minorHAnsi"/>
          <w:i/>
          <w:iCs/>
          <w:sz w:val="22"/>
        </w:rPr>
        <w:t xml:space="preserve"> </w:t>
      </w:r>
      <w:r w:rsidR="00D070E2">
        <w:rPr>
          <w:rFonts w:cstheme="minorHAnsi"/>
          <w:i/>
          <w:iCs/>
          <w:sz w:val="22"/>
        </w:rPr>
        <w:t xml:space="preserve">W 2022 r. to </w:t>
      </w:r>
      <w:r w:rsidR="009D49B0">
        <w:rPr>
          <w:rFonts w:cstheme="minorHAnsi"/>
          <w:i/>
          <w:iCs/>
          <w:sz w:val="22"/>
        </w:rPr>
        <w:t xml:space="preserve">zjawisko jeszcze się </w:t>
      </w:r>
      <w:r w:rsidR="00C64491">
        <w:rPr>
          <w:rFonts w:cstheme="minorHAnsi"/>
          <w:i/>
          <w:iCs/>
          <w:sz w:val="22"/>
        </w:rPr>
        <w:t>wzmocniło</w:t>
      </w:r>
      <w:r w:rsidR="009D49B0">
        <w:rPr>
          <w:rFonts w:cstheme="minorHAnsi"/>
          <w:i/>
          <w:iCs/>
          <w:sz w:val="22"/>
        </w:rPr>
        <w:t xml:space="preserve">. </w:t>
      </w:r>
      <w:r w:rsidR="000B2866">
        <w:rPr>
          <w:rFonts w:cstheme="minorHAnsi"/>
          <w:i/>
          <w:iCs/>
          <w:sz w:val="22"/>
        </w:rPr>
        <w:t xml:space="preserve">Prawie </w:t>
      </w:r>
      <w:r w:rsidRPr="00DA4146">
        <w:rPr>
          <w:i/>
          <w:iCs/>
          <w:sz w:val="22"/>
        </w:rPr>
        <w:t>8</w:t>
      </w:r>
      <w:r w:rsidR="000B2866">
        <w:rPr>
          <w:i/>
          <w:iCs/>
          <w:sz w:val="22"/>
        </w:rPr>
        <w:t>8</w:t>
      </w:r>
      <w:r w:rsidRPr="00DA4146">
        <w:rPr>
          <w:i/>
          <w:iCs/>
          <w:sz w:val="22"/>
        </w:rPr>
        <w:t xml:space="preserve"> proc. kredytów gotówkowych w 2022 r. </w:t>
      </w:r>
      <w:r w:rsidR="009D49B0">
        <w:rPr>
          <w:i/>
          <w:iCs/>
          <w:sz w:val="22"/>
        </w:rPr>
        <w:t xml:space="preserve">banki przyznały </w:t>
      </w:r>
      <w:r w:rsidR="003017E1">
        <w:rPr>
          <w:i/>
          <w:iCs/>
          <w:sz w:val="22"/>
        </w:rPr>
        <w:t xml:space="preserve">własnym </w:t>
      </w:r>
      <w:r w:rsidRPr="00DA4146">
        <w:rPr>
          <w:i/>
          <w:iCs/>
          <w:sz w:val="22"/>
        </w:rPr>
        <w:t>klientom</w:t>
      </w:r>
      <w:r w:rsidR="003017E1">
        <w:rPr>
          <w:i/>
          <w:iCs/>
          <w:sz w:val="22"/>
        </w:rPr>
        <w:t>.</w:t>
      </w:r>
      <w:r>
        <w:rPr>
          <w:i/>
          <w:iCs/>
          <w:sz w:val="22"/>
        </w:rPr>
        <w:t xml:space="preserve"> </w:t>
      </w:r>
      <w:r w:rsidR="0039037F">
        <w:rPr>
          <w:i/>
          <w:iCs/>
          <w:sz w:val="22"/>
        </w:rPr>
        <w:t>Dla porównania w</w:t>
      </w:r>
      <w:r w:rsidR="0039037F">
        <w:rPr>
          <w:rFonts w:cstheme="minorHAnsi"/>
          <w:i/>
          <w:iCs/>
          <w:sz w:val="22"/>
        </w:rPr>
        <w:t xml:space="preserve"> początkach pandemii udział ten wynosił 84,5 proc. </w:t>
      </w:r>
      <w:r w:rsidR="00EC22AD">
        <w:rPr>
          <w:rFonts w:cstheme="minorHAnsi"/>
          <w:i/>
          <w:iCs/>
          <w:sz w:val="22"/>
        </w:rPr>
        <w:t xml:space="preserve">To efekt dużej niepewności otoczenia, w jakim funkcjonują banki i ich klienci. Stąd wyższa skłonność do kredytowania klientów o znanej bankowi historii kredytowej oraz </w:t>
      </w:r>
      <w:r w:rsidR="00D070E2">
        <w:rPr>
          <w:rFonts w:cstheme="minorHAnsi"/>
          <w:i/>
          <w:iCs/>
          <w:sz w:val="22"/>
        </w:rPr>
        <w:t xml:space="preserve">sprawdzonej </w:t>
      </w:r>
      <w:r w:rsidR="00577E50">
        <w:rPr>
          <w:rFonts w:cstheme="minorHAnsi"/>
          <w:i/>
          <w:iCs/>
          <w:sz w:val="22"/>
        </w:rPr>
        <w:t xml:space="preserve">wiarygodności </w:t>
      </w:r>
      <w:r w:rsidR="00EC22AD">
        <w:rPr>
          <w:rFonts w:cstheme="minorHAnsi"/>
          <w:i/>
          <w:iCs/>
          <w:sz w:val="22"/>
        </w:rPr>
        <w:t>płatnicz</w:t>
      </w:r>
      <w:r w:rsidR="00577E50">
        <w:rPr>
          <w:rFonts w:cstheme="minorHAnsi"/>
          <w:i/>
          <w:iCs/>
          <w:sz w:val="22"/>
        </w:rPr>
        <w:t>e</w:t>
      </w:r>
      <w:r w:rsidR="009D49B0">
        <w:rPr>
          <w:rFonts w:cstheme="minorHAnsi"/>
          <w:i/>
          <w:iCs/>
          <w:sz w:val="22"/>
        </w:rPr>
        <w:t>j</w:t>
      </w:r>
      <w:r w:rsidR="009D49B0" w:rsidRPr="009D49B0">
        <w:rPr>
          <w:rFonts w:cstheme="minorHAnsi"/>
          <w:sz w:val="22"/>
        </w:rPr>
        <w:t xml:space="preserve"> – mówi </w:t>
      </w:r>
      <w:r w:rsidR="003D286C">
        <w:rPr>
          <w:rFonts w:cstheme="minorHAnsi"/>
          <w:sz w:val="22"/>
        </w:rPr>
        <w:t>prezes BIK.</w:t>
      </w:r>
    </w:p>
    <w:p w14:paraId="2CE2B066" w14:textId="77777777" w:rsidR="00777B1B" w:rsidRDefault="00777B1B" w:rsidP="00405881">
      <w:pPr>
        <w:jc w:val="both"/>
        <w:rPr>
          <w:rFonts w:cstheme="minorHAnsi"/>
          <w:sz w:val="22"/>
        </w:rPr>
      </w:pPr>
    </w:p>
    <w:p w14:paraId="0E1FD083" w14:textId="36C93574" w:rsidR="00101978" w:rsidRDefault="00577E50" w:rsidP="00405881">
      <w:pPr>
        <w:jc w:val="both"/>
        <w:rPr>
          <w:sz w:val="22"/>
        </w:rPr>
      </w:pPr>
      <w:bookmarkStart w:id="13" w:name="_Hlk125444748"/>
      <w:r>
        <w:rPr>
          <w:rFonts w:cstheme="minorHAnsi"/>
          <w:sz w:val="22"/>
        </w:rPr>
        <w:t xml:space="preserve">Drugim </w:t>
      </w:r>
      <w:bookmarkStart w:id="14" w:name="_Hlk125444439"/>
      <w:r>
        <w:rPr>
          <w:rFonts w:cstheme="minorHAnsi"/>
          <w:sz w:val="22"/>
        </w:rPr>
        <w:t>ciekawym zjawiskiem</w:t>
      </w:r>
      <w:r w:rsidR="00101978">
        <w:rPr>
          <w:rFonts w:cstheme="minorHAnsi"/>
          <w:sz w:val="22"/>
        </w:rPr>
        <w:t xml:space="preserve"> w roku 2022</w:t>
      </w:r>
      <w:r w:rsidR="00101978" w:rsidRPr="00101978">
        <w:rPr>
          <w:rFonts w:cstheme="minorHAnsi"/>
          <w:sz w:val="22"/>
        </w:rPr>
        <w:t xml:space="preserve"> </w:t>
      </w:r>
      <w:bookmarkEnd w:id="13"/>
      <w:r w:rsidR="00101978">
        <w:rPr>
          <w:rFonts w:cstheme="minorHAnsi"/>
          <w:sz w:val="22"/>
        </w:rPr>
        <w:t>na rynku kredytów gotówkowych, odmiennym niż</w:t>
      </w:r>
      <w:r>
        <w:rPr>
          <w:rFonts w:cstheme="minorHAnsi"/>
          <w:sz w:val="22"/>
        </w:rPr>
        <w:t xml:space="preserve"> w </w:t>
      </w:r>
      <w:r w:rsidR="00101978">
        <w:rPr>
          <w:rFonts w:cstheme="minorHAnsi"/>
          <w:sz w:val="22"/>
        </w:rPr>
        <w:t>roku 2021,</w:t>
      </w:r>
      <w:r>
        <w:rPr>
          <w:rFonts w:cstheme="minorHAnsi"/>
          <w:sz w:val="22"/>
        </w:rPr>
        <w:t xml:space="preserve"> </w:t>
      </w:r>
      <w:r>
        <w:rPr>
          <w:sz w:val="22"/>
        </w:rPr>
        <w:t>był</w:t>
      </w:r>
      <w:r w:rsidR="00F260AF">
        <w:rPr>
          <w:sz w:val="22"/>
        </w:rPr>
        <w:t xml:space="preserve"> </w:t>
      </w:r>
      <w:r w:rsidR="00F260AF" w:rsidRPr="00980CDA">
        <w:rPr>
          <w:sz w:val="22"/>
        </w:rPr>
        <w:t xml:space="preserve">wzrost </w:t>
      </w:r>
      <w:r w:rsidR="00F260AF">
        <w:rPr>
          <w:sz w:val="22"/>
        </w:rPr>
        <w:t xml:space="preserve">liczby udzielonych kredytów </w:t>
      </w:r>
      <w:bookmarkStart w:id="15" w:name="_Hlk125444291"/>
      <w:r w:rsidR="00F260AF" w:rsidRPr="00980CDA">
        <w:rPr>
          <w:sz w:val="22"/>
        </w:rPr>
        <w:t>na niskie kwoty</w:t>
      </w:r>
      <w:r w:rsidR="00F260AF">
        <w:rPr>
          <w:sz w:val="22"/>
        </w:rPr>
        <w:t xml:space="preserve">, </w:t>
      </w:r>
      <w:r w:rsidR="00DA4146" w:rsidRPr="00980CDA">
        <w:rPr>
          <w:sz w:val="22"/>
        </w:rPr>
        <w:t>do 5 tys. zł</w:t>
      </w:r>
      <w:bookmarkEnd w:id="15"/>
      <w:r w:rsidR="004B2319">
        <w:rPr>
          <w:sz w:val="22"/>
        </w:rPr>
        <w:t>, któr</w:t>
      </w:r>
      <w:r w:rsidR="00F260AF">
        <w:rPr>
          <w:sz w:val="22"/>
        </w:rPr>
        <w:t>ych zaciągnięto</w:t>
      </w:r>
      <w:r w:rsidR="00DA4146">
        <w:rPr>
          <w:sz w:val="22"/>
        </w:rPr>
        <w:t xml:space="preserve"> o 10,1 proc.</w:t>
      </w:r>
      <w:r w:rsidR="00F260AF">
        <w:rPr>
          <w:sz w:val="22"/>
        </w:rPr>
        <w:t xml:space="preserve"> więcej</w:t>
      </w:r>
      <w:r>
        <w:rPr>
          <w:sz w:val="22"/>
        </w:rPr>
        <w:t xml:space="preserve"> r/r</w:t>
      </w:r>
      <w:r w:rsidR="00F260AF">
        <w:rPr>
          <w:sz w:val="22"/>
        </w:rPr>
        <w:t>.</w:t>
      </w:r>
      <w:r w:rsidR="004B2319">
        <w:rPr>
          <w:sz w:val="22"/>
        </w:rPr>
        <w:t xml:space="preserve"> D</w:t>
      </w:r>
      <w:r w:rsidR="00DA4146">
        <w:rPr>
          <w:sz w:val="22"/>
        </w:rPr>
        <w:t>la porównania dynamika wzrostu kredytów pow</w:t>
      </w:r>
      <w:r w:rsidR="00C64491">
        <w:rPr>
          <w:sz w:val="22"/>
        </w:rPr>
        <w:t>yżej</w:t>
      </w:r>
      <w:r w:rsidR="00DA4146">
        <w:rPr>
          <w:sz w:val="22"/>
        </w:rPr>
        <w:t xml:space="preserve"> 50 tys. zł w tym samym okresie wyniosła tylko 0,7 proc. Jednak nadal </w:t>
      </w:r>
      <w:bookmarkStart w:id="16" w:name="_Hlk125444722"/>
      <w:r w:rsidR="00DA4146">
        <w:rPr>
          <w:sz w:val="22"/>
        </w:rPr>
        <w:t xml:space="preserve">to kredyty wysokokwotowe zajmują najwięcej (46,2 proc.) w strukturze </w:t>
      </w:r>
      <w:r w:rsidR="00F260AF">
        <w:rPr>
          <w:sz w:val="22"/>
        </w:rPr>
        <w:lastRenderedPageBreak/>
        <w:t xml:space="preserve">udzielonych </w:t>
      </w:r>
      <w:r w:rsidR="00DA4146">
        <w:rPr>
          <w:sz w:val="22"/>
        </w:rPr>
        <w:t xml:space="preserve">kredytów gotówkowych. </w:t>
      </w:r>
      <w:bookmarkEnd w:id="16"/>
      <w:r w:rsidR="00101978">
        <w:rPr>
          <w:sz w:val="22"/>
        </w:rPr>
        <w:t xml:space="preserve">Kredyty z pozostałych przedziałów kwotowych odnotowały ujemną dynamikę. </w:t>
      </w:r>
      <w:bookmarkEnd w:id="14"/>
    </w:p>
    <w:p w14:paraId="29ECCE4C" w14:textId="77777777" w:rsidR="00101978" w:rsidRDefault="00101978" w:rsidP="00405881">
      <w:pPr>
        <w:jc w:val="both"/>
        <w:rPr>
          <w:sz w:val="22"/>
        </w:rPr>
      </w:pPr>
    </w:p>
    <w:p w14:paraId="55CB228D" w14:textId="31B8B124" w:rsidR="004B2319" w:rsidRDefault="00101978" w:rsidP="00341795">
      <w:pPr>
        <w:jc w:val="both"/>
        <w:rPr>
          <w:i/>
          <w:iCs/>
          <w:sz w:val="22"/>
        </w:rPr>
      </w:pPr>
      <w:r>
        <w:rPr>
          <w:sz w:val="22"/>
        </w:rPr>
        <w:t xml:space="preserve">- </w:t>
      </w:r>
      <w:r w:rsidR="00852766">
        <w:rPr>
          <w:i/>
          <w:iCs/>
          <w:sz w:val="22"/>
        </w:rPr>
        <w:t>Sytuacja rynkowa w 2022 r.</w:t>
      </w:r>
      <w:r w:rsidR="00553FBC">
        <w:rPr>
          <w:i/>
          <w:iCs/>
          <w:sz w:val="22"/>
        </w:rPr>
        <w:t xml:space="preserve"> wpłynęła na odwrócenie preferencji banków i ich klientów w zakresie</w:t>
      </w:r>
      <w:r w:rsidR="00852766">
        <w:rPr>
          <w:i/>
          <w:iCs/>
          <w:sz w:val="22"/>
        </w:rPr>
        <w:t xml:space="preserve"> </w:t>
      </w:r>
      <w:r w:rsidR="00553FBC">
        <w:rPr>
          <w:i/>
          <w:iCs/>
          <w:sz w:val="22"/>
        </w:rPr>
        <w:t>wysokości kwot</w:t>
      </w:r>
      <w:r w:rsidR="00852766">
        <w:rPr>
          <w:i/>
          <w:iCs/>
          <w:sz w:val="22"/>
        </w:rPr>
        <w:t xml:space="preserve"> </w:t>
      </w:r>
      <w:r w:rsidR="000B2866">
        <w:rPr>
          <w:i/>
          <w:iCs/>
          <w:sz w:val="22"/>
        </w:rPr>
        <w:t xml:space="preserve">zaciąganych </w:t>
      </w:r>
      <w:r w:rsidR="00852766">
        <w:rPr>
          <w:i/>
          <w:iCs/>
          <w:sz w:val="22"/>
        </w:rPr>
        <w:t xml:space="preserve">kredytów gotówkowych. </w:t>
      </w:r>
      <w:r w:rsidR="00341795">
        <w:rPr>
          <w:i/>
          <w:iCs/>
          <w:sz w:val="22"/>
        </w:rPr>
        <w:t>O ile w</w:t>
      </w:r>
      <w:r w:rsidR="00341795" w:rsidRPr="00101978">
        <w:rPr>
          <w:i/>
          <w:iCs/>
          <w:sz w:val="22"/>
        </w:rPr>
        <w:t xml:space="preserve"> 2021 r. popularnoś</w:t>
      </w:r>
      <w:r w:rsidR="00341795">
        <w:rPr>
          <w:i/>
          <w:iCs/>
          <w:sz w:val="22"/>
        </w:rPr>
        <w:t xml:space="preserve">ć </w:t>
      </w:r>
      <w:r w:rsidR="00EF7C37">
        <w:rPr>
          <w:i/>
          <w:iCs/>
          <w:sz w:val="22"/>
        </w:rPr>
        <w:t xml:space="preserve">kredytów </w:t>
      </w:r>
      <w:r w:rsidR="00341795">
        <w:rPr>
          <w:i/>
          <w:iCs/>
          <w:sz w:val="22"/>
        </w:rPr>
        <w:t xml:space="preserve">wysokokwotowych wynikała z </w:t>
      </w:r>
      <w:r w:rsidR="00341795" w:rsidRPr="00101978">
        <w:rPr>
          <w:i/>
          <w:iCs/>
          <w:sz w:val="22"/>
        </w:rPr>
        <w:t xml:space="preserve">konsolidacji kredytów, </w:t>
      </w:r>
      <w:r w:rsidR="00341795">
        <w:rPr>
          <w:i/>
          <w:iCs/>
          <w:sz w:val="22"/>
        </w:rPr>
        <w:t xml:space="preserve">to w 2022 r. </w:t>
      </w:r>
      <w:r w:rsidR="00553FBC">
        <w:rPr>
          <w:i/>
          <w:iCs/>
          <w:sz w:val="22"/>
        </w:rPr>
        <w:t xml:space="preserve">wzrost zainteresowania kredytami na niskie kwoty </w:t>
      </w:r>
      <w:r w:rsidR="00341795">
        <w:rPr>
          <w:i/>
          <w:iCs/>
          <w:sz w:val="22"/>
        </w:rPr>
        <w:t xml:space="preserve">podyktowany był </w:t>
      </w:r>
      <w:bookmarkStart w:id="17" w:name="_Hlk125457375"/>
      <w:r w:rsidR="00341795">
        <w:rPr>
          <w:i/>
          <w:iCs/>
          <w:sz w:val="22"/>
        </w:rPr>
        <w:t>najprawdopodobniej</w:t>
      </w:r>
      <w:r w:rsidR="00553FBC">
        <w:rPr>
          <w:i/>
          <w:iCs/>
          <w:sz w:val="22"/>
        </w:rPr>
        <w:t xml:space="preserve"> </w:t>
      </w:r>
      <w:r w:rsidR="00013465">
        <w:rPr>
          <w:i/>
          <w:iCs/>
          <w:sz w:val="22"/>
        </w:rPr>
        <w:t>deficy</w:t>
      </w:r>
      <w:r w:rsidR="00822F2C">
        <w:rPr>
          <w:i/>
          <w:iCs/>
          <w:sz w:val="22"/>
        </w:rPr>
        <w:t>tem</w:t>
      </w:r>
      <w:r w:rsidR="00553FBC">
        <w:rPr>
          <w:i/>
          <w:iCs/>
          <w:sz w:val="22"/>
        </w:rPr>
        <w:t xml:space="preserve"> domowego budżetu, </w:t>
      </w:r>
      <w:r w:rsidR="00352872">
        <w:rPr>
          <w:i/>
          <w:iCs/>
          <w:sz w:val="22"/>
        </w:rPr>
        <w:t>nadwyrężonym</w:t>
      </w:r>
      <w:r w:rsidR="00553FBC">
        <w:rPr>
          <w:i/>
          <w:iCs/>
          <w:sz w:val="22"/>
        </w:rPr>
        <w:t xml:space="preserve"> rosnącymi kosztami życia </w:t>
      </w:r>
      <w:bookmarkEnd w:id="17"/>
      <w:r w:rsidR="003D286C" w:rsidRPr="003D286C">
        <w:rPr>
          <w:sz w:val="22"/>
        </w:rPr>
        <w:t xml:space="preserve">– zauważa </w:t>
      </w:r>
      <w:r w:rsidR="00C64491">
        <w:rPr>
          <w:sz w:val="22"/>
        </w:rPr>
        <w:t xml:space="preserve">prezes </w:t>
      </w:r>
      <w:r w:rsidR="003D286C" w:rsidRPr="003D286C">
        <w:rPr>
          <w:sz w:val="22"/>
        </w:rPr>
        <w:t>Cholewa.</w:t>
      </w:r>
    </w:p>
    <w:p w14:paraId="0D11D9C8" w14:textId="00DC85B5" w:rsidR="00234412" w:rsidRDefault="00234412" w:rsidP="00405881">
      <w:pPr>
        <w:jc w:val="both"/>
        <w:rPr>
          <w:i/>
          <w:iCs/>
          <w:sz w:val="22"/>
        </w:rPr>
      </w:pPr>
    </w:p>
    <w:p w14:paraId="5639527F" w14:textId="402BFB61" w:rsidR="000A5502" w:rsidRDefault="00726877" w:rsidP="000A5502">
      <w:pPr>
        <w:jc w:val="both"/>
        <w:rPr>
          <w:sz w:val="22"/>
        </w:rPr>
      </w:pPr>
      <w:r>
        <w:rPr>
          <w:sz w:val="22"/>
        </w:rPr>
        <w:t xml:space="preserve">Z analiz BIK wynika, że </w:t>
      </w:r>
      <w:r w:rsidR="000A5502" w:rsidRPr="000A5502">
        <w:rPr>
          <w:sz w:val="22"/>
        </w:rPr>
        <w:t xml:space="preserve">od 2019 r. regularnie spada liczba kredytobiorców korzystających z tego rodzaju kredytu, a w ubiegłym roku ubyło ich 300 tysięcy. </w:t>
      </w:r>
      <w:r>
        <w:rPr>
          <w:sz w:val="22"/>
        </w:rPr>
        <w:t xml:space="preserve">Będzie miało to wpływ na dalszy spadek akcji kredytowej w tym segmencie kredytowym. Co więcej, </w:t>
      </w:r>
      <w:r w:rsidR="000A5502" w:rsidRPr="000A5502">
        <w:rPr>
          <w:sz w:val="22"/>
        </w:rPr>
        <w:t>banki prawdopodobnie będą chętniej udzielać kredytów własnym klientom</w:t>
      </w:r>
      <w:r>
        <w:rPr>
          <w:sz w:val="22"/>
        </w:rPr>
        <w:t xml:space="preserve"> niż nowym. </w:t>
      </w:r>
      <w:r w:rsidR="000A5502" w:rsidRPr="006102EC">
        <w:rPr>
          <w:sz w:val="22"/>
        </w:rPr>
        <w:t xml:space="preserve">Zjawisko to może </w:t>
      </w:r>
      <w:r>
        <w:rPr>
          <w:sz w:val="22"/>
        </w:rPr>
        <w:t xml:space="preserve">pogłębiać </w:t>
      </w:r>
      <w:r w:rsidR="000A5502">
        <w:rPr>
          <w:sz w:val="22"/>
        </w:rPr>
        <w:t>dodatkowo rosnąc</w:t>
      </w:r>
      <w:r w:rsidR="00080F31">
        <w:rPr>
          <w:sz w:val="22"/>
        </w:rPr>
        <w:t>a</w:t>
      </w:r>
      <w:r w:rsidR="000A5502">
        <w:rPr>
          <w:sz w:val="22"/>
        </w:rPr>
        <w:t xml:space="preserve"> </w:t>
      </w:r>
      <w:r w:rsidR="000A5502" w:rsidRPr="006102EC">
        <w:rPr>
          <w:sz w:val="22"/>
        </w:rPr>
        <w:t>popularnoś</w:t>
      </w:r>
      <w:r w:rsidR="00080F31">
        <w:rPr>
          <w:sz w:val="22"/>
        </w:rPr>
        <w:t>ć</w:t>
      </w:r>
      <w:r w:rsidR="000A5502" w:rsidRPr="006102EC">
        <w:rPr>
          <w:sz w:val="22"/>
        </w:rPr>
        <w:t xml:space="preserve"> </w:t>
      </w:r>
      <w:r>
        <w:rPr>
          <w:sz w:val="22"/>
        </w:rPr>
        <w:t xml:space="preserve">płatności odroczonych </w:t>
      </w:r>
      <w:r w:rsidR="000A5502" w:rsidRPr="006102EC">
        <w:rPr>
          <w:sz w:val="22"/>
        </w:rPr>
        <w:t xml:space="preserve">na rynku e-commerce. </w:t>
      </w:r>
    </w:p>
    <w:p w14:paraId="4E18F7A1" w14:textId="77777777" w:rsidR="00726877" w:rsidRDefault="00726877" w:rsidP="000A5502">
      <w:pPr>
        <w:jc w:val="both"/>
        <w:rPr>
          <w:sz w:val="22"/>
        </w:rPr>
      </w:pPr>
    </w:p>
    <w:p w14:paraId="78AB5670" w14:textId="2EE0A7FE" w:rsidR="000A5502" w:rsidRDefault="00F95D20" w:rsidP="000A5502">
      <w:pPr>
        <w:jc w:val="both"/>
        <w:rPr>
          <w:sz w:val="22"/>
        </w:rPr>
      </w:pPr>
      <w:r>
        <w:rPr>
          <w:sz w:val="22"/>
        </w:rPr>
        <w:t xml:space="preserve">BIK </w:t>
      </w:r>
      <w:r w:rsidR="000A5502">
        <w:rPr>
          <w:sz w:val="22"/>
        </w:rPr>
        <w:t>szacuje</w:t>
      </w:r>
      <w:r>
        <w:rPr>
          <w:sz w:val="22"/>
        </w:rPr>
        <w:t xml:space="preserve"> </w:t>
      </w:r>
      <w:r w:rsidR="003D286C">
        <w:rPr>
          <w:sz w:val="22"/>
        </w:rPr>
        <w:t>w roku</w:t>
      </w:r>
      <w:r>
        <w:rPr>
          <w:sz w:val="22"/>
        </w:rPr>
        <w:t xml:space="preserve"> 2023 </w:t>
      </w:r>
      <w:r w:rsidR="000B2866" w:rsidRPr="000B2866">
        <w:rPr>
          <w:sz w:val="22"/>
        </w:rPr>
        <w:t>utrzymanie wartości akcji kredytowej na poziomie zbliżonym do 2022 r.</w:t>
      </w:r>
      <w:r w:rsidR="000B2866">
        <w:rPr>
          <w:sz w:val="22"/>
        </w:rPr>
        <w:t xml:space="preserve">, tj. </w:t>
      </w:r>
      <w:r w:rsidR="000B2866" w:rsidRPr="000B2866">
        <w:rPr>
          <w:sz w:val="22"/>
        </w:rPr>
        <w:t>na kwotę 65,0 mld zł</w:t>
      </w:r>
      <w:r w:rsidR="000B2866">
        <w:rPr>
          <w:sz w:val="22"/>
        </w:rPr>
        <w:t>.</w:t>
      </w:r>
      <w:r w:rsidR="000B2866" w:rsidRPr="000B2866">
        <w:rPr>
          <w:sz w:val="22"/>
        </w:rPr>
        <w:t xml:space="preserve"> </w:t>
      </w:r>
    </w:p>
    <w:p w14:paraId="38EE55E5" w14:textId="77777777" w:rsidR="000A5502" w:rsidRDefault="000A5502" w:rsidP="006B339C">
      <w:pPr>
        <w:jc w:val="both"/>
        <w:rPr>
          <w:sz w:val="22"/>
        </w:rPr>
      </w:pPr>
    </w:p>
    <w:p w14:paraId="2FC30196" w14:textId="684C2D2D" w:rsidR="00B26ABA" w:rsidRPr="00B26ABA" w:rsidRDefault="00577E50" w:rsidP="00405881">
      <w:pPr>
        <w:jc w:val="both"/>
        <w:rPr>
          <w:b/>
          <w:bCs/>
          <w:sz w:val="22"/>
        </w:rPr>
      </w:pPr>
      <w:r w:rsidRPr="00B26ABA">
        <w:rPr>
          <w:b/>
          <w:bCs/>
          <w:sz w:val="22"/>
        </w:rPr>
        <w:t xml:space="preserve">Rynek pożyczek </w:t>
      </w:r>
      <w:proofErr w:type="spellStart"/>
      <w:r w:rsidRPr="00B26ABA">
        <w:rPr>
          <w:b/>
          <w:bCs/>
          <w:sz w:val="22"/>
        </w:rPr>
        <w:t>pozabankowych</w:t>
      </w:r>
      <w:proofErr w:type="spellEnd"/>
      <w:r w:rsidR="00B26ABA">
        <w:rPr>
          <w:b/>
          <w:bCs/>
          <w:sz w:val="22"/>
        </w:rPr>
        <w:t xml:space="preserve"> na fali wzrostowej</w:t>
      </w:r>
      <w:r w:rsidRPr="00B26ABA">
        <w:rPr>
          <w:b/>
          <w:bCs/>
          <w:sz w:val="22"/>
        </w:rPr>
        <w:t xml:space="preserve"> </w:t>
      </w:r>
    </w:p>
    <w:p w14:paraId="678891DE" w14:textId="77777777" w:rsidR="00B26ABA" w:rsidRDefault="00B26ABA" w:rsidP="00405881">
      <w:pPr>
        <w:jc w:val="both"/>
        <w:rPr>
          <w:sz w:val="22"/>
        </w:rPr>
      </w:pPr>
    </w:p>
    <w:p w14:paraId="595140C4" w14:textId="54CE55A1" w:rsidR="00A8018E" w:rsidRDefault="00B26ABA" w:rsidP="00A8018E">
      <w:pPr>
        <w:jc w:val="both"/>
        <w:rPr>
          <w:sz w:val="22"/>
        </w:rPr>
      </w:pPr>
      <w:r>
        <w:rPr>
          <w:sz w:val="22"/>
        </w:rPr>
        <w:t>Pomimo dużej zmienności rynkowej i regulacyjnej,</w:t>
      </w:r>
      <w:r w:rsidR="00A8018E">
        <w:rPr>
          <w:sz w:val="22"/>
        </w:rPr>
        <w:t xml:space="preserve"> </w:t>
      </w:r>
      <w:r>
        <w:rPr>
          <w:sz w:val="22"/>
        </w:rPr>
        <w:t xml:space="preserve">rok 2022 r. </w:t>
      </w:r>
      <w:r w:rsidR="00A8018E">
        <w:rPr>
          <w:sz w:val="22"/>
        </w:rPr>
        <w:t xml:space="preserve">cechował </w:t>
      </w:r>
      <w:r w:rsidR="00B04A18">
        <w:rPr>
          <w:sz w:val="22"/>
        </w:rPr>
        <w:t xml:space="preserve">wyraźny </w:t>
      </w:r>
      <w:r w:rsidR="00A8018E">
        <w:rPr>
          <w:sz w:val="22"/>
        </w:rPr>
        <w:t xml:space="preserve">wzrost na rynku pożyczek </w:t>
      </w:r>
      <w:proofErr w:type="spellStart"/>
      <w:r w:rsidR="00A8018E">
        <w:rPr>
          <w:sz w:val="22"/>
        </w:rPr>
        <w:t>pozabankowych</w:t>
      </w:r>
      <w:proofErr w:type="spellEnd"/>
      <w:r w:rsidR="00A8018E">
        <w:rPr>
          <w:sz w:val="22"/>
        </w:rPr>
        <w:t xml:space="preserve">. Łącznie udzielono 3,6 mln pożyczek na </w:t>
      </w:r>
      <w:r w:rsidR="001C2BED">
        <w:rPr>
          <w:sz w:val="22"/>
        </w:rPr>
        <w:t xml:space="preserve">kwotę </w:t>
      </w:r>
      <w:r w:rsidR="00A8018E">
        <w:rPr>
          <w:sz w:val="22"/>
        </w:rPr>
        <w:t>9,1 mld zł. W</w:t>
      </w:r>
      <w:r w:rsidR="00B04A18">
        <w:rPr>
          <w:sz w:val="22"/>
        </w:rPr>
        <w:t xml:space="preserve"> relacji </w:t>
      </w:r>
      <w:r w:rsidR="00B51C7B">
        <w:rPr>
          <w:sz w:val="22"/>
        </w:rPr>
        <w:t>do 2021 r. w</w:t>
      </w:r>
      <w:r w:rsidR="00A8018E">
        <w:rPr>
          <w:sz w:val="22"/>
        </w:rPr>
        <w:t xml:space="preserve">zrosła zarówno ich liczba (+22,9 proc.), jak i wartość (+27,0 proc.) </w:t>
      </w:r>
    </w:p>
    <w:p w14:paraId="78FC4C9B" w14:textId="1D2E845C" w:rsidR="00A8018E" w:rsidRDefault="00A8018E" w:rsidP="00405881">
      <w:pPr>
        <w:jc w:val="both"/>
        <w:rPr>
          <w:sz w:val="22"/>
        </w:rPr>
      </w:pPr>
    </w:p>
    <w:p w14:paraId="40F81A55" w14:textId="0AB7EA77" w:rsidR="00B04A18" w:rsidRDefault="00B04A18" w:rsidP="00B04A18">
      <w:pPr>
        <w:jc w:val="both"/>
        <w:rPr>
          <w:i/>
          <w:iCs/>
          <w:sz w:val="22"/>
        </w:rPr>
      </w:pPr>
      <w:r>
        <w:rPr>
          <w:sz w:val="22"/>
        </w:rPr>
        <w:t xml:space="preserve">- </w:t>
      </w:r>
      <w:r w:rsidR="00B51C7B" w:rsidRPr="00B51C7B">
        <w:rPr>
          <w:i/>
          <w:iCs/>
          <w:sz w:val="22"/>
        </w:rPr>
        <w:t xml:space="preserve">Rok 2022 to kontynuacja odbudowy osłabionego pandemią rynku pożyczek </w:t>
      </w:r>
      <w:proofErr w:type="spellStart"/>
      <w:r w:rsidR="00B51C7B" w:rsidRPr="00B51C7B">
        <w:rPr>
          <w:i/>
          <w:iCs/>
          <w:sz w:val="22"/>
        </w:rPr>
        <w:t>pozabankowych</w:t>
      </w:r>
      <w:proofErr w:type="spellEnd"/>
      <w:r w:rsidR="00B51C7B" w:rsidRPr="00B51C7B">
        <w:rPr>
          <w:i/>
          <w:iCs/>
          <w:sz w:val="22"/>
        </w:rPr>
        <w:t xml:space="preserve">. </w:t>
      </w:r>
      <w:r w:rsidR="00B51C7B">
        <w:rPr>
          <w:i/>
          <w:iCs/>
          <w:sz w:val="22"/>
        </w:rPr>
        <w:t>N</w:t>
      </w:r>
      <w:r w:rsidRPr="00B04A18">
        <w:rPr>
          <w:i/>
          <w:iCs/>
          <w:sz w:val="22"/>
        </w:rPr>
        <w:t xml:space="preserve">ie można </w:t>
      </w:r>
      <w:r w:rsidR="00B51C7B">
        <w:rPr>
          <w:i/>
          <w:iCs/>
          <w:sz w:val="22"/>
        </w:rPr>
        <w:t xml:space="preserve">więc analizować tego rynku </w:t>
      </w:r>
      <w:r w:rsidRPr="00B04A18">
        <w:rPr>
          <w:i/>
          <w:iCs/>
          <w:sz w:val="22"/>
        </w:rPr>
        <w:t>w oderwaniu od</w:t>
      </w:r>
      <w:r w:rsidR="00B51C7B">
        <w:rPr>
          <w:i/>
          <w:iCs/>
          <w:sz w:val="22"/>
        </w:rPr>
        <w:t xml:space="preserve"> sytuacji w latach</w:t>
      </w:r>
      <w:r w:rsidRPr="00B04A18">
        <w:rPr>
          <w:i/>
          <w:iCs/>
          <w:sz w:val="22"/>
        </w:rPr>
        <w:t xml:space="preserve"> 2021 i 2020. W roku 2021 rynek ten, po zapaści z pierwszego okresu pandemii, zaczął się dynamicznie odbudowywać. </w:t>
      </w:r>
      <w:r w:rsidR="00B51C7B">
        <w:rPr>
          <w:i/>
          <w:iCs/>
          <w:sz w:val="22"/>
        </w:rPr>
        <w:t>W</w:t>
      </w:r>
      <w:r w:rsidR="00B51C7B" w:rsidRPr="00B51C7B">
        <w:rPr>
          <w:i/>
          <w:iCs/>
          <w:sz w:val="22"/>
        </w:rPr>
        <w:t xml:space="preserve"> 2022 </w:t>
      </w:r>
      <w:r w:rsidR="00B51C7B">
        <w:rPr>
          <w:i/>
          <w:iCs/>
          <w:sz w:val="22"/>
        </w:rPr>
        <w:t xml:space="preserve">r. </w:t>
      </w:r>
      <w:r w:rsidR="00B51C7B" w:rsidRPr="00B51C7B">
        <w:rPr>
          <w:i/>
          <w:iCs/>
          <w:sz w:val="22"/>
        </w:rPr>
        <w:t xml:space="preserve">wzrosty były już niższe, </w:t>
      </w:r>
      <w:r w:rsidR="00B51C7B">
        <w:rPr>
          <w:i/>
          <w:iCs/>
          <w:sz w:val="22"/>
        </w:rPr>
        <w:t xml:space="preserve">co jest efektem </w:t>
      </w:r>
      <w:r w:rsidR="001C2BED">
        <w:rPr>
          <w:i/>
          <w:iCs/>
          <w:sz w:val="22"/>
        </w:rPr>
        <w:t xml:space="preserve">wyższej </w:t>
      </w:r>
      <w:r w:rsidR="00B51C7B">
        <w:rPr>
          <w:i/>
          <w:iCs/>
          <w:sz w:val="22"/>
        </w:rPr>
        <w:t>bazy w 2021 r</w:t>
      </w:r>
      <w:r w:rsidR="00B51C7B" w:rsidRPr="00B51C7B">
        <w:rPr>
          <w:i/>
          <w:iCs/>
          <w:sz w:val="22"/>
        </w:rPr>
        <w:t xml:space="preserve">. </w:t>
      </w:r>
    </w:p>
    <w:p w14:paraId="6B58499E" w14:textId="77777777" w:rsidR="00A137A8" w:rsidRDefault="00A137A8" w:rsidP="00B04A18">
      <w:pPr>
        <w:jc w:val="both"/>
        <w:rPr>
          <w:sz w:val="22"/>
        </w:rPr>
      </w:pPr>
    </w:p>
    <w:p w14:paraId="3AE064D0" w14:textId="4C730EA2" w:rsidR="006A7148" w:rsidRDefault="00B51C7B" w:rsidP="00B04A18">
      <w:pPr>
        <w:jc w:val="both"/>
        <w:rPr>
          <w:sz w:val="22"/>
        </w:rPr>
      </w:pPr>
      <w:r>
        <w:rPr>
          <w:sz w:val="22"/>
        </w:rPr>
        <w:t>Na poziom liczby i wartości pożyczek</w:t>
      </w:r>
      <w:r w:rsidR="00556715">
        <w:rPr>
          <w:sz w:val="22"/>
        </w:rPr>
        <w:t xml:space="preserve"> </w:t>
      </w:r>
      <w:r>
        <w:rPr>
          <w:sz w:val="22"/>
        </w:rPr>
        <w:t xml:space="preserve">udzielonych w 2022 r., wpływ miały dwa </w:t>
      </w:r>
      <w:r w:rsidR="00905262">
        <w:rPr>
          <w:sz w:val="22"/>
        </w:rPr>
        <w:t>czynniki</w:t>
      </w:r>
      <w:r>
        <w:rPr>
          <w:sz w:val="22"/>
        </w:rPr>
        <w:t xml:space="preserve">. </w:t>
      </w:r>
      <w:r w:rsidR="00556715">
        <w:rPr>
          <w:sz w:val="22"/>
        </w:rPr>
        <w:t xml:space="preserve">Pierwszym z nich jest dynamiczny wzrost rynku </w:t>
      </w:r>
      <w:r w:rsidR="00013465">
        <w:rPr>
          <w:sz w:val="22"/>
        </w:rPr>
        <w:t>płatności odroczonych</w:t>
      </w:r>
      <w:r w:rsidR="00556715">
        <w:rPr>
          <w:sz w:val="22"/>
        </w:rPr>
        <w:t>. Drugim zaś</w:t>
      </w:r>
      <w:r w:rsidR="00905262">
        <w:rPr>
          <w:sz w:val="22"/>
        </w:rPr>
        <w:t xml:space="preserve"> - </w:t>
      </w:r>
      <w:r w:rsidR="006A7148">
        <w:rPr>
          <w:sz w:val="22"/>
        </w:rPr>
        <w:t xml:space="preserve">wzrost zapotrzebowania na </w:t>
      </w:r>
      <w:r w:rsidR="00D628DE">
        <w:rPr>
          <w:sz w:val="22"/>
        </w:rPr>
        <w:t xml:space="preserve">łatwo dostępne, </w:t>
      </w:r>
      <w:proofErr w:type="spellStart"/>
      <w:r w:rsidR="006A7148">
        <w:rPr>
          <w:sz w:val="22"/>
        </w:rPr>
        <w:t>niskokwotowe</w:t>
      </w:r>
      <w:proofErr w:type="spellEnd"/>
      <w:r w:rsidR="006A7148">
        <w:rPr>
          <w:sz w:val="22"/>
        </w:rPr>
        <w:t xml:space="preserve"> finansowanie</w:t>
      </w:r>
      <w:r w:rsidR="003901F9">
        <w:rPr>
          <w:sz w:val="22"/>
        </w:rPr>
        <w:t xml:space="preserve">, potrzebne na bieżące wydatki czy pokrywanie </w:t>
      </w:r>
      <w:r w:rsidR="00013465">
        <w:rPr>
          <w:sz w:val="22"/>
        </w:rPr>
        <w:t xml:space="preserve">deficytu </w:t>
      </w:r>
      <w:r w:rsidR="00A9727B">
        <w:rPr>
          <w:sz w:val="22"/>
        </w:rPr>
        <w:t xml:space="preserve">w budżecie domowym. </w:t>
      </w:r>
    </w:p>
    <w:p w14:paraId="4C4A1AB5" w14:textId="198484F2" w:rsidR="00980CDA" w:rsidRDefault="00001491" w:rsidP="00001491">
      <w:pPr>
        <w:jc w:val="both"/>
        <w:rPr>
          <w:sz w:val="22"/>
        </w:rPr>
      </w:pPr>
      <w:r>
        <w:rPr>
          <w:sz w:val="22"/>
        </w:rPr>
        <w:t xml:space="preserve">Z uwagi na zmiany, jakie czekają rynek pożyczek </w:t>
      </w:r>
      <w:proofErr w:type="spellStart"/>
      <w:r>
        <w:rPr>
          <w:sz w:val="22"/>
        </w:rPr>
        <w:t>pozabankowych</w:t>
      </w:r>
      <w:proofErr w:type="spellEnd"/>
      <w:r>
        <w:rPr>
          <w:sz w:val="22"/>
        </w:rPr>
        <w:t xml:space="preserve"> w 2023 r. zarówno o charakterze regulacyjnym, jak i biznesowym (rynek BNPL), prognozy </w:t>
      </w:r>
      <w:r w:rsidR="00B94B93">
        <w:rPr>
          <w:sz w:val="22"/>
        </w:rPr>
        <w:t xml:space="preserve">na ten rok są </w:t>
      </w:r>
      <w:r>
        <w:rPr>
          <w:sz w:val="22"/>
        </w:rPr>
        <w:t xml:space="preserve">obarczone dużą niepewnością. </w:t>
      </w:r>
    </w:p>
    <w:p w14:paraId="1572028D" w14:textId="51D88ED9" w:rsidR="00001491" w:rsidRDefault="00001491" w:rsidP="00001491">
      <w:pPr>
        <w:jc w:val="both"/>
        <w:rPr>
          <w:sz w:val="22"/>
        </w:rPr>
      </w:pPr>
    </w:p>
    <w:p w14:paraId="47F84165" w14:textId="70144233" w:rsidR="00276BFD" w:rsidRPr="00980CDA" w:rsidRDefault="00320C5B" w:rsidP="000B0502">
      <w:pPr>
        <w:jc w:val="both"/>
        <w:rPr>
          <w:rFonts w:cstheme="minorHAnsi"/>
          <w:b/>
          <w:bCs/>
          <w:sz w:val="22"/>
        </w:rPr>
      </w:pPr>
      <w:r w:rsidRPr="00980CDA">
        <w:rPr>
          <w:rFonts w:cstheme="minorHAnsi"/>
          <w:b/>
          <w:bCs/>
          <w:sz w:val="22"/>
        </w:rPr>
        <w:t>Stabilna j</w:t>
      </w:r>
      <w:r w:rsidR="00276BFD" w:rsidRPr="00980CDA">
        <w:rPr>
          <w:rFonts w:cstheme="minorHAnsi"/>
          <w:b/>
          <w:bCs/>
          <w:sz w:val="22"/>
        </w:rPr>
        <w:t xml:space="preserve">akość kredytów spłacanych przez klientów </w:t>
      </w:r>
      <w:r w:rsidR="00426517" w:rsidRPr="00980CDA">
        <w:rPr>
          <w:rFonts w:cstheme="minorHAnsi"/>
          <w:b/>
          <w:bCs/>
          <w:sz w:val="22"/>
        </w:rPr>
        <w:t>indywidualnych</w:t>
      </w:r>
    </w:p>
    <w:p w14:paraId="4FAD89D9" w14:textId="77777777" w:rsidR="005163AE" w:rsidRPr="00980CDA" w:rsidRDefault="005163AE" w:rsidP="000B0502">
      <w:pPr>
        <w:jc w:val="both"/>
        <w:rPr>
          <w:rFonts w:cstheme="minorHAnsi"/>
          <w:sz w:val="22"/>
        </w:rPr>
      </w:pPr>
    </w:p>
    <w:p w14:paraId="373BCE0F" w14:textId="26FA60AB" w:rsidR="00320C5B" w:rsidRDefault="00320C5B" w:rsidP="00320C5B">
      <w:pPr>
        <w:jc w:val="both"/>
        <w:rPr>
          <w:rFonts w:cstheme="minorHAnsi"/>
          <w:sz w:val="22"/>
        </w:rPr>
      </w:pPr>
      <w:bookmarkStart w:id="18" w:name="_Hlk125126352"/>
      <w:r w:rsidRPr="00320C5B">
        <w:rPr>
          <w:rFonts w:cstheme="minorHAnsi"/>
          <w:sz w:val="22"/>
        </w:rPr>
        <w:t xml:space="preserve">Wbrew obawom z początku </w:t>
      </w:r>
      <w:r w:rsidR="00884A35" w:rsidRPr="00980CDA">
        <w:rPr>
          <w:rFonts w:cstheme="minorHAnsi"/>
          <w:sz w:val="22"/>
        </w:rPr>
        <w:t xml:space="preserve">2022 </w:t>
      </w:r>
      <w:r w:rsidRPr="00320C5B">
        <w:rPr>
          <w:rFonts w:cstheme="minorHAnsi"/>
          <w:sz w:val="22"/>
        </w:rPr>
        <w:t>r</w:t>
      </w:r>
      <w:r w:rsidR="00884A35" w:rsidRPr="00980CDA">
        <w:rPr>
          <w:rFonts w:cstheme="minorHAnsi"/>
          <w:sz w:val="22"/>
        </w:rPr>
        <w:t>.</w:t>
      </w:r>
      <w:r w:rsidRPr="00320C5B">
        <w:rPr>
          <w:rFonts w:cstheme="minorHAnsi"/>
          <w:sz w:val="22"/>
        </w:rPr>
        <w:t>, nie wystąpiło gwałtowne pogorszenie jakości spłacanych kredytów</w:t>
      </w:r>
      <w:r w:rsidR="001C2BED">
        <w:rPr>
          <w:rFonts w:cstheme="minorHAnsi"/>
          <w:sz w:val="22"/>
        </w:rPr>
        <w:t xml:space="preserve"> i pożyczek</w:t>
      </w:r>
      <w:r w:rsidRPr="00320C5B">
        <w:rPr>
          <w:rFonts w:cstheme="minorHAnsi"/>
          <w:sz w:val="22"/>
        </w:rPr>
        <w:t xml:space="preserve">. </w:t>
      </w:r>
      <w:bookmarkEnd w:id="18"/>
      <w:r w:rsidRPr="00320C5B">
        <w:rPr>
          <w:rFonts w:cstheme="minorHAnsi"/>
          <w:sz w:val="22"/>
        </w:rPr>
        <w:t xml:space="preserve">Źródłem obaw </w:t>
      </w:r>
      <w:r w:rsidR="00CB4DA7">
        <w:rPr>
          <w:rFonts w:cstheme="minorHAnsi"/>
          <w:sz w:val="22"/>
        </w:rPr>
        <w:t xml:space="preserve">o wzrost szkodowości </w:t>
      </w:r>
      <w:r w:rsidRPr="00320C5B">
        <w:rPr>
          <w:rFonts w:cstheme="minorHAnsi"/>
          <w:sz w:val="22"/>
        </w:rPr>
        <w:t>były wysoka inflacja, wzrost stóp procentowych</w:t>
      </w:r>
      <w:r w:rsidR="00884A35" w:rsidRPr="00980CDA">
        <w:rPr>
          <w:rFonts w:cstheme="minorHAnsi"/>
          <w:sz w:val="22"/>
        </w:rPr>
        <w:t xml:space="preserve"> </w:t>
      </w:r>
      <w:r w:rsidRPr="00320C5B">
        <w:rPr>
          <w:rFonts w:cstheme="minorHAnsi"/>
          <w:sz w:val="22"/>
        </w:rPr>
        <w:t xml:space="preserve">do poziomu niewidzianego od ponad 20 lat oraz wojna w Ukrainie. </w:t>
      </w:r>
    </w:p>
    <w:p w14:paraId="75B91A00" w14:textId="77777777" w:rsidR="00E80641" w:rsidRPr="00320C5B" w:rsidRDefault="00E80641" w:rsidP="00320C5B">
      <w:pPr>
        <w:jc w:val="both"/>
        <w:rPr>
          <w:rFonts w:cstheme="minorHAnsi"/>
          <w:sz w:val="22"/>
        </w:rPr>
      </w:pPr>
    </w:p>
    <w:p w14:paraId="4CA3DCF2" w14:textId="2E9D9F75" w:rsidR="004E1CA1" w:rsidRDefault="00320C5B" w:rsidP="00320C5B">
      <w:pPr>
        <w:jc w:val="both"/>
        <w:rPr>
          <w:rFonts w:cstheme="minorHAnsi"/>
          <w:sz w:val="22"/>
        </w:rPr>
      </w:pPr>
      <w:r w:rsidRPr="00320C5B">
        <w:rPr>
          <w:rFonts w:cstheme="minorHAnsi"/>
          <w:sz w:val="22"/>
        </w:rPr>
        <w:t>Pomimo niesprzyjających warunków rynkowych, jakość spłat wszystkich rodzajów kredytów pozosta</w:t>
      </w:r>
      <w:r w:rsidR="00CB4DA7">
        <w:rPr>
          <w:rFonts w:cstheme="minorHAnsi"/>
          <w:sz w:val="22"/>
        </w:rPr>
        <w:t xml:space="preserve">ła </w:t>
      </w:r>
      <w:r w:rsidR="00262505">
        <w:rPr>
          <w:rFonts w:cstheme="minorHAnsi"/>
          <w:sz w:val="22"/>
        </w:rPr>
        <w:t>na bezpiecznym poziomie.</w:t>
      </w:r>
      <w:r w:rsidR="00E53D73">
        <w:rPr>
          <w:rFonts w:cstheme="minorHAnsi"/>
          <w:sz w:val="22"/>
        </w:rPr>
        <w:t xml:space="preserve"> </w:t>
      </w:r>
      <w:r w:rsidR="00CB4DA7">
        <w:rPr>
          <w:rFonts w:cstheme="minorHAnsi"/>
          <w:sz w:val="22"/>
        </w:rPr>
        <w:t>P</w:t>
      </w:r>
      <w:r w:rsidR="004D6326">
        <w:rPr>
          <w:rFonts w:cstheme="minorHAnsi"/>
          <w:sz w:val="22"/>
        </w:rPr>
        <w:t>ewien symptom p</w:t>
      </w:r>
      <w:r w:rsidR="00CB4DA7">
        <w:rPr>
          <w:rFonts w:cstheme="minorHAnsi"/>
          <w:sz w:val="22"/>
        </w:rPr>
        <w:t>ogorszeni</w:t>
      </w:r>
      <w:r w:rsidR="004D6326">
        <w:rPr>
          <w:rFonts w:cstheme="minorHAnsi"/>
          <w:sz w:val="22"/>
        </w:rPr>
        <w:t xml:space="preserve">a widać w </w:t>
      </w:r>
      <w:r w:rsidR="004E1CA1">
        <w:rPr>
          <w:rFonts w:cstheme="minorHAnsi"/>
          <w:sz w:val="22"/>
        </w:rPr>
        <w:t>kredyt</w:t>
      </w:r>
      <w:r w:rsidR="004D6326">
        <w:rPr>
          <w:rFonts w:cstheme="minorHAnsi"/>
          <w:sz w:val="22"/>
        </w:rPr>
        <w:t>ach</w:t>
      </w:r>
      <w:r w:rsidR="004E1CA1">
        <w:rPr>
          <w:rFonts w:cstheme="minorHAnsi"/>
          <w:sz w:val="22"/>
        </w:rPr>
        <w:t xml:space="preserve"> mieszkaniowych</w:t>
      </w:r>
      <w:r w:rsidR="00CB4DA7">
        <w:rPr>
          <w:rFonts w:cstheme="minorHAnsi"/>
          <w:sz w:val="22"/>
        </w:rPr>
        <w:t xml:space="preserve"> i gotówkowych</w:t>
      </w:r>
      <w:r w:rsidR="004E1CA1">
        <w:rPr>
          <w:rFonts w:cstheme="minorHAnsi"/>
          <w:sz w:val="22"/>
        </w:rPr>
        <w:t>.</w:t>
      </w:r>
    </w:p>
    <w:p w14:paraId="4DF7B048" w14:textId="77777777" w:rsidR="00E80641" w:rsidRDefault="00E80641" w:rsidP="00320C5B">
      <w:pPr>
        <w:jc w:val="both"/>
        <w:rPr>
          <w:rFonts w:cstheme="minorHAnsi"/>
          <w:sz w:val="22"/>
        </w:rPr>
      </w:pPr>
    </w:p>
    <w:p w14:paraId="35A01944" w14:textId="72577EBE" w:rsidR="00E80641" w:rsidRDefault="004E1CA1" w:rsidP="00320C5B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 xml:space="preserve">Kredyty gotówkowe udzielone w 2022 r. </w:t>
      </w:r>
      <w:r w:rsidR="003C1AA1">
        <w:rPr>
          <w:rFonts w:cstheme="minorHAnsi"/>
          <w:sz w:val="22"/>
        </w:rPr>
        <w:t>były</w:t>
      </w:r>
      <w:r w:rsidR="00846B95">
        <w:rPr>
          <w:rFonts w:cstheme="minorHAnsi"/>
          <w:sz w:val="22"/>
        </w:rPr>
        <w:t xml:space="preserve"> spłacane gorzej od kredytów z lat 2021 i 2020</w:t>
      </w:r>
      <w:r>
        <w:rPr>
          <w:rFonts w:cstheme="minorHAnsi"/>
          <w:sz w:val="22"/>
        </w:rPr>
        <w:t xml:space="preserve">, </w:t>
      </w:r>
      <w:r w:rsidR="00AE01C0">
        <w:rPr>
          <w:rFonts w:cstheme="minorHAnsi"/>
          <w:sz w:val="22"/>
        </w:rPr>
        <w:t>niezależnie od kwot</w:t>
      </w:r>
      <w:r w:rsidR="008F123D">
        <w:rPr>
          <w:rFonts w:cstheme="minorHAnsi"/>
          <w:sz w:val="22"/>
        </w:rPr>
        <w:t xml:space="preserve">y, na jaką zostały udzielone. </w:t>
      </w:r>
    </w:p>
    <w:p w14:paraId="7CFBCC8B" w14:textId="77777777" w:rsidR="00AE01C0" w:rsidRDefault="00AE01C0" w:rsidP="00320C5B">
      <w:pPr>
        <w:jc w:val="both"/>
        <w:rPr>
          <w:rFonts w:cstheme="minorHAnsi"/>
          <w:sz w:val="22"/>
        </w:rPr>
      </w:pPr>
    </w:p>
    <w:p w14:paraId="084259F7" w14:textId="0C62E442" w:rsidR="00B4202D" w:rsidRDefault="00B4202D" w:rsidP="00320C5B">
      <w:pPr>
        <w:jc w:val="both"/>
        <w:rPr>
          <w:rFonts w:cstheme="minorHAnsi"/>
          <w:sz w:val="22"/>
        </w:rPr>
      </w:pPr>
      <w:r w:rsidRPr="00846B95">
        <w:rPr>
          <w:rFonts w:cstheme="minorHAnsi"/>
          <w:sz w:val="22"/>
        </w:rPr>
        <w:t xml:space="preserve">Stabilna sytuacja </w:t>
      </w:r>
      <w:r w:rsidR="00CB4DA7">
        <w:rPr>
          <w:rFonts w:cstheme="minorHAnsi"/>
          <w:sz w:val="22"/>
        </w:rPr>
        <w:t xml:space="preserve">w zakresie </w:t>
      </w:r>
      <w:r w:rsidRPr="00846B95">
        <w:rPr>
          <w:rFonts w:cstheme="minorHAnsi"/>
          <w:sz w:val="22"/>
        </w:rPr>
        <w:t>jakości występuje w kredytach ratalnych.</w:t>
      </w:r>
      <w:r w:rsidR="007A2D8F">
        <w:rPr>
          <w:rFonts w:cstheme="minorHAnsi"/>
          <w:sz w:val="22"/>
        </w:rPr>
        <w:t xml:space="preserve"> </w:t>
      </w:r>
      <w:r w:rsidRPr="00846B95">
        <w:rPr>
          <w:rFonts w:cstheme="minorHAnsi"/>
          <w:sz w:val="22"/>
        </w:rPr>
        <w:t xml:space="preserve">Korzystają z nich wiarygodni kredytobiorcy, poziom szkodowości tego produktu jest niski, a przez to atrakcyjny dla udzielających je banków. </w:t>
      </w:r>
    </w:p>
    <w:p w14:paraId="1119DE4A" w14:textId="77777777" w:rsidR="007249DD" w:rsidRDefault="007249DD" w:rsidP="00320C5B">
      <w:pPr>
        <w:jc w:val="both"/>
        <w:rPr>
          <w:rFonts w:cstheme="minorHAnsi"/>
          <w:sz w:val="22"/>
        </w:rPr>
      </w:pPr>
    </w:p>
    <w:p w14:paraId="5D84B628" w14:textId="720F4FED" w:rsidR="007A2D8F" w:rsidRPr="007A2D8F" w:rsidRDefault="007A2D8F" w:rsidP="007A2D8F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Polepszyła się </w:t>
      </w:r>
      <w:r w:rsidRPr="007A2D8F">
        <w:rPr>
          <w:rFonts w:cstheme="minorHAnsi"/>
          <w:sz w:val="22"/>
        </w:rPr>
        <w:t xml:space="preserve">w ostatnim </w:t>
      </w:r>
      <w:r>
        <w:rPr>
          <w:rFonts w:cstheme="minorHAnsi"/>
          <w:sz w:val="22"/>
        </w:rPr>
        <w:t>roku</w:t>
      </w:r>
      <w:r w:rsidRPr="007A2D8F">
        <w:rPr>
          <w:rFonts w:cstheme="minorHAnsi"/>
          <w:sz w:val="22"/>
        </w:rPr>
        <w:t xml:space="preserve"> jakość pożyczek </w:t>
      </w:r>
      <w:proofErr w:type="spellStart"/>
      <w:r>
        <w:rPr>
          <w:rFonts w:cstheme="minorHAnsi"/>
          <w:sz w:val="22"/>
        </w:rPr>
        <w:t>pozabankowych</w:t>
      </w:r>
      <w:proofErr w:type="spellEnd"/>
      <w:r>
        <w:rPr>
          <w:rFonts w:cstheme="minorHAnsi"/>
          <w:sz w:val="22"/>
        </w:rPr>
        <w:t>. Widać to wyraźnie</w:t>
      </w:r>
      <w:r w:rsidR="00CB4DA7">
        <w:rPr>
          <w:rFonts w:cstheme="minorHAnsi"/>
          <w:sz w:val="22"/>
        </w:rPr>
        <w:t xml:space="preserve"> w spadku</w:t>
      </w:r>
      <w:r>
        <w:rPr>
          <w:rFonts w:cstheme="minorHAnsi"/>
          <w:sz w:val="22"/>
        </w:rPr>
        <w:t xml:space="preserve"> udział</w:t>
      </w:r>
      <w:r w:rsidR="00CB4DA7">
        <w:rPr>
          <w:rFonts w:cstheme="minorHAnsi"/>
          <w:sz w:val="22"/>
        </w:rPr>
        <w:t xml:space="preserve">u </w:t>
      </w:r>
      <w:r>
        <w:rPr>
          <w:rFonts w:cstheme="minorHAnsi"/>
          <w:sz w:val="22"/>
        </w:rPr>
        <w:t xml:space="preserve"> </w:t>
      </w:r>
      <w:r w:rsidR="00CB4DA7">
        <w:rPr>
          <w:rFonts w:cstheme="minorHAnsi"/>
          <w:sz w:val="22"/>
        </w:rPr>
        <w:t xml:space="preserve">pożyczek </w:t>
      </w:r>
      <w:r>
        <w:rPr>
          <w:rFonts w:cstheme="minorHAnsi"/>
          <w:sz w:val="22"/>
        </w:rPr>
        <w:t xml:space="preserve">opóźnionych pow. 90 dni opóźnionych </w:t>
      </w:r>
      <w:r w:rsidR="00CB4DA7">
        <w:rPr>
          <w:rFonts w:cstheme="minorHAnsi"/>
          <w:sz w:val="22"/>
        </w:rPr>
        <w:t xml:space="preserve"> we</w:t>
      </w:r>
      <w:r>
        <w:rPr>
          <w:rFonts w:cstheme="minorHAnsi"/>
          <w:sz w:val="22"/>
        </w:rPr>
        <w:t xml:space="preserve"> wszystkich </w:t>
      </w:r>
      <w:r w:rsidR="00CB4DA7">
        <w:rPr>
          <w:rFonts w:cstheme="minorHAnsi"/>
          <w:sz w:val="22"/>
        </w:rPr>
        <w:t xml:space="preserve">przedziałach </w:t>
      </w:r>
      <w:r>
        <w:rPr>
          <w:rFonts w:cstheme="minorHAnsi"/>
          <w:sz w:val="22"/>
        </w:rPr>
        <w:t xml:space="preserve">kwotowych.  </w:t>
      </w:r>
      <w:r w:rsidRPr="007A2D8F">
        <w:rPr>
          <w:rFonts w:cstheme="minorHAnsi"/>
          <w:sz w:val="22"/>
        </w:rPr>
        <w:t xml:space="preserve"> </w:t>
      </w:r>
    </w:p>
    <w:p w14:paraId="7AA077DD" w14:textId="474CFE2A" w:rsidR="007249DD" w:rsidRDefault="007249DD" w:rsidP="00320C5B">
      <w:pPr>
        <w:jc w:val="both"/>
        <w:rPr>
          <w:rFonts w:cstheme="minorHAnsi"/>
          <w:sz w:val="22"/>
        </w:rPr>
      </w:pPr>
    </w:p>
    <w:p w14:paraId="0F09F958" w14:textId="3EBE3752" w:rsidR="00CA60CD" w:rsidRDefault="00B4202D" w:rsidP="00121DC3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W przypadku kredytów mieszkaniowych jakość </w:t>
      </w:r>
      <w:r w:rsidR="00B70F4F">
        <w:rPr>
          <w:rFonts w:cstheme="minorHAnsi"/>
          <w:sz w:val="22"/>
        </w:rPr>
        <w:t>portfel</w:t>
      </w:r>
      <w:r>
        <w:rPr>
          <w:rFonts w:cstheme="minorHAnsi"/>
          <w:sz w:val="22"/>
        </w:rPr>
        <w:t xml:space="preserve">a nie budzi </w:t>
      </w:r>
      <w:r w:rsidR="00733587">
        <w:rPr>
          <w:rFonts w:cstheme="minorHAnsi"/>
          <w:sz w:val="22"/>
        </w:rPr>
        <w:t xml:space="preserve">na razie </w:t>
      </w:r>
      <w:r>
        <w:rPr>
          <w:rFonts w:cstheme="minorHAnsi"/>
          <w:sz w:val="22"/>
        </w:rPr>
        <w:t>obaw</w:t>
      </w:r>
      <w:r w:rsidR="00733587">
        <w:rPr>
          <w:rFonts w:cstheme="minorHAnsi"/>
          <w:sz w:val="22"/>
        </w:rPr>
        <w:t>, choć stopniowo się pogarsza</w:t>
      </w:r>
      <w:r w:rsidR="007249DD">
        <w:rPr>
          <w:rFonts w:cstheme="minorHAnsi"/>
          <w:sz w:val="22"/>
        </w:rPr>
        <w:t>. Jednak portfel kredytów mieszkaniowych</w:t>
      </w:r>
      <w:r w:rsidR="00CA60CD">
        <w:rPr>
          <w:rFonts w:cstheme="minorHAnsi"/>
          <w:sz w:val="22"/>
        </w:rPr>
        <w:t xml:space="preserve"> złotowych i walutowych </w:t>
      </w:r>
      <w:r w:rsidR="007249DD">
        <w:rPr>
          <w:rFonts w:cstheme="minorHAnsi"/>
          <w:sz w:val="22"/>
        </w:rPr>
        <w:t xml:space="preserve">należy analizować oddzielnie z uwagi na inne czynniki ryzyka. </w:t>
      </w:r>
      <w:r w:rsidR="00320C5B" w:rsidRPr="00320C5B">
        <w:rPr>
          <w:rFonts w:cstheme="minorHAnsi"/>
          <w:sz w:val="22"/>
        </w:rPr>
        <w:t xml:space="preserve">W przypadku złotowych kredytów mieszkaniowych duży wpływ na </w:t>
      </w:r>
      <w:r w:rsidR="00121DC3">
        <w:rPr>
          <w:rFonts w:cstheme="minorHAnsi"/>
          <w:sz w:val="22"/>
        </w:rPr>
        <w:t xml:space="preserve">utrzymanie </w:t>
      </w:r>
      <w:r w:rsidR="00320C5B" w:rsidRPr="00320C5B">
        <w:rPr>
          <w:rFonts w:cstheme="minorHAnsi"/>
          <w:sz w:val="22"/>
        </w:rPr>
        <w:t>jakoś</w:t>
      </w:r>
      <w:r w:rsidR="00121DC3">
        <w:rPr>
          <w:rFonts w:cstheme="minorHAnsi"/>
          <w:sz w:val="22"/>
        </w:rPr>
        <w:t>ci</w:t>
      </w:r>
      <w:r w:rsidR="00320C5B" w:rsidRPr="00320C5B">
        <w:rPr>
          <w:rFonts w:cstheme="minorHAnsi"/>
          <w:sz w:val="22"/>
        </w:rPr>
        <w:t xml:space="preserve"> miały ustawowe wakacje kredytowe. </w:t>
      </w:r>
      <w:r w:rsidR="00121DC3">
        <w:rPr>
          <w:rFonts w:cstheme="minorHAnsi"/>
          <w:sz w:val="22"/>
        </w:rPr>
        <w:t xml:space="preserve">Jednak na </w:t>
      </w:r>
      <w:r w:rsidR="00CA60CD">
        <w:rPr>
          <w:rFonts w:cstheme="minorHAnsi"/>
          <w:sz w:val="22"/>
        </w:rPr>
        <w:t xml:space="preserve">poziomie jego szkodowości </w:t>
      </w:r>
      <w:r w:rsidR="00121DC3">
        <w:rPr>
          <w:rFonts w:cstheme="minorHAnsi"/>
          <w:sz w:val="22"/>
        </w:rPr>
        <w:t xml:space="preserve">zaważyć mogą trzy </w:t>
      </w:r>
      <w:r w:rsidR="00121DC3" w:rsidRPr="00846B95">
        <w:rPr>
          <w:rFonts w:cstheme="minorHAnsi"/>
          <w:sz w:val="22"/>
        </w:rPr>
        <w:t>grupy podwyższonego ryzyka. Są to osoby, które spłacają kredyty samodzielnie, mają kredyty udzielone na okres powyżej 30 lat oraz zaciągnęły zobowiązania na kwotę powyżej 500 tys. zł</w:t>
      </w:r>
      <w:r w:rsidR="00121DC3">
        <w:rPr>
          <w:rFonts w:cstheme="minorHAnsi"/>
          <w:sz w:val="22"/>
        </w:rPr>
        <w:t xml:space="preserve">. </w:t>
      </w:r>
    </w:p>
    <w:p w14:paraId="1F0ACA88" w14:textId="2770D6EF" w:rsidR="00121DC3" w:rsidRDefault="00CA60CD" w:rsidP="00121DC3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Ź</w:t>
      </w:r>
      <w:r w:rsidR="00121DC3">
        <w:rPr>
          <w:rFonts w:cstheme="minorHAnsi"/>
          <w:sz w:val="22"/>
        </w:rPr>
        <w:t xml:space="preserve">ródłem pogorszenia jakości portfela </w:t>
      </w:r>
      <w:r>
        <w:rPr>
          <w:rFonts w:cstheme="minorHAnsi"/>
          <w:sz w:val="22"/>
        </w:rPr>
        <w:t xml:space="preserve">walutowych </w:t>
      </w:r>
      <w:r w:rsidR="00121DC3">
        <w:rPr>
          <w:rFonts w:cstheme="minorHAnsi"/>
          <w:sz w:val="22"/>
        </w:rPr>
        <w:t xml:space="preserve">kredytów mieszkaniowych są kredyty </w:t>
      </w:r>
      <w:r w:rsidR="00121DC3" w:rsidRPr="00846B95">
        <w:rPr>
          <w:rFonts w:cstheme="minorHAnsi"/>
          <w:sz w:val="22"/>
        </w:rPr>
        <w:t>udzielone przed 2009 r., czyli w</w:t>
      </w:r>
      <w:r>
        <w:rPr>
          <w:rFonts w:cstheme="minorHAnsi"/>
          <w:sz w:val="22"/>
        </w:rPr>
        <w:t>e franku</w:t>
      </w:r>
      <w:r w:rsidR="00121DC3" w:rsidRPr="00846B95">
        <w:rPr>
          <w:rFonts w:cstheme="minorHAnsi"/>
          <w:sz w:val="22"/>
        </w:rPr>
        <w:t xml:space="preserve"> szwajcarski</w:t>
      </w:r>
      <w:r>
        <w:rPr>
          <w:rFonts w:cstheme="minorHAnsi"/>
          <w:sz w:val="22"/>
        </w:rPr>
        <w:t>m</w:t>
      </w:r>
      <w:r w:rsidR="00121DC3" w:rsidRPr="00846B95">
        <w:rPr>
          <w:rFonts w:cstheme="minorHAnsi"/>
          <w:sz w:val="22"/>
        </w:rPr>
        <w:t xml:space="preserve">. </w:t>
      </w:r>
      <w:r w:rsidR="00121DC3">
        <w:rPr>
          <w:rFonts w:cstheme="minorHAnsi"/>
          <w:sz w:val="22"/>
        </w:rPr>
        <w:t xml:space="preserve">Przyczyną tego zjawiska </w:t>
      </w:r>
      <w:r w:rsidR="004C2FBB">
        <w:rPr>
          <w:rFonts w:cstheme="minorHAnsi"/>
          <w:sz w:val="22"/>
        </w:rPr>
        <w:t xml:space="preserve">może być </w:t>
      </w:r>
      <w:r>
        <w:rPr>
          <w:rFonts w:cstheme="minorHAnsi"/>
          <w:sz w:val="22"/>
        </w:rPr>
        <w:t xml:space="preserve">wstrzymywanie się </w:t>
      </w:r>
      <w:r w:rsidR="00440C5C">
        <w:rPr>
          <w:rFonts w:cstheme="minorHAnsi"/>
          <w:sz w:val="22"/>
        </w:rPr>
        <w:t xml:space="preserve">przez klientów </w:t>
      </w:r>
      <w:r>
        <w:rPr>
          <w:rFonts w:cstheme="minorHAnsi"/>
          <w:sz w:val="22"/>
        </w:rPr>
        <w:t xml:space="preserve">ze spłatą zobowiązań do czasu rozstrzygnięć </w:t>
      </w:r>
      <w:r w:rsidR="00440C5C">
        <w:rPr>
          <w:rFonts w:cstheme="minorHAnsi"/>
          <w:sz w:val="22"/>
        </w:rPr>
        <w:t>prawnych</w:t>
      </w:r>
      <w:r w:rsidR="00121DC3">
        <w:rPr>
          <w:rFonts w:cstheme="minorHAnsi"/>
          <w:sz w:val="22"/>
        </w:rPr>
        <w:t xml:space="preserve">.  </w:t>
      </w:r>
    </w:p>
    <w:p w14:paraId="4606EEAC" w14:textId="77777777" w:rsidR="00121DC3" w:rsidRDefault="00121DC3" w:rsidP="00121DC3">
      <w:pPr>
        <w:jc w:val="both"/>
        <w:rPr>
          <w:rFonts w:cstheme="minorHAnsi"/>
          <w:sz w:val="22"/>
        </w:rPr>
      </w:pPr>
    </w:p>
    <w:p w14:paraId="616245B7" w14:textId="280A0E1B" w:rsidR="00924145" w:rsidRDefault="00924145" w:rsidP="000B0502">
      <w:pPr>
        <w:jc w:val="both"/>
        <w:rPr>
          <w:rFonts w:cstheme="minorHAnsi"/>
          <w:sz w:val="22"/>
        </w:rPr>
      </w:pPr>
      <w:r w:rsidRPr="00980CDA">
        <w:rPr>
          <w:rFonts w:cstheme="minorHAnsi"/>
          <w:sz w:val="22"/>
        </w:rPr>
        <w:t xml:space="preserve">Udział wartościowy kredytów przeterminowanych, czyli pow. 90 dni, w relacji do wartości wszystkich </w:t>
      </w:r>
      <w:r w:rsidR="0068698E" w:rsidRPr="00980CDA">
        <w:rPr>
          <w:rFonts w:cstheme="minorHAnsi"/>
          <w:sz w:val="22"/>
        </w:rPr>
        <w:t xml:space="preserve">czynnych </w:t>
      </w:r>
      <w:r w:rsidRPr="00980CDA">
        <w:rPr>
          <w:rFonts w:cstheme="minorHAnsi"/>
          <w:sz w:val="22"/>
        </w:rPr>
        <w:t xml:space="preserve">kredytów </w:t>
      </w:r>
      <w:r w:rsidR="0068698E" w:rsidRPr="00980CDA">
        <w:rPr>
          <w:rFonts w:cstheme="minorHAnsi"/>
          <w:sz w:val="22"/>
        </w:rPr>
        <w:t xml:space="preserve">(czyli wskaźnik NPL) wyniósł </w:t>
      </w:r>
      <w:r w:rsidR="00123D02">
        <w:rPr>
          <w:rFonts w:cstheme="minorHAnsi"/>
          <w:sz w:val="22"/>
        </w:rPr>
        <w:t xml:space="preserve">dla całego portfela kredytów </w:t>
      </w:r>
      <w:r w:rsidR="0068698E" w:rsidRPr="00980CDA">
        <w:rPr>
          <w:rFonts w:cstheme="minorHAnsi"/>
          <w:sz w:val="22"/>
        </w:rPr>
        <w:t xml:space="preserve">na koniec </w:t>
      </w:r>
      <w:r w:rsidR="00884A35" w:rsidRPr="00980CDA">
        <w:rPr>
          <w:rFonts w:cstheme="minorHAnsi"/>
          <w:sz w:val="22"/>
        </w:rPr>
        <w:t>grudnia</w:t>
      </w:r>
      <w:r w:rsidR="0068698E" w:rsidRPr="00980CDA">
        <w:rPr>
          <w:rFonts w:cstheme="minorHAnsi"/>
          <w:sz w:val="22"/>
        </w:rPr>
        <w:t xml:space="preserve"> 2022 r. </w:t>
      </w:r>
      <w:r w:rsidR="00123D02">
        <w:rPr>
          <w:rFonts w:cstheme="minorHAnsi"/>
          <w:sz w:val="22"/>
        </w:rPr>
        <w:t>5,2</w:t>
      </w:r>
      <w:r w:rsidR="00884A35" w:rsidRPr="00980CDA">
        <w:rPr>
          <w:rFonts w:cstheme="minorHAnsi"/>
          <w:sz w:val="22"/>
        </w:rPr>
        <w:t xml:space="preserve"> proc. (</w:t>
      </w:r>
      <w:r w:rsidR="00123D02">
        <w:rPr>
          <w:rFonts w:cstheme="minorHAnsi"/>
          <w:sz w:val="22"/>
        </w:rPr>
        <w:t xml:space="preserve">to więcej o 0,5 </w:t>
      </w:r>
      <w:proofErr w:type="spellStart"/>
      <w:r w:rsidR="00123D02">
        <w:rPr>
          <w:rFonts w:cstheme="minorHAnsi"/>
          <w:sz w:val="22"/>
        </w:rPr>
        <w:t>p.p</w:t>
      </w:r>
      <w:proofErr w:type="spellEnd"/>
      <w:r w:rsidR="00123D02">
        <w:rPr>
          <w:rFonts w:cstheme="minorHAnsi"/>
          <w:sz w:val="22"/>
        </w:rPr>
        <w:t>.</w:t>
      </w:r>
      <w:r w:rsidR="00884A35" w:rsidRPr="00980CDA">
        <w:rPr>
          <w:rFonts w:cstheme="minorHAnsi"/>
          <w:sz w:val="22"/>
        </w:rPr>
        <w:t xml:space="preserve"> niż w grudniu 2021 r)</w:t>
      </w:r>
      <w:r w:rsidR="00E65E4F" w:rsidRPr="00980CDA">
        <w:rPr>
          <w:rFonts w:cstheme="minorHAnsi"/>
          <w:sz w:val="22"/>
        </w:rPr>
        <w:t>.</w:t>
      </w:r>
    </w:p>
    <w:p w14:paraId="2B480C4D" w14:textId="77777777" w:rsidR="00924145" w:rsidRDefault="00924145" w:rsidP="000B0502">
      <w:pPr>
        <w:jc w:val="both"/>
        <w:rPr>
          <w:rFonts w:cstheme="minorHAnsi"/>
          <w:sz w:val="22"/>
        </w:rPr>
      </w:pPr>
    </w:p>
    <w:bookmarkEnd w:id="0"/>
    <w:p w14:paraId="7D267594" w14:textId="6A9131C9" w:rsidR="001D3DE7" w:rsidRPr="00C00D06" w:rsidRDefault="001D3DE7" w:rsidP="001D3DE7">
      <w:pPr>
        <w:jc w:val="both"/>
        <w:rPr>
          <w:sz w:val="16"/>
          <w:szCs w:val="16"/>
        </w:rPr>
      </w:pPr>
      <w:r w:rsidRPr="00C00D06">
        <w:rPr>
          <w:sz w:val="16"/>
          <w:szCs w:val="16"/>
        </w:rPr>
        <w:t xml:space="preserve">Aktualne informacje o rynku kredytowym prezentujemy na stronie </w:t>
      </w:r>
      <w:hyperlink r:id="rId9" w:history="1">
        <w:r w:rsidRPr="00C00D06">
          <w:rPr>
            <w:rStyle w:val="Hipercze"/>
            <w:sz w:val="16"/>
            <w:szCs w:val="16"/>
          </w:rPr>
          <w:t xml:space="preserve">Analizy rynkowe </w:t>
        </w:r>
      </w:hyperlink>
      <w:r w:rsidRPr="00C00D06">
        <w:rPr>
          <w:sz w:val="16"/>
          <w:szCs w:val="16"/>
        </w:rPr>
        <w:t xml:space="preserve">oraz w </w:t>
      </w:r>
      <w:r w:rsidR="00E401D6">
        <w:rPr>
          <w:sz w:val="16"/>
          <w:szCs w:val="16"/>
        </w:rPr>
        <w:t xml:space="preserve">cyklicznym </w:t>
      </w:r>
      <w:hyperlink r:id="rId10" w:history="1">
        <w:r w:rsidRPr="00C00D06">
          <w:rPr>
            <w:rStyle w:val="Hipercze"/>
            <w:sz w:val="16"/>
            <w:szCs w:val="16"/>
          </w:rPr>
          <w:t>Newsletterze kredytowym BIK</w:t>
        </w:r>
      </w:hyperlink>
      <w:r w:rsidRPr="00C00D06">
        <w:rPr>
          <w:sz w:val="16"/>
          <w:szCs w:val="16"/>
        </w:rPr>
        <w:t>.</w:t>
      </w:r>
    </w:p>
    <w:p w14:paraId="2CE34176" w14:textId="77777777" w:rsidR="005F74B8" w:rsidRDefault="005F74B8" w:rsidP="00C06041">
      <w:pPr>
        <w:spacing w:line="240" w:lineRule="auto"/>
        <w:jc w:val="both"/>
        <w:rPr>
          <w:b/>
          <w:bCs/>
          <w:color w:val="595959"/>
          <w:sz w:val="16"/>
          <w:szCs w:val="16"/>
        </w:rPr>
      </w:pPr>
    </w:p>
    <w:p w14:paraId="7B5FDB02" w14:textId="77777777" w:rsidR="00FB22EA" w:rsidRPr="00D61CB3" w:rsidRDefault="00FB22EA" w:rsidP="00FB22EA">
      <w:pPr>
        <w:spacing w:line="240" w:lineRule="auto"/>
        <w:jc w:val="both"/>
        <w:rPr>
          <w:rFonts w:cstheme="minorHAnsi"/>
          <w:color w:val="595959"/>
          <w:sz w:val="16"/>
          <w:szCs w:val="16"/>
        </w:rPr>
      </w:pPr>
      <w:r w:rsidRPr="00D61CB3">
        <w:rPr>
          <w:rFonts w:cstheme="minorHAnsi"/>
          <w:b/>
          <w:bCs/>
          <w:color w:val="595959"/>
          <w:sz w:val="16"/>
          <w:szCs w:val="16"/>
        </w:rPr>
        <w:t xml:space="preserve">Biuro Informacji Kredytowej S.A. </w:t>
      </w:r>
      <w:r w:rsidRPr="00D61CB3">
        <w:rPr>
          <w:rFonts w:cstheme="minorHAnsi"/>
          <w:color w:val="595959"/>
          <w:sz w:val="16"/>
          <w:szCs w:val="16"/>
        </w:rPr>
        <w:t xml:space="preserve">wspiera bezpieczeństwo </w:t>
      </w:r>
      <w:bookmarkStart w:id="19" w:name="_Hlk103870080"/>
      <w:r w:rsidRPr="00D61CB3">
        <w:rPr>
          <w:rFonts w:cstheme="minorHAnsi"/>
          <w:color w:val="595959"/>
          <w:sz w:val="16"/>
          <w:szCs w:val="16"/>
        </w:rPr>
        <w:t>instytucji finansowych i ich klientów</w:t>
      </w:r>
      <w:bookmarkEnd w:id="19"/>
      <w:r w:rsidRPr="00D61CB3">
        <w:rPr>
          <w:rFonts w:cstheme="minorHAnsi"/>
          <w:color w:val="595959"/>
          <w:sz w:val="16"/>
          <w:szCs w:val="16"/>
        </w:rPr>
        <w:t xml:space="preserve">, udostępniając bezpieczny system wymiany informacji kredytowych i gospodarczych oraz nowatorskie rozwiązania </w:t>
      </w:r>
      <w:proofErr w:type="spellStart"/>
      <w:r w:rsidRPr="00D61CB3">
        <w:rPr>
          <w:rFonts w:cstheme="minorHAnsi"/>
          <w:color w:val="595959"/>
          <w:sz w:val="16"/>
          <w:szCs w:val="16"/>
        </w:rPr>
        <w:t>antyfraudowe</w:t>
      </w:r>
      <w:proofErr w:type="spellEnd"/>
      <w:r w:rsidRPr="00D61CB3">
        <w:rPr>
          <w:bCs/>
          <w:color w:val="595959"/>
          <w:sz w:val="16"/>
          <w:szCs w:val="16"/>
        </w:rPr>
        <w:t>.</w:t>
      </w:r>
      <w:r w:rsidRPr="00D61CB3">
        <w:rPr>
          <w:rFonts w:cstheme="minorHAnsi"/>
          <w:bCs/>
          <w:color w:val="595959"/>
          <w:sz w:val="16"/>
          <w:szCs w:val="16"/>
        </w:rPr>
        <w:t xml:space="preserve"> Jako jedyne biuro kredytowe w Polsce, poprzez internetowy portal </w:t>
      </w:r>
      <w:hyperlink r:id="rId11" w:history="1">
        <w:r w:rsidRPr="00D61CB3">
          <w:rPr>
            <w:rStyle w:val="Hipercze"/>
            <w:rFonts w:cstheme="minorHAnsi"/>
            <w:bCs/>
            <w:sz w:val="16"/>
            <w:szCs w:val="16"/>
          </w:rPr>
          <w:t>www.bik.pl</w:t>
        </w:r>
      </w:hyperlink>
      <w:r w:rsidRPr="00D61CB3">
        <w:rPr>
          <w:rFonts w:cstheme="minorHAnsi"/>
          <w:bCs/>
          <w:color w:val="595959"/>
          <w:sz w:val="16"/>
          <w:szCs w:val="16"/>
        </w:rPr>
        <w:t xml:space="preserve"> oraz aplikację mobilną </w:t>
      </w:r>
      <w:hyperlink r:id="rId12" w:history="1">
        <w:r w:rsidRPr="00D61CB3">
          <w:rPr>
            <w:rStyle w:val="Hipercze"/>
            <w:rFonts w:cstheme="minorHAnsi"/>
            <w:bCs/>
            <w:sz w:val="16"/>
            <w:szCs w:val="16"/>
          </w:rPr>
          <w:t>Mój BIK</w:t>
        </w:r>
      </w:hyperlink>
      <w:r w:rsidRPr="00D61CB3">
        <w:rPr>
          <w:rStyle w:val="Hipercze"/>
          <w:rFonts w:cstheme="minorHAnsi"/>
          <w:bCs/>
          <w:sz w:val="16"/>
          <w:szCs w:val="16"/>
        </w:rPr>
        <w:t>,</w:t>
      </w:r>
      <w:r w:rsidRPr="00D61CB3">
        <w:rPr>
          <w:rFonts w:cstheme="minorHAnsi"/>
          <w:bCs/>
          <w:color w:val="595959"/>
          <w:sz w:val="16"/>
          <w:szCs w:val="16"/>
        </w:rPr>
        <w:t xml:space="preserve"> umożliwia klientom indywidualnym monitorowanie własnej historii kredytowej, a dzięki </w:t>
      </w:r>
      <w:hyperlink r:id="rId13" w:history="1">
        <w:r w:rsidRPr="00D61CB3">
          <w:rPr>
            <w:rStyle w:val="Hipercze"/>
            <w:rFonts w:cstheme="minorHAnsi"/>
            <w:bCs/>
            <w:sz w:val="16"/>
            <w:szCs w:val="16"/>
          </w:rPr>
          <w:t>Alertom BIK</w:t>
        </w:r>
      </w:hyperlink>
      <w:r w:rsidRPr="00D61CB3">
        <w:rPr>
          <w:rFonts w:cstheme="minorHAnsi"/>
          <w:bCs/>
          <w:color w:val="595959"/>
          <w:sz w:val="16"/>
          <w:szCs w:val="16"/>
        </w:rPr>
        <w:t xml:space="preserve"> ostrzega przed każdą próbą wyłudzenia kredytu. Systemowe rozwiązania </w:t>
      </w:r>
      <w:proofErr w:type="spellStart"/>
      <w:r w:rsidRPr="00D61CB3">
        <w:rPr>
          <w:rFonts w:cstheme="minorHAnsi"/>
          <w:bCs/>
          <w:color w:val="595959"/>
          <w:sz w:val="16"/>
          <w:szCs w:val="16"/>
        </w:rPr>
        <w:t>antyfraudowe</w:t>
      </w:r>
      <w:proofErr w:type="spellEnd"/>
      <w:r w:rsidRPr="00D61CB3">
        <w:rPr>
          <w:rFonts w:cstheme="minorHAnsi"/>
          <w:bCs/>
          <w:color w:val="595959"/>
          <w:sz w:val="16"/>
          <w:szCs w:val="16"/>
        </w:rPr>
        <w:t xml:space="preserve"> w portfolio BIK to: Platforma </w:t>
      </w:r>
      <w:proofErr w:type="spellStart"/>
      <w:r w:rsidRPr="00D61CB3">
        <w:rPr>
          <w:rFonts w:cstheme="minorHAnsi"/>
          <w:bCs/>
          <w:color w:val="595959"/>
          <w:sz w:val="16"/>
          <w:szCs w:val="16"/>
        </w:rPr>
        <w:t>Antyfraudowa</w:t>
      </w:r>
      <w:proofErr w:type="spellEnd"/>
      <w:r w:rsidRPr="00D61CB3">
        <w:rPr>
          <w:rFonts w:cstheme="minorHAnsi"/>
          <w:bCs/>
          <w:color w:val="595959"/>
          <w:sz w:val="16"/>
          <w:szCs w:val="16"/>
        </w:rPr>
        <w:t xml:space="preserve"> BIK, Platforma </w:t>
      </w:r>
      <w:proofErr w:type="spellStart"/>
      <w:r w:rsidRPr="00D61CB3">
        <w:rPr>
          <w:rFonts w:cstheme="minorHAnsi"/>
          <w:bCs/>
          <w:color w:val="595959"/>
          <w:sz w:val="16"/>
          <w:szCs w:val="16"/>
        </w:rPr>
        <w:t>Blockchain</w:t>
      </w:r>
      <w:proofErr w:type="spellEnd"/>
      <w:r w:rsidRPr="00D61CB3">
        <w:rPr>
          <w:rFonts w:cstheme="minorHAnsi"/>
          <w:bCs/>
          <w:color w:val="595959"/>
          <w:sz w:val="16"/>
          <w:szCs w:val="16"/>
        </w:rPr>
        <w:t xml:space="preserve">, Platforma </w:t>
      </w:r>
      <w:proofErr w:type="spellStart"/>
      <w:r w:rsidRPr="00D61CB3">
        <w:rPr>
          <w:rFonts w:cstheme="minorHAnsi"/>
          <w:bCs/>
          <w:color w:val="595959"/>
          <w:sz w:val="16"/>
          <w:szCs w:val="16"/>
        </w:rPr>
        <w:t>Cyber</w:t>
      </w:r>
      <w:proofErr w:type="spellEnd"/>
      <w:r w:rsidRPr="00D61CB3">
        <w:rPr>
          <w:rFonts w:cstheme="minorHAnsi"/>
          <w:bCs/>
          <w:color w:val="595959"/>
          <w:sz w:val="16"/>
          <w:szCs w:val="16"/>
        </w:rPr>
        <w:t xml:space="preserve"> Fraud </w:t>
      </w:r>
      <w:proofErr w:type="spellStart"/>
      <w:r w:rsidRPr="00D61CB3">
        <w:rPr>
          <w:rFonts w:cstheme="minorHAnsi"/>
          <w:bCs/>
          <w:color w:val="595959"/>
          <w:sz w:val="16"/>
          <w:szCs w:val="16"/>
        </w:rPr>
        <w:t>Detection</w:t>
      </w:r>
      <w:proofErr w:type="spellEnd"/>
      <w:r w:rsidRPr="00D61CB3">
        <w:rPr>
          <w:rFonts w:cstheme="minorHAnsi"/>
          <w:bCs/>
          <w:color w:val="595959"/>
          <w:sz w:val="16"/>
          <w:szCs w:val="16"/>
        </w:rPr>
        <w:t xml:space="preserve"> oraz nowo budowana Platforma Biometrii Behawioralnej. BIK aktywnie  wspiera innowacje, stąd idea powołania p</w:t>
      </w:r>
      <w:r w:rsidRPr="00D61CB3">
        <w:rPr>
          <w:rFonts w:cstheme="minorHAnsi"/>
          <w:color w:val="595959"/>
          <w:sz w:val="16"/>
          <w:szCs w:val="16"/>
        </w:rPr>
        <w:t xml:space="preserve">iaskownicy technologicznej </w:t>
      </w:r>
      <w:hyperlink r:id="rId14" w:history="1">
        <w:r w:rsidRPr="00D61CB3">
          <w:rPr>
            <w:rStyle w:val="Hipercze"/>
            <w:rFonts w:cstheme="minorHAnsi"/>
            <w:sz w:val="16"/>
            <w:szCs w:val="16"/>
          </w:rPr>
          <w:t>BIK HUB</w:t>
        </w:r>
      </w:hyperlink>
      <w:r w:rsidRPr="00D61CB3">
        <w:rPr>
          <w:rFonts w:cstheme="minorHAnsi"/>
          <w:color w:val="595959"/>
          <w:sz w:val="16"/>
          <w:szCs w:val="16"/>
        </w:rPr>
        <w:t xml:space="preserve">, adresowanej do przedsiębiorców z sektora finansów, a także innych segmentów rynku, startupów, </w:t>
      </w:r>
      <w:proofErr w:type="spellStart"/>
      <w:r w:rsidRPr="00D61CB3">
        <w:rPr>
          <w:rFonts w:cstheme="minorHAnsi"/>
          <w:color w:val="595959"/>
          <w:sz w:val="16"/>
          <w:szCs w:val="16"/>
        </w:rPr>
        <w:t>fintechów</w:t>
      </w:r>
      <w:proofErr w:type="spellEnd"/>
      <w:r w:rsidRPr="00D61CB3">
        <w:rPr>
          <w:rFonts w:cstheme="minorHAnsi"/>
          <w:color w:val="595959"/>
          <w:sz w:val="16"/>
          <w:szCs w:val="16"/>
        </w:rPr>
        <w:t xml:space="preserve">. </w:t>
      </w:r>
      <w:r w:rsidRPr="00D61CB3">
        <w:rPr>
          <w:rFonts w:cstheme="minorHAnsi"/>
          <w:bCs/>
          <w:color w:val="595959"/>
          <w:sz w:val="16"/>
          <w:szCs w:val="16"/>
        </w:rPr>
        <w:t xml:space="preserve">BIK gromadzi i udostępnia dane o historii kredytowej klientów indywidualnych i przedsiębiorców z całego rynku kredytowego, oraz dane z obszaru pożyczek </w:t>
      </w:r>
      <w:proofErr w:type="spellStart"/>
      <w:r w:rsidRPr="00D61CB3">
        <w:rPr>
          <w:rFonts w:cstheme="minorHAnsi"/>
          <w:bCs/>
          <w:color w:val="595959"/>
          <w:sz w:val="16"/>
          <w:szCs w:val="16"/>
        </w:rPr>
        <w:t>pozabankowych</w:t>
      </w:r>
      <w:proofErr w:type="spellEnd"/>
      <w:r w:rsidRPr="00D61CB3">
        <w:rPr>
          <w:rFonts w:cstheme="minorHAnsi"/>
          <w:bCs/>
          <w:color w:val="595959"/>
          <w:sz w:val="16"/>
          <w:szCs w:val="16"/>
        </w:rPr>
        <w:t xml:space="preserve">. Baza BIK zawiera informacje o 164 mln rachunków należących do 25 mln klientów indywidualnych oraz 1,4 mln firm, w tym o 845 tys. </w:t>
      </w:r>
      <w:proofErr w:type="spellStart"/>
      <w:r w:rsidRPr="00D61CB3">
        <w:rPr>
          <w:rFonts w:cstheme="minorHAnsi"/>
          <w:bCs/>
          <w:color w:val="595959"/>
          <w:sz w:val="16"/>
          <w:szCs w:val="16"/>
        </w:rPr>
        <w:t>mikroprzedsiębiorców</w:t>
      </w:r>
      <w:proofErr w:type="spellEnd"/>
      <w:r w:rsidRPr="00D61CB3">
        <w:rPr>
          <w:rFonts w:cstheme="minorHAnsi"/>
          <w:bCs/>
          <w:color w:val="595959"/>
          <w:sz w:val="16"/>
          <w:szCs w:val="16"/>
        </w:rPr>
        <w:t xml:space="preserve"> prowadzących działalność gospodarczą. BIK posiada najwyższe kompetencje w zakresie </w:t>
      </w:r>
      <w:hyperlink r:id="rId15" w:history="1">
        <w:r w:rsidRPr="00D61CB3">
          <w:rPr>
            <w:rStyle w:val="Hipercze"/>
            <w:rFonts w:cstheme="minorHAnsi"/>
            <w:bCs/>
            <w:sz w:val="16"/>
            <w:szCs w:val="16"/>
          </w:rPr>
          <w:t>Analiz rynkowych</w:t>
        </w:r>
      </w:hyperlink>
      <w:r w:rsidRPr="00D61CB3">
        <w:rPr>
          <w:rFonts w:cstheme="minorHAnsi"/>
          <w:bCs/>
          <w:color w:val="595959"/>
          <w:sz w:val="16"/>
          <w:szCs w:val="16"/>
        </w:rPr>
        <w:t xml:space="preserve"> i nowoczesnych technologii. Łączy cechy nowoczesnej firmy technologicznej z </w:t>
      </w:r>
      <w:bookmarkStart w:id="20" w:name="_Hlk103869313"/>
      <w:r w:rsidRPr="00D61CB3">
        <w:rPr>
          <w:rFonts w:cstheme="minorHAnsi"/>
          <w:bCs/>
          <w:color w:val="595959"/>
          <w:sz w:val="16"/>
          <w:szCs w:val="16"/>
        </w:rPr>
        <w:t>atrybutami instytucji zaufania publicznego</w:t>
      </w:r>
      <w:bookmarkEnd w:id="20"/>
      <w:r w:rsidRPr="00D61CB3">
        <w:rPr>
          <w:rFonts w:cstheme="minorHAnsi"/>
          <w:bCs/>
          <w:color w:val="595959"/>
          <w:sz w:val="16"/>
          <w:szCs w:val="16"/>
        </w:rPr>
        <w:t>. Od kilkunastu lat BIK jest aktywnym członkiem międzynarodowego Stowarzyszenia ACCIS, zrzeszającego największą grupę rejestrów kredytowych na świeci</w:t>
      </w:r>
      <w:r>
        <w:rPr>
          <w:rFonts w:cstheme="minorHAnsi"/>
          <w:bCs/>
          <w:color w:val="595959"/>
          <w:sz w:val="16"/>
          <w:szCs w:val="16"/>
        </w:rPr>
        <w:t xml:space="preserve">e. </w:t>
      </w:r>
    </w:p>
    <w:tbl>
      <w:tblPr>
        <w:tblW w:w="0" w:type="auto"/>
        <w:tblInd w:w="-108" w:type="dxa"/>
        <w:tblLook w:val="00A0" w:firstRow="1" w:lastRow="0" w:firstColumn="1" w:lastColumn="0" w:noHBand="0" w:noVBand="0"/>
      </w:tblPr>
      <w:tblGrid>
        <w:gridCol w:w="2813"/>
        <w:gridCol w:w="236"/>
      </w:tblGrid>
      <w:tr w:rsidR="002B3FE4" w:rsidRPr="00B96E78" w14:paraId="6A0E6C47" w14:textId="77777777" w:rsidTr="001077DC">
        <w:trPr>
          <w:trHeight w:val="964"/>
        </w:trPr>
        <w:tc>
          <w:tcPr>
            <w:tcW w:w="2813" w:type="dxa"/>
          </w:tcPr>
          <w:p w14:paraId="6927D8EB" w14:textId="77777777" w:rsidR="002B3FE4" w:rsidRDefault="002B3FE4" w:rsidP="001077DC">
            <w:pPr>
              <w:spacing w:after="60"/>
              <w:jc w:val="both"/>
              <w:rPr>
                <w:rFonts w:ascii="Calibri" w:hAnsi="Calibri"/>
                <w:b/>
                <w:bCs/>
                <w:color w:val="595959"/>
                <w:sz w:val="18"/>
                <w:szCs w:val="18"/>
              </w:rPr>
            </w:pPr>
          </w:p>
          <w:p w14:paraId="38B9A4C9" w14:textId="77777777" w:rsidR="002B3FE4" w:rsidRPr="002F6CB6" w:rsidRDefault="002B3FE4" w:rsidP="00C06041">
            <w:pPr>
              <w:spacing w:after="60" w:line="240" w:lineRule="auto"/>
              <w:jc w:val="both"/>
              <w:rPr>
                <w:rFonts w:ascii="Calibri" w:hAnsi="Calibri"/>
                <w:b/>
                <w:bCs/>
                <w:color w:val="595959"/>
                <w:sz w:val="18"/>
                <w:szCs w:val="18"/>
              </w:rPr>
            </w:pPr>
            <w:r w:rsidRPr="002F6CB6">
              <w:rPr>
                <w:rFonts w:ascii="Calibri" w:hAnsi="Calibri"/>
                <w:b/>
                <w:bCs/>
                <w:color w:val="595959"/>
                <w:sz w:val="18"/>
                <w:szCs w:val="18"/>
              </w:rPr>
              <w:t>Kontakt dla mediów:</w:t>
            </w:r>
          </w:p>
          <w:p w14:paraId="44F37EB2" w14:textId="77777777" w:rsidR="002B3FE4" w:rsidRPr="002F6CB6" w:rsidRDefault="002B3FE4" w:rsidP="00C06041">
            <w:pPr>
              <w:spacing w:line="240" w:lineRule="auto"/>
              <w:jc w:val="both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2F6CB6">
              <w:rPr>
                <w:rFonts w:ascii="Calibri" w:hAnsi="Calibri"/>
                <w:b/>
                <w:color w:val="595959"/>
                <w:sz w:val="16"/>
                <w:szCs w:val="16"/>
              </w:rPr>
              <w:t>Aleksandra Stankiewicz-Billewicz</w:t>
            </w:r>
          </w:p>
          <w:p w14:paraId="4C505E09" w14:textId="77777777" w:rsidR="002B3FE4" w:rsidRPr="002F6CB6" w:rsidRDefault="002B3FE4" w:rsidP="00C06041">
            <w:pPr>
              <w:spacing w:line="240" w:lineRule="auto"/>
              <w:jc w:val="both"/>
              <w:rPr>
                <w:rFonts w:ascii="Calibri" w:hAnsi="Calibri"/>
                <w:color w:val="595959"/>
                <w:sz w:val="16"/>
                <w:szCs w:val="16"/>
              </w:rPr>
            </w:pPr>
            <w:r w:rsidRPr="002F6CB6">
              <w:rPr>
                <w:rFonts w:ascii="Calibri" w:hAnsi="Calibri"/>
                <w:color w:val="595959"/>
                <w:sz w:val="16"/>
                <w:szCs w:val="16"/>
              </w:rPr>
              <w:t xml:space="preserve">Biuro prasowe BIK </w:t>
            </w:r>
          </w:p>
          <w:p w14:paraId="42346446" w14:textId="77777777" w:rsidR="002B3FE4" w:rsidRPr="002F6CB6" w:rsidRDefault="002B3FE4" w:rsidP="00C06041">
            <w:pPr>
              <w:spacing w:line="240" w:lineRule="auto"/>
              <w:jc w:val="both"/>
              <w:rPr>
                <w:rFonts w:ascii="Calibri" w:hAnsi="Calibri"/>
                <w:color w:val="595959"/>
                <w:sz w:val="16"/>
                <w:szCs w:val="16"/>
                <w:lang w:val="sv-SE"/>
              </w:rPr>
            </w:pPr>
            <w:r w:rsidRPr="002F6CB6">
              <w:rPr>
                <w:rFonts w:ascii="Calibri" w:hAnsi="Calibri"/>
                <w:color w:val="595959"/>
                <w:sz w:val="16"/>
                <w:szCs w:val="16"/>
                <w:lang w:val="sv-SE"/>
              </w:rPr>
              <w:t>tel.:     + 48 22 348 4131</w:t>
            </w:r>
          </w:p>
          <w:p w14:paraId="6EF7A592" w14:textId="77777777" w:rsidR="002B3FE4" w:rsidRPr="002F6CB6" w:rsidRDefault="002B3FE4" w:rsidP="00C06041">
            <w:pPr>
              <w:spacing w:line="240" w:lineRule="auto"/>
              <w:jc w:val="both"/>
              <w:rPr>
                <w:rFonts w:ascii="Calibri" w:hAnsi="Calibri"/>
                <w:color w:val="595959"/>
                <w:sz w:val="16"/>
                <w:szCs w:val="16"/>
                <w:lang w:val="sv-SE"/>
              </w:rPr>
            </w:pPr>
            <w:r w:rsidRPr="002F6CB6">
              <w:rPr>
                <w:rFonts w:ascii="Calibri" w:hAnsi="Calibri"/>
                <w:color w:val="595959"/>
                <w:sz w:val="16"/>
                <w:szCs w:val="16"/>
                <w:lang w:val="sv-SE"/>
              </w:rPr>
              <w:t>kom.:  + 48 512 164 131</w:t>
            </w:r>
          </w:p>
          <w:p w14:paraId="2D97D192" w14:textId="77777777" w:rsidR="002B3FE4" w:rsidRPr="002F6CB6" w:rsidRDefault="00000000" w:rsidP="00C06041">
            <w:pPr>
              <w:spacing w:line="240" w:lineRule="auto"/>
              <w:jc w:val="both"/>
              <w:rPr>
                <w:rFonts w:ascii="Calibri" w:hAnsi="Calibri"/>
                <w:color w:val="595959"/>
                <w:sz w:val="16"/>
                <w:szCs w:val="16"/>
                <w:lang w:val="sv-SE"/>
              </w:rPr>
            </w:pPr>
            <w:hyperlink r:id="rId16" w:history="1">
              <w:r w:rsidR="002B3FE4" w:rsidRPr="002F6CB6">
                <w:rPr>
                  <w:rFonts w:ascii="Calibri" w:hAnsi="Calibri"/>
                  <w:color w:val="0000FF"/>
                  <w:sz w:val="16"/>
                  <w:szCs w:val="16"/>
                  <w:u w:val="single"/>
                  <w:lang w:val="sv-SE"/>
                </w:rPr>
                <w:t>aleksandra.stankiewicz-billewicz@bik.pl</w:t>
              </w:r>
            </w:hyperlink>
            <w:r w:rsidR="002B3FE4" w:rsidRPr="002F6CB6">
              <w:rPr>
                <w:rFonts w:ascii="Calibri" w:hAnsi="Calibri"/>
                <w:color w:val="595959"/>
                <w:sz w:val="16"/>
                <w:szCs w:val="16"/>
                <w:lang w:val="sv-SE"/>
              </w:rPr>
              <w:t xml:space="preserve"> </w:t>
            </w:r>
          </w:p>
        </w:tc>
        <w:tc>
          <w:tcPr>
            <w:tcW w:w="236" w:type="dxa"/>
          </w:tcPr>
          <w:p w14:paraId="344F8783" w14:textId="77777777" w:rsidR="002B3FE4" w:rsidRPr="000203EE" w:rsidRDefault="002B3FE4" w:rsidP="001077DC">
            <w:pPr>
              <w:spacing w:after="60"/>
              <w:jc w:val="both"/>
              <w:rPr>
                <w:rFonts w:ascii="Calibri" w:hAnsi="Calibri"/>
                <w:b/>
                <w:bCs/>
                <w:color w:val="595959"/>
                <w:sz w:val="18"/>
                <w:szCs w:val="18"/>
                <w:lang w:val="sv-SE"/>
              </w:rPr>
            </w:pPr>
          </w:p>
        </w:tc>
      </w:tr>
    </w:tbl>
    <w:p w14:paraId="7F34435F" w14:textId="2EACBD50" w:rsidR="00F85535" w:rsidRPr="0048408C" w:rsidRDefault="00F85535" w:rsidP="00B96E78">
      <w:pPr>
        <w:rPr>
          <w:lang w:val="sv-SE"/>
        </w:rPr>
      </w:pPr>
    </w:p>
    <w:sectPr w:rsidR="00F85535" w:rsidRPr="0048408C" w:rsidSect="00B96E78">
      <w:headerReference w:type="even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17" w:right="1133" w:bottom="1417" w:left="1417" w:header="0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D8C0" w14:textId="77777777" w:rsidR="00A329B7" w:rsidRDefault="00A329B7" w:rsidP="00866834">
      <w:r>
        <w:separator/>
      </w:r>
    </w:p>
    <w:p w14:paraId="0A7906E2" w14:textId="77777777" w:rsidR="00A329B7" w:rsidRDefault="00A329B7"/>
  </w:endnote>
  <w:endnote w:type="continuationSeparator" w:id="0">
    <w:p w14:paraId="72A54FD0" w14:textId="77777777" w:rsidR="00A329B7" w:rsidRDefault="00A329B7" w:rsidP="00866834">
      <w:r>
        <w:continuationSeparator/>
      </w:r>
    </w:p>
    <w:p w14:paraId="4AF3CC55" w14:textId="77777777" w:rsidR="00A329B7" w:rsidRDefault="00A32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NeueLT Pro 45 Lt">
    <w:altName w:val="Arial"/>
    <w:charset w:val="01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280C" w14:textId="77777777" w:rsidR="00CE03AC" w:rsidRDefault="00CE03AC"/>
  <w:p w14:paraId="742445CC" w14:textId="77777777" w:rsidR="00A7543E" w:rsidRDefault="00A754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4DDC" w14:textId="2F913D2A" w:rsidR="00996627" w:rsidRPr="00725618" w:rsidRDefault="00996627" w:rsidP="00996627">
    <w:pPr>
      <w:pStyle w:val="BIK-Stopka"/>
    </w:pPr>
    <w:r>
      <w:rPr>
        <w:lang w:eastAsia="pl-PL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CE0507" wp14:editId="71E445B4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1" name="MSIPCMae2e4f7784f71ceaa8fba6f2" descr="{&quot;HashCode&quot;:-10488500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65B25C" w14:textId="77777777" w:rsidR="00996627" w:rsidRPr="00162D9C" w:rsidRDefault="00996627" w:rsidP="00996627">
                          <w:pPr>
                            <w:jc w:val="right"/>
                            <w:rPr>
                              <w:rFonts w:ascii="Calibri" w:hAnsi="Calibri" w:cs="Calibri"/>
                              <w:color w:val="008000"/>
                            </w:rPr>
                          </w:pPr>
                          <w:r w:rsidRPr="00162D9C">
                            <w:rPr>
                              <w:rFonts w:ascii="Calibri" w:hAnsi="Calibri" w:cs="Calibri"/>
                              <w:color w:val="008000"/>
                            </w:rPr>
                            <w:t>Informacje Jawne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E0507" id="_x0000_t202" coordsize="21600,21600" o:spt="202" path="m,l,21600r21600,l21600,xe">
              <v:stroke joinstyle="miter"/>
              <v:path gradientshapeok="t" o:connecttype="rect"/>
            </v:shapetype>
            <v:shape id="MSIPCMae2e4f7784f71ceaa8fba6f2" o:spid="_x0000_s1026" type="#_x0000_t202" alt="{&quot;HashCode&quot;:-1048850003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xl3NgOEAAAALAQAADwAAAAAAAAAAAAAAAABxBAAAZHJzL2Rvd25yZXYueG1sUEsF&#10;BgAAAAAEAAQA8wAAAH8FAAAAAA==&#10;" o:allowincell="f" filled="f" stroked="f" strokeweight=".5pt">
              <v:textbox inset=",0,20pt,0">
                <w:txbxContent>
                  <w:p w14:paraId="4565B25C" w14:textId="77777777" w:rsidR="00996627" w:rsidRPr="00162D9C" w:rsidRDefault="00996627" w:rsidP="00996627">
                    <w:pPr>
                      <w:jc w:val="right"/>
                      <w:rPr>
                        <w:rFonts w:ascii="Calibri" w:hAnsi="Calibri" w:cs="Calibri"/>
                        <w:color w:val="008000"/>
                      </w:rPr>
                    </w:pPr>
                    <w:r w:rsidRPr="00162D9C">
                      <w:rPr>
                        <w:rFonts w:ascii="Calibri" w:hAnsi="Calibri" w:cs="Calibri"/>
                        <w:color w:val="008000"/>
                      </w:rPr>
                      <w:t>Informacje Jawne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25618">
      <w:t xml:space="preserve"> </w:t>
    </w:r>
  </w:p>
  <w:p w14:paraId="474FD3FA" w14:textId="77777777" w:rsidR="00996627" w:rsidRPr="00943829" w:rsidRDefault="00996627" w:rsidP="00996627">
    <w:pPr>
      <w:pStyle w:val="BIK-Pagina"/>
    </w:pPr>
    <w:r>
      <w:fldChar w:fldCharType="begin"/>
    </w:r>
    <w:r>
      <w:instrText>PAGE  \* Arabic  \* MERGEFORMAT</w:instrText>
    </w:r>
    <w:r>
      <w:fldChar w:fldCharType="separate"/>
    </w:r>
    <w:r w:rsidR="005D7891">
      <w:rPr>
        <w:noProof/>
      </w:rPr>
      <w:t>2</w:t>
    </w:r>
    <w:r>
      <w:fldChar w:fldCharType="end"/>
    </w:r>
    <w:r>
      <w:t>/</w:t>
    </w:r>
    <w:r w:rsidR="0002470B">
      <w:rPr>
        <w:noProof/>
      </w:rPr>
      <w:fldChar w:fldCharType="begin"/>
    </w:r>
    <w:r w:rsidR="0002470B">
      <w:rPr>
        <w:noProof/>
      </w:rPr>
      <w:instrText>NUMPAGES  \* Arabic  \* MERGEFORMAT</w:instrText>
    </w:r>
    <w:r w:rsidR="0002470B">
      <w:rPr>
        <w:noProof/>
      </w:rPr>
      <w:fldChar w:fldCharType="separate"/>
    </w:r>
    <w:r w:rsidR="005D7891">
      <w:rPr>
        <w:noProof/>
      </w:rPr>
      <w:t>3</w:t>
    </w:r>
    <w:r w:rsidR="0002470B">
      <w:rPr>
        <w:noProof/>
      </w:rPr>
      <w:fldChar w:fldCharType="end"/>
    </w:r>
  </w:p>
  <w:p w14:paraId="5C83FC9A" w14:textId="77777777" w:rsidR="00996627" w:rsidRDefault="00996627" w:rsidP="00996627">
    <w:pPr>
      <w:pStyle w:val="BIK-Stopka"/>
    </w:pPr>
  </w:p>
  <w:p w14:paraId="4E7E9788" w14:textId="77777777" w:rsidR="00996627" w:rsidRPr="00C15FB1" w:rsidRDefault="00996627" w:rsidP="0099662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BFD1" w14:textId="423454D1" w:rsidR="00CC4824" w:rsidRPr="00725618" w:rsidRDefault="002D190A" w:rsidP="00CC4824">
    <w:pPr>
      <w:pStyle w:val="BIK-Stopka"/>
    </w:pPr>
    <w:r>
      <w:rPr>
        <w:lang w:eastAsia="pl-PL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FD1FBA8" wp14:editId="32C1D56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a31449c585d7d74ca738652a" descr="{&quot;HashCode&quot;:-1048850003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961514" w14:textId="5CC9AA30" w:rsidR="002D190A" w:rsidRPr="002D190A" w:rsidRDefault="002D190A" w:rsidP="002D190A">
                          <w:pPr>
                            <w:jc w:val="right"/>
                            <w:rPr>
                              <w:rFonts w:ascii="Calibri" w:hAnsi="Calibri" w:cs="Calibri"/>
                              <w:color w:val="008000"/>
                            </w:rPr>
                          </w:pPr>
                          <w:r w:rsidRPr="002D190A">
                            <w:rPr>
                              <w:rFonts w:ascii="Calibri" w:hAnsi="Calibri" w:cs="Calibri"/>
                              <w:color w:val="008000"/>
                            </w:rPr>
                            <w:t>Informacje Jawne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1FBA8" id="_x0000_t202" coordsize="21600,21600" o:spt="202" path="m,l,21600r21600,l21600,xe">
              <v:stroke joinstyle="miter"/>
              <v:path gradientshapeok="t" o:connecttype="rect"/>
            </v:shapetype>
            <v:shape id="MSIPCMa31449c585d7d74ca738652a" o:spid="_x0000_s1027" type="#_x0000_t202" alt="{&quot;HashCode&quot;:-1048850003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24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" o:allowincell="f" filled="f" stroked="f" strokeweight=".5pt">
              <v:textbox inset=",0,20pt,0">
                <w:txbxContent>
                  <w:p w14:paraId="27961514" w14:textId="5CC9AA30" w:rsidR="002D190A" w:rsidRPr="002D190A" w:rsidRDefault="002D190A" w:rsidP="002D190A">
                    <w:pPr>
                      <w:jc w:val="right"/>
                      <w:rPr>
                        <w:rFonts w:ascii="Calibri" w:hAnsi="Calibri" w:cs="Calibri"/>
                        <w:color w:val="008000"/>
                      </w:rPr>
                    </w:pPr>
                    <w:r w:rsidRPr="002D190A">
                      <w:rPr>
                        <w:rFonts w:ascii="Calibri" w:hAnsi="Calibri" w:cs="Calibri"/>
                        <w:color w:val="008000"/>
                      </w:rPr>
                      <w:t>Informacje Jawne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C4824" w:rsidRPr="00725618">
      <w:t xml:space="preserve"> </w:t>
    </w:r>
  </w:p>
  <w:p w14:paraId="71ADC024" w14:textId="77777777" w:rsidR="00CC4824" w:rsidRPr="00943829" w:rsidRDefault="00CC4824" w:rsidP="00CC4824">
    <w:pPr>
      <w:pStyle w:val="BIK-Pagina"/>
    </w:pPr>
    <w:r>
      <w:fldChar w:fldCharType="begin"/>
    </w:r>
    <w:r>
      <w:instrText>PAGE  \* Arabic  \* MERGEFORMAT</w:instrText>
    </w:r>
    <w:r>
      <w:fldChar w:fldCharType="separate"/>
    </w:r>
    <w:r w:rsidR="005D7891">
      <w:rPr>
        <w:noProof/>
      </w:rPr>
      <w:t>1</w:t>
    </w:r>
    <w:r>
      <w:fldChar w:fldCharType="end"/>
    </w:r>
    <w:r>
      <w:t>/</w:t>
    </w:r>
    <w:r w:rsidR="00EE176C">
      <w:rPr>
        <w:noProof/>
      </w:rPr>
      <w:fldChar w:fldCharType="begin"/>
    </w:r>
    <w:r w:rsidR="00EE176C">
      <w:rPr>
        <w:noProof/>
      </w:rPr>
      <w:instrText>NUMPAGES  \* Arabic  \* MERGEFORMAT</w:instrText>
    </w:r>
    <w:r w:rsidR="00EE176C">
      <w:rPr>
        <w:noProof/>
      </w:rPr>
      <w:fldChar w:fldCharType="separate"/>
    </w:r>
    <w:r w:rsidR="005D7891">
      <w:rPr>
        <w:noProof/>
      </w:rPr>
      <w:t>3</w:t>
    </w:r>
    <w:r w:rsidR="00EE176C">
      <w:rPr>
        <w:noProof/>
      </w:rPr>
      <w:fldChar w:fldCharType="end"/>
    </w:r>
  </w:p>
  <w:p w14:paraId="31B111CD" w14:textId="77777777" w:rsidR="00CC4824" w:rsidRDefault="00CC4824" w:rsidP="00CC4824">
    <w:pPr>
      <w:pStyle w:val="BIK-Stopka"/>
    </w:pPr>
  </w:p>
  <w:p w14:paraId="7104AE86" w14:textId="77777777" w:rsidR="00CC4824" w:rsidRPr="00C15FB1" w:rsidRDefault="00CC4824" w:rsidP="00CC4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F62B" w14:textId="77777777" w:rsidR="00A329B7" w:rsidRDefault="00A329B7" w:rsidP="00866834">
      <w:r>
        <w:separator/>
      </w:r>
    </w:p>
    <w:p w14:paraId="7D098B56" w14:textId="77777777" w:rsidR="00A329B7" w:rsidRDefault="00A329B7"/>
  </w:footnote>
  <w:footnote w:type="continuationSeparator" w:id="0">
    <w:p w14:paraId="36FE707A" w14:textId="77777777" w:rsidR="00A329B7" w:rsidRDefault="00A329B7" w:rsidP="00866834">
      <w:r>
        <w:continuationSeparator/>
      </w:r>
    </w:p>
    <w:p w14:paraId="5A2DC977" w14:textId="77777777" w:rsidR="00A329B7" w:rsidRDefault="00A329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59B9" w14:textId="77777777" w:rsidR="00CE03AC" w:rsidRDefault="00CE03AC"/>
  <w:p w14:paraId="53450052" w14:textId="77777777" w:rsidR="00A7543E" w:rsidRDefault="00A754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CF8A" w14:textId="77777777" w:rsidR="004A2397" w:rsidRDefault="004A2397" w:rsidP="004A2397"/>
  <w:p w14:paraId="45E3B451" w14:textId="77777777" w:rsidR="004A2397" w:rsidRDefault="004A2397" w:rsidP="004A2397"/>
  <w:p w14:paraId="70FD9885" w14:textId="77777777" w:rsidR="004A2397" w:rsidRDefault="004A2397" w:rsidP="004A2397"/>
  <w:p w14:paraId="2DB1DCD4" w14:textId="77777777" w:rsidR="004A2397" w:rsidRDefault="004A2397" w:rsidP="004A2397"/>
  <w:p w14:paraId="68E99EC7" w14:textId="77777777" w:rsidR="004A2397" w:rsidRDefault="004A2397" w:rsidP="004A2397"/>
  <w:p w14:paraId="0EB99FA6" w14:textId="77777777" w:rsidR="004A2397" w:rsidRDefault="004A2397" w:rsidP="004A2397"/>
  <w:p w14:paraId="498A0862" w14:textId="4F7082E7" w:rsidR="004A2397" w:rsidRDefault="004A2397" w:rsidP="004A2397"/>
  <w:p w14:paraId="2A5AA698" w14:textId="77777777" w:rsidR="004A2397" w:rsidRDefault="004A2397" w:rsidP="004A2397"/>
  <w:p w14:paraId="7459BE45" w14:textId="022E694B" w:rsidR="00A7543E" w:rsidRDefault="008B4DBE" w:rsidP="004A2397">
    <w:r>
      <w:rPr>
        <w:noProof/>
        <w:lang w:eastAsia="pl-PL"/>
      </w:rPr>
      <w:drawing>
        <wp:anchor distT="0" distB="702310" distL="114300" distR="114300" simplePos="0" relativeHeight="251654144" behindDoc="0" locked="1" layoutInCell="0" allowOverlap="0" wp14:anchorId="33ED7646" wp14:editId="3FFDDB1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421440" cy="1120320"/>
          <wp:effectExtent l="0" t="0" r="7620" b="381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raz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1440" cy="1120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F243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2CE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0AAD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A87B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46C7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9C04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E80B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12AC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2EB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44C3E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384ADE"/>
    <w:multiLevelType w:val="hybridMultilevel"/>
    <w:tmpl w:val="CE0064C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58011B"/>
    <w:multiLevelType w:val="hybridMultilevel"/>
    <w:tmpl w:val="18A0102A"/>
    <w:lvl w:ilvl="0" w:tplc="674401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20D8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0291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864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3E6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5C3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B23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07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8A5A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E4415D0"/>
    <w:multiLevelType w:val="hybridMultilevel"/>
    <w:tmpl w:val="1F520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227E7"/>
    <w:multiLevelType w:val="hybridMultilevel"/>
    <w:tmpl w:val="20F48736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2B10AF"/>
    <w:multiLevelType w:val="hybridMultilevel"/>
    <w:tmpl w:val="86ACF2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03325">
    <w:abstractNumId w:val="9"/>
  </w:num>
  <w:num w:numId="2" w16cid:durableId="1528063078">
    <w:abstractNumId w:val="8"/>
  </w:num>
  <w:num w:numId="3" w16cid:durableId="848523292">
    <w:abstractNumId w:val="3"/>
  </w:num>
  <w:num w:numId="4" w16cid:durableId="342778653">
    <w:abstractNumId w:val="2"/>
  </w:num>
  <w:num w:numId="5" w16cid:durableId="23559305">
    <w:abstractNumId w:val="1"/>
  </w:num>
  <w:num w:numId="6" w16cid:durableId="372002419">
    <w:abstractNumId w:val="0"/>
  </w:num>
  <w:num w:numId="7" w16cid:durableId="942566613">
    <w:abstractNumId w:val="7"/>
  </w:num>
  <w:num w:numId="8" w16cid:durableId="1593009547">
    <w:abstractNumId w:val="6"/>
  </w:num>
  <w:num w:numId="9" w16cid:durableId="96876301">
    <w:abstractNumId w:val="5"/>
  </w:num>
  <w:num w:numId="10" w16cid:durableId="1563833334">
    <w:abstractNumId w:val="4"/>
  </w:num>
  <w:num w:numId="11" w16cid:durableId="958341419">
    <w:abstractNumId w:val="14"/>
  </w:num>
  <w:num w:numId="12" w16cid:durableId="403070983">
    <w:abstractNumId w:val="10"/>
  </w:num>
  <w:num w:numId="13" w16cid:durableId="1161504403">
    <w:abstractNumId w:val="13"/>
  </w:num>
  <w:num w:numId="14" w16cid:durableId="1942181626">
    <w:abstractNumId w:val="12"/>
  </w:num>
  <w:num w:numId="15" w16cid:durableId="17419765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40"/>
    <w:rsid w:val="00001491"/>
    <w:rsid w:val="00010682"/>
    <w:rsid w:val="0001284E"/>
    <w:rsid w:val="000133E5"/>
    <w:rsid w:val="00013465"/>
    <w:rsid w:val="00013A4A"/>
    <w:rsid w:val="00016952"/>
    <w:rsid w:val="0002470B"/>
    <w:rsid w:val="0002596B"/>
    <w:rsid w:val="00034859"/>
    <w:rsid w:val="00036506"/>
    <w:rsid w:val="000407B1"/>
    <w:rsid w:val="0005166C"/>
    <w:rsid w:val="000657BF"/>
    <w:rsid w:val="00070141"/>
    <w:rsid w:val="00070438"/>
    <w:rsid w:val="00071530"/>
    <w:rsid w:val="00072440"/>
    <w:rsid w:val="00072781"/>
    <w:rsid w:val="000744C6"/>
    <w:rsid w:val="00077647"/>
    <w:rsid w:val="00080F31"/>
    <w:rsid w:val="0009048B"/>
    <w:rsid w:val="00091B54"/>
    <w:rsid w:val="000A5502"/>
    <w:rsid w:val="000A6F07"/>
    <w:rsid w:val="000B0502"/>
    <w:rsid w:val="000B0755"/>
    <w:rsid w:val="000B2866"/>
    <w:rsid w:val="000B335D"/>
    <w:rsid w:val="000C3236"/>
    <w:rsid w:val="000C34DB"/>
    <w:rsid w:val="000C4489"/>
    <w:rsid w:val="000C729C"/>
    <w:rsid w:val="000D073E"/>
    <w:rsid w:val="000D3F4C"/>
    <w:rsid w:val="000D5993"/>
    <w:rsid w:val="000D7BEE"/>
    <w:rsid w:val="000E3C74"/>
    <w:rsid w:val="000F069D"/>
    <w:rsid w:val="000F7B08"/>
    <w:rsid w:val="00100D95"/>
    <w:rsid w:val="00101978"/>
    <w:rsid w:val="0010407D"/>
    <w:rsid w:val="001149A6"/>
    <w:rsid w:val="00121DC3"/>
    <w:rsid w:val="001225CA"/>
    <w:rsid w:val="00123D02"/>
    <w:rsid w:val="001266A3"/>
    <w:rsid w:val="001273A4"/>
    <w:rsid w:val="0013027F"/>
    <w:rsid w:val="001336D3"/>
    <w:rsid w:val="001354FA"/>
    <w:rsid w:val="00135BB9"/>
    <w:rsid w:val="001379B7"/>
    <w:rsid w:val="00137D36"/>
    <w:rsid w:val="001427ED"/>
    <w:rsid w:val="0014528E"/>
    <w:rsid w:val="0015633F"/>
    <w:rsid w:val="00162D9C"/>
    <w:rsid w:val="001661AF"/>
    <w:rsid w:val="001718BB"/>
    <w:rsid w:val="00171AC4"/>
    <w:rsid w:val="0017208F"/>
    <w:rsid w:val="00174407"/>
    <w:rsid w:val="0017730C"/>
    <w:rsid w:val="00182956"/>
    <w:rsid w:val="00183759"/>
    <w:rsid w:val="00184906"/>
    <w:rsid w:val="00185B94"/>
    <w:rsid w:val="001872A7"/>
    <w:rsid w:val="00192AD1"/>
    <w:rsid w:val="001972B1"/>
    <w:rsid w:val="001A01EF"/>
    <w:rsid w:val="001A1682"/>
    <w:rsid w:val="001A1B2B"/>
    <w:rsid w:val="001A5770"/>
    <w:rsid w:val="001B029A"/>
    <w:rsid w:val="001B043C"/>
    <w:rsid w:val="001C00C8"/>
    <w:rsid w:val="001C1DEA"/>
    <w:rsid w:val="001C2BED"/>
    <w:rsid w:val="001C587F"/>
    <w:rsid w:val="001D253F"/>
    <w:rsid w:val="001D3DE7"/>
    <w:rsid w:val="001E3517"/>
    <w:rsid w:val="001E4E47"/>
    <w:rsid w:val="001F153F"/>
    <w:rsid w:val="001F2A08"/>
    <w:rsid w:val="001F597F"/>
    <w:rsid w:val="001F6BED"/>
    <w:rsid w:val="00216444"/>
    <w:rsid w:val="00216907"/>
    <w:rsid w:val="00216995"/>
    <w:rsid w:val="00216E6E"/>
    <w:rsid w:val="00220AEE"/>
    <w:rsid w:val="0022264D"/>
    <w:rsid w:val="002269FF"/>
    <w:rsid w:val="0023120A"/>
    <w:rsid w:val="00231524"/>
    <w:rsid w:val="00232CF8"/>
    <w:rsid w:val="00234412"/>
    <w:rsid w:val="0023511B"/>
    <w:rsid w:val="002379EF"/>
    <w:rsid w:val="002436C3"/>
    <w:rsid w:val="00251D5F"/>
    <w:rsid w:val="00252B24"/>
    <w:rsid w:val="00261864"/>
    <w:rsid w:val="00262505"/>
    <w:rsid w:val="00263BB5"/>
    <w:rsid w:val="0027026C"/>
    <w:rsid w:val="00271B37"/>
    <w:rsid w:val="00275BBC"/>
    <w:rsid w:val="00276BFD"/>
    <w:rsid w:val="00280F4A"/>
    <w:rsid w:val="00281392"/>
    <w:rsid w:val="0028592D"/>
    <w:rsid w:val="002971C2"/>
    <w:rsid w:val="002A198F"/>
    <w:rsid w:val="002A60EE"/>
    <w:rsid w:val="002B1D2D"/>
    <w:rsid w:val="002B3EAC"/>
    <w:rsid w:val="002B3FE4"/>
    <w:rsid w:val="002B491D"/>
    <w:rsid w:val="002C3CDB"/>
    <w:rsid w:val="002C4576"/>
    <w:rsid w:val="002D190A"/>
    <w:rsid w:val="002D1CE5"/>
    <w:rsid w:val="002D3C7D"/>
    <w:rsid w:val="002D48BE"/>
    <w:rsid w:val="002D745D"/>
    <w:rsid w:val="002D7DAF"/>
    <w:rsid w:val="002E1B65"/>
    <w:rsid w:val="002E2235"/>
    <w:rsid w:val="002E3E55"/>
    <w:rsid w:val="002E68B9"/>
    <w:rsid w:val="002F1502"/>
    <w:rsid w:val="002F2B2E"/>
    <w:rsid w:val="002F2D97"/>
    <w:rsid w:val="002F39DD"/>
    <w:rsid w:val="002F4540"/>
    <w:rsid w:val="002F4B18"/>
    <w:rsid w:val="002F7017"/>
    <w:rsid w:val="00300DB3"/>
    <w:rsid w:val="003017E1"/>
    <w:rsid w:val="00301E1C"/>
    <w:rsid w:val="00307106"/>
    <w:rsid w:val="00312391"/>
    <w:rsid w:val="00315358"/>
    <w:rsid w:val="0031648A"/>
    <w:rsid w:val="003164D9"/>
    <w:rsid w:val="00320C5B"/>
    <w:rsid w:val="00331554"/>
    <w:rsid w:val="00334494"/>
    <w:rsid w:val="00335F9F"/>
    <w:rsid w:val="00341795"/>
    <w:rsid w:val="003446F2"/>
    <w:rsid w:val="00346C00"/>
    <w:rsid w:val="003509C2"/>
    <w:rsid w:val="00352872"/>
    <w:rsid w:val="003541EB"/>
    <w:rsid w:val="00355424"/>
    <w:rsid w:val="0035787B"/>
    <w:rsid w:val="0036490A"/>
    <w:rsid w:val="00364977"/>
    <w:rsid w:val="00372135"/>
    <w:rsid w:val="003839D6"/>
    <w:rsid w:val="003847B0"/>
    <w:rsid w:val="003853CC"/>
    <w:rsid w:val="00387C34"/>
    <w:rsid w:val="003901F9"/>
    <w:rsid w:val="0039037F"/>
    <w:rsid w:val="003A0E17"/>
    <w:rsid w:val="003A6B00"/>
    <w:rsid w:val="003C1AA1"/>
    <w:rsid w:val="003C5672"/>
    <w:rsid w:val="003C79A3"/>
    <w:rsid w:val="003D277C"/>
    <w:rsid w:val="003D286C"/>
    <w:rsid w:val="003D2D7E"/>
    <w:rsid w:val="003E1BEB"/>
    <w:rsid w:val="003F4BA3"/>
    <w:rsid w:val="003F64AF"/>
    <w:rsid w:val="00405881"/>
    <w:rsid w:val="00413DA9"/>
    <w:rsid w:val="00414487"/>
    <w:rsid w:val="00417650"/>
    <w:rsid w:val="004216FB"/>
    <w:rsid w:val="00421FA2"/>
    <w:rsid w:val="00426517"/>
    <w:rsid w:val="004335ED"/>
    <w:rsid w:val="00440C5C"/>
    <w:rsid w:val="00441797"/>
    <w:rsid w:val="004463B6"/>
    <w:rsid w:val="00451F91"/>
    <w:rsid w:val="00452E8D"/>
    <w:rsid w:val="004563EB"/>
    <w:rsid w:val="00456A13"/>
    <w:rsid w:val="00464740"/>
    <w:rsid w:val="0047746F"/>
    <w:rsid w:val="00480324"/>
    <w:rsid w:val="0048408C"/>
    <w:rsid w:val="00490399"/>
    <w:rsid w:val="0049251C"/>
    <w:rsid w:val="004A1138"/>
    <w:rsid w:val="004A2397"/>
    <w:rsid w:val="004A3600"/>
    <w:rsid w:val="004B116E"/>
    <w:rsid w:val="004B2319"/>
    <w:rsid w:val="004B5795"/>
    <w:rsid w:val="004B672F"/>
    <w:rsid w:val="004C022C"/>
    <w:rsid w:val="004C17A7"/>
    <w:rsid w:val="004C29EC"/>
    <w:rsid w:val="004C2FBB"/>
    <w:rsid w:val="004C4026"/>
    <w:rsid w:val="004C44D3"/>
    <w:rsid w:val="004C4C22"/>
    <w:rsid w:val="004C756A"/>
    <w:rsid w:val="004D6326"/>
    <w:rsid w:val="004E1CA1"/>
    <w:rsid w:val="004E6E7F"/>
    <w:rsid w:val="004E7CE1"/>
    <w:rsid w:val="004F00FD"/>
    <w:rsid w:val="004F3871"/>
    <w:rsid w:val="004F5805"/>
    <w:rsid w:val="004F5815"/>
    <w:rsid w:val="0050297C"/>
    <w:rsid w:val="005032D8"/>
    <w:rsid w:val="00507682"/>
    <w:rsid w:val="00507F2B"/>
    <w:rsid w:val="005163AE"/>
    <w:rsid w:val="005220A2"/>
    <w:rsid w:val="00526CDD"/>
    <w:rsid w:val="0053382B"/>
    <w:rsid w:val="00534126"/>
    <w:rsid w:val="005377DC"/>
    <w:rsid w:val="00541A22"/>
    <w:rsid w:val="00541CDA"/>
    <w:rsid w:val="00543D89"/>
    <w:rsid w:val="005450F2"/>
    <w:rsid w:val="005468AD"/>
    <w:rsid w:val="00547BB4"/>
    <w:rsid w:val="00551F06"/>
    <w:rsid w:val="00553FBC"/>
    <w:rsid w:val="00555088"/>
    <w:rsid w:val="00556715"/>
    <w:rsid w:val="0056116B"/>
    <w:rsid w:val="00577E50"/>
    <w:rsid w:val="00581993"/>
    <w:rsid w:val="005842F8"/>
    <w:rsid w:val="00584732"/>
    <w:rsid w:val="00590159"/>
    <w:rsid w:val="005A0EEF"/>
    <w:rsid w:val="005A205A"/>
    <w:rsid w:val="005A65ED"/>
    <w:rsid w:val="005B4E73"/>
    <w:rsid w:val="005B6789"/>
    <w:rsid w:val="005C0301"/>
    <w:rsid w:val="005C0F42"/>
    <w:rsid w:val="005C5F68"/>
    <w:rsid w:val="005D030A"/>
    <w:rsid w:val="005D06D0"/>
    <w:rsid w:val="005D1495"/>
    <w:rsid w:val="005D2FEA"/>
    <w:rsid w:val="005D7891"/>
    <w:rsid w:val="005E5F8E"/>
    <w:rsid w:val="005F0A9A"/>
    <w:rsid w:val="005F4817"/>
    <w:rsid w:val="005F5D7A"/>
    <w:rsid w:val="005F74B8"/>
    <w:rsid w:val="006102EC"/>
    <w:rsid w:val="0061285D"/>
    <w:rsid w:val="00620D7B"/>
    <w:rsid w:val="0062205D"/>
    <w:rsid w:val="00625B1C"/>
    <w:rsid w:val="00637C84"/>
    <w:rsid w:val="0064002F"/>
    <w:rsid w:val="00644A0E"/>
    <w:rsid w:val="00652510"/>
    <w:rsid w:val="00652B03"/>
    <w:rsid w:val="00653046"/>
    <w:rsid w:val="0065792E"/>
    <w:rsid w:val="00657B6A"/>
    <w:rsid w:val="00661E64"/>
    <w:rsid w:val="00662269"/>
    <w:rsid w:val="006661E9"/>
    <w:rsid w:val="00673B10"/>
    <w:rsid w:val="00674254"/>
    <w:rsid w:val="006747BD"/>
    <w:rsid w:val="0068438B"/>
    <w:rsid w:val="00685450"/>
    <w:rsid w:val="0068698E"/>
    <w:rsid w:val="0068716D"/>
    <w:rsid w:val="006A2C5F"/>
    <w:rsid w:val="006A4EC3"/>
    <w:rsid w:val="006A65EC"/>
    <w:rsid w:val="006A6B2C"/>
    <w:rsid w:val="006A7148"/>
    <w:rsid w:val="006B339C"/>
    <w:rsid w:val="006B7D8F"/>
    <w:rsid w:val="006C3E1C"/>
    <w:rsid w:val="006C4F1D"/>
    <w:rsid w:val="006D04FE"/>
    <w:rsid w:val="006D2EFB"/>
    <w:rsid w:val="006D4BD3"/>
    <w:rsid w:val="006D6DE5"/>
    <w:rsid w:val="006E2E88"/>
    <w:rsid w:val="006E30FE"/>
    <w:rsid w:val="006E34DC"/>
    <w:rsid w:val="006E4D96"/>
    <w:rsid w:val="006E5990"/>
    <w:rsid w:val="006E6223"/>
    <w:rsid w:val="006F09D5"/>
    <w:rsid w:val="006F0FA9"/>
    <w:rsid w:val="006F4BB6"/>
    <w:rsid w:val="006F72EF"/>
    <w:rsid w:val="00700729"/>
    <w:rsid w:val="0070349D"/>
    <w:rsid w:val="007042E5"/>
    <w:rsid w:val="007051F8"/>
    <w:rsid w:val="00705F1E"/>
    <w:rsid w:val="00707AD0"/>
    <w:rsid w:val="007122F9"/>
    <w:rsid w:val="007128AE"/>
    <w:rsid w:val="00713E63"/>
    <w:rsid w:val="00715695"/>
    <w:rsid w:val="0071737D"/>
    <w:rsid w:val="007226B7"/>
    <w:rsid w:val="00722908"/>
    <w:rsid w:val="0072379F"/>
    <w:rsid w:val="007249DD"/>
    <w:rsid w:val="00725618"/>
    <w:rsid w:val="00726877"/>
    <w:rsid w:val="00730126"/>
    <w:rsid w:val="00733587"/>
    <w:rsid w:val="0073442F"/>
    <w:rsid w:val="0073466F"/>
    <w:rsid w:val="00734744"/>
    <w:rsid w:val="0073720C"/>
    <w:rsid w:val="0074162C"/>
    <w:rsid w:val="00744BD5"/>
    <w:rsid w:val="00764AD8"/>
    <w:rsid w:val="0077272F"/>
    <w:rsid w:val="00773BD6"/>
    <w:rsid w:val="00777163"/>
    <w:rsid w:val="00777AED"/>
    <w:rsid w:val="00777B1B"/>
    <w:rsid w:val="00794B24"/>
    <w:rsid w:val="00795992"/>
    <w:rsid w:val="007A002C"/>
    <w:rsid w:val="007A098A"/>
    <w:rsid w:val="007A1B69"/>
    <w:rsid w:val="007A2D8F"/>
    <w:rsid w:val="007A5787"/>
    <w:rsid w:val="007B58FC"/>
    <w:rsid w:val="007B6884"/>
    <w:rsid w:val="007D0B3B"/>
    <w:rsid w:val="007E23D8"/>
    <w:rsid w:val="007E463E"/>
    <w:rsid w:val="007E5C6A"/>
    <w:rsid w:val="007E692B"/>
    <w:rsid w:val="007F06DA"/>
    <w:rsid w:val="007F43B1"/>
    <w:rsid w:val="00805DF6"/>
    <w:rsid w:val="00806733"/>
    <w:rsid w:val="00806C2E"/>
    <w:rsid w:val="008209AF"/>
    <w:rsid w:val="008218E3"/>
    <w:rsid w:val="00821F16"/>
    <w:rsid w:val="00822F2C"/>
    <w:rsid w:val="00825DF2"/>
    <w:rsid w:val="0082656E"/>
    <w:rsid w:val="008301AA"/>
    <w:rsid w:val="0083379A"/>
    <w:rsid w:val="0083709D"/>
    <w:rsid w:val="0084042D"/>
    <w:rsid w:val="0084088B"/>
    <w:rsid w:val="00841A2A"/>
    <w:rsid w:val="0084396A"/>
    <w:rsid w:val="00846B95"/>
    <w:rsid w:val="00852766"/>
    <w:rsid w:val="008537F7"/>
    <w:rsid w:val="00854A6B"/>
    <w:rsid w:val="00854B7B"/>
    <w:rsid w:val="00866834"/>
    <w:rsid w:val="008678A4"/>
    <w:rsid w:val="00867CB5"/>
    <w:rsid w:val="00872D28"/>
    <w:rsid w:val="00873CF9"/>
    <w:rsid w:val="00881712"/>
    <w:rsid w:val="00884A35"/>
    <w:rsid w:val="008917A1"/>
    <w:rsid w:val="00896DEF"/>
    <w:rsid w:val="00897945"/>
    <w:rsid w:val="00897BC4"/>
    <w:rsid w:val="008A0898"/>
    <w:rsid w:val="008A281A"/>
    <w:rsid w:val="008A42FB"/>
    <w:rsid w:val="008B1BA9"/>
    <w:rsid w:val="008B2062"/>
    <w:rsid w:val="008B30AC"/>
    <w:rsid w:val="008B4DBE"/>
    <w:rsid w:val="008C1729"/>
    <w:rsid w:val="008C75DD"/>
    <w:rsid w:val="008D2CF3"/>
    <w:rsid w:val="008D377A"/>
    <w:rsid w:val="008E04B2"/>
    <w:rsid w:val="008E44F2"/>
    <w:rsid w:val="008E7AEF"/>
    <w:rsid w:val="008F123D"/>
    <w:rsid w:val="008F209D"/>
    <w:rsid w:val="008F4D1F"/>
    <w:rsid w:val="008F6B32"/>
    <w:rsid w:val="00900D1F"/>
    <w:rsid w:val="00905262"/>
    <w:rsid w:val="009052A4"/>
    <w:rsid w:val="00910872"/>
    <w:rsid w:val="00914B33"/>
    <w:rsid w:val="009154F2"/>
    <w:rsid w:val="0092387C"/>
    <w:rsid w:val="00924145"/>
    <w:rsid w:val="00925A30"/>
    <w:rsid w:val="009327DA"/>
    <w:rsid w:val="00932D5D"/>
    <w:rsid w:val="00933A79"/>
    <w:rsid w:val="009423F7"/>
    <w:rsid w:val="00943829"/>
    <w:rsid w:val="00947069"/>
    <w:rsid w:val="00954066"/>
    <w:rsid w:val="00954F60"/>
    <w:rsid w:val="00957D7F"/>
    <w:rsid w:val="00964B09"/>
    <w:rsid w:val="00970D51"/>
    <w:rsid w:val="00975E58"/>
    <w:rsid w:val="00980CDA"/>
    <w:rsid w:val="0098583A"/>
    <w:rsid w:val="00985CB7"/>
    <w:rsid w:val="009878BD"/>
    <w:rsid w:val="00990DD6"/>
    <w:rsid w:val="00992310"/>
    <w:rsid w:val="00996627"/>
    <w:rsid w:val="00996665"/>
    <w:rsid w:val="009A1CEE"/>
    <w:rsid w:val="009A342F"/>
    <w:rsid w:val="009A73B5"/>
    <w:rsid w:val="009B0E2B"/>
    <w:rsid w:val="009B4B80"/>
    <w:rsid w:val="009B75D2"/>
    <w:rsid w:val="009C0766"/>
    <w:rsid w:val="009C0A0B"/>
    <w:rsid w:val="009C56EE"/>
    <w:rsid w:val="009C6129"/>
    <w:rsid w:val="009D2B0D"/>
    <w:rsid w:val="009D3E46"/>
    <w:rsid w:val="009D49B0"/>
    <w:rsid w:val="009D4C4D"/>
    <w:rsid w:val="009D60E2"/>
    <w:rsid w:val="009D6176"/>
    <w:rsid w:val="009D75D3"/>
    <w:rsid w:val="009E3DF6"/>
    <w:rsid w:val="009E45CE"/>
    <w:rsid w:val="009E4A7E"/>
    <w:rsid w:val="009F4BCD"/>
    <w:rsid w:val="009F5B2B"/>
    <w:rsid w:val="009F64ED"/>
    <w:rsid w:val="00A11066"/>
    <w:rsid w:val="00A11219"/>
    <w:rsid w:val="00A137A8"/>
    <w:rsid w:val="00A21181"/>
    <w:rsid w:val="00A24EEC"/>
    <w:rsid w:val="00A25BAF"/>
    <w:rsid w:val="00A3057A"/>
    <w:rsid w:val="00A329B7"/>
    <w:rsid w:val="00A331E9"/>
    <w:rsid w:val="00A350A7"/>
    <w:rsid w:val="00A36F46"/>
    <w:rsid w:val="00A4087C"/>
    <w:rsid w:val="00A4363C"/>
    <w:rsid w:val="00A447FD"/>
    <w:rsid w:val="00A50C8D"/>
    <w:rsid w:val="00A60509"/>
    <w:rsid w:val="00A612D8"/>
    <w:rsid w:val="00A627E0"/>
    <w:rsid w:val="00A66E1F"/>
    <w:rsid w:val="00A6713B"/>
    <w:rsid w:val="00A677E4"/>
    <w:rsid w:val="00A72BE7"/>
    <w:rsid w:val="00A741E5"/>
    <w:rsid w:val="00A7543E"/>
    <w:rsid w:val="00A7583D"/>
    <w:rsid w:val="00A8018E"/>
    <w:rsid w:val="00A82827"/>
    <w:rsid w:val="00A85D65"/>
    <w:rsid w:val="00A86E11"/>
    <w:rsid w:val="00A87FFE"/>
    <w:rsid w:val="00A94C25"/>
    <w:rsid w:val="00A9727B"/>
    <w:rsid w:val="00AA1576"/>
    <w:rsid w:val="00AA436B"/>
    <w:rsid w:val="00AA46D3"/>
    <w:rsid w:val="00AA4FB6"/>
    <w:rsid w:val="00AB0657"/>
    <w:rsid w:val="00AB44FD"/>
    <w:rsid w:val="00AB504A"/>
    <w:rsid w:val="00AB6344"/>
    <w:rsid w:val="00AB7F02"/>
    <w:rsid w:val="00AC2258"/>
    <w:rsid w:val="00AC3FC0"/>
    <w:rsid w:val="00AC7FEC"/>
    <w:rsid w:val="00AD0E09"/>
    <w:rsid w:val="00AD112C"/>
    <w:rsid w:val="00AD3E35"/>
    <w:rsid w:val="00AD5F97"/>
    <w:rsid w:val="00AD63A3"/>
    <w:rsid w:val="00AE01C0"/>
    <w:rsid w:val="00AE025A"/>
    <w:rsid w:val="00AE67A6"/>
    <w:rsid w:val="00AE7D12"/>
    <w:rsid w:val="00AF0C3C"/>
    <w:rsid w:val="00AF1456"/>
    <w:rsid w:val="00AF3176"/>
    <w:rsid w:val="00B010F5"/>
    <w:rsid w:val="00B04A18"/>
    <w:rsid w:val="00B12B8A"/>
    <w:rsid w:val="00B1741D"/>
    <w:rsid w:val="00B179DA"/>
    <w:rsid w:val="00B21D57"/>
    <w:rsid w:val="00B26ABA"/>
    <w:rsid w:val="00B35B63"/>
    <w:rsid w:val="00B4202D"/>
    <w:rsid w:val="00B51C7B"/>
    <w:rsid w:val="00B5238E"/>
    <w:rsid w:val="00B54CA8"/>
    <w:rsid w:val="00B56575"/>
    <w:rsid w:val="00B60E67"/>
    <w:rsid w:val="00B61F8A"/>
    <w:rsid w:val="00B65DDC"/>
    <w:rsid w:val="00B67916"/>
    <w:rsid w:val="00B70F4F"/>
    <w:rsid w:val="00B747D3"/>
    <w:rsid w:val="00B833F0"/>
    <w:rsid w:val="00B85ED1"/>
    <w:rsid w:val="00B86769"/>
    <w:rsid w:val="00B921E7"/>
    <w:rsid w:val="00B94B93"/>
    <w:rsid w:val="00B96E78"/>
    <w:rsid w:val="00B976FD"/>
    <w:rsid w:val="00BA2C0D"/>
    <w:rsid w:val="00BA2DE8"/>
    <w:rsid w:val="00BB3391"/>
    <w:rsid w:val="00BB4A80"/>
    <w:rsid w:val="00BB7102"/>
    <w:rsid w:val="00BB75B6"/>
    <w:rsid w:val="00BC55AC"/>
    <w:rsid w:val="00BC564A"/>
    <w:rsid w:val="00BC6ABB"/>
    <w:rsid w:val="00BD3BDC"/>
    <w:rsid w:val="00BD5534"/>
    <w:rsid w:val="00BD6260"/>
    <w:rsid w:val="00BD6AE4"/>
    <w:rsid w:val="00BE2B4E"/>
    <w:rsid w:val="00BE3A2F"/>
    <w:rsid w:val="00BF191F"/>
    <w:rsid w:val="00BF194F"/>
    <w:rsid w:val="00BF482E"/>
    <w:rsid w:val="00BF7242"/>
    <w:rsid w:val="00C00D06"/>
    <w:rsid w:val="00C03EBD"/>
    <w:rsid w:val="00C056AB"/>
    <w:rsid w:val="00C06041"/>
    <w:rsid w:val="00C158E2"/>
    <w:rsid w:val="00C15FB1"/>
    <w:rsid w:val="00C208FB"/>
    <w:rsid w:val="00C22D2A"/>
    <w:rsid w:val="00C2522A"/>
    <w:rsid w:val="00C25E6E"/>
    <w:rsid w:val="00C26640"/>
    <w:rsid w:val="00C277A7"/>
    <w:rsid w:val="00C36B08"/>
    <w:rsid w:val="00C44C19"/>
    <w:rsid w:val="00C47889"/>
    <w:rsid w:val="00C5064F"/>
    <w:rsid w:val="00C573A5"/>
    <w:rsid w:val="00C57C5D"/>
    <w:rsid w:val="00C633BF"/>
    <w:rsid w:val="00C64491"/>
    <w:rsid w:val="00C663AC"/>
    <w:rsid w:val="00C74378"/>
    <w:rsid w:val="00C90F0F"/>
    <w:rsid w:val="00C93922"/>
    <w:rsid w:val="00CA48FA"/>
    <w:rsid w:val="00CA530B"/>
    <w:rsid w:val="00CA59D7"/>
    <w:rsid w:val="00CA60CD"/>
    <w:rsid w:val="00CB4DA7"/>
    <w:rsid w:val="00CC4824"/>
    <w:rsid w:val="00CC493E"/>
    <w:rsid w:val="00CC7DE4"/>
    <w:rsid w:val="00CD113F"/>
    <w:rsid w:val="00CD1F75"/>
    <w:rsid w:val="00CD2F5C"/>
    <w:rsid w:val="00CD3939"/>
    <w:rsid w:val="00CE03AC"/>
    <w:rsid w:val="00CE4250"/>
    <w:rsid w:val="00CE6D54"/>
    <w:rsid w:val="00CF3E86"/>
    <w:rsid w:val="00CF51E1"/>
    <w:rsid w:val="00CF7ECD"/>
    <w:rsid w:val="00D005B3"/>
    <w:rsid w:val="00D06A82"/>
    <w:rsid w:val="00D06D36"/>
    <w:rsid w:val="00D070E2"/>
    <w:rsid w:val="00D141CD"/>
    <w:rsid w:val="00D1550C"/>
    <w:rsid w:val="00D16362"/>
    <w:rsid w:val="00D17C4A"/>
    <w:rsid w:val="00D23E01"/>
    <w:rsid w:val="00D244E2"/>
    <w:rsid w:val="00D32992"/>
    <w:rsid w:val="00D33E10"/>
    <w:rsid w:val="00D35DC2"/>
    <w:rsid w:val="00D37160"/>
    <w:rsid w:val="00D40690"/>
    <w:rsid w:val="00D4236C"/>
    <w:rsid w:val="00D42905"/>
    <w:rsid w:val="00D4355E"/>
    <w:rsid w:val="00D446D7"/>
    <w:rsid w:val="00D44783"/>
    <w:rsid w:val="00D46C47"/>
    <w:rsid w:val="00D47796"/>
    <w:rsid w:val="00D47BA0"/>
    <w:rsid w:val="00D628DE"/>
    <w:rsid w:val="00D628F5"/>
    <w:rsid w:val="00D6359F"/>
    <w:rsid w:val="00D70309"/>
    <w:rsid w:val="00D7752A"/>
    <w:rsid w:val="00D85799"/>
    <w:rsid w:val="00D87624"/>
    <w:rsid w:val="00D90D4D"/>
    <w:rsid w:val="00D913EA"/>
    <w:rsid w:val="00D92A09"/>
    <w:rsid w:val="00DA4146"/>
    <w:rsid w:val="00DA56A8"/>
    <w:rsid w:val="00DA6E81"/>
    <w:rsid w:val="00DA7420"/>
    <w:rsid w:val="00DB312F"/>
    <w:rsid w:val="00DB54EC"/>
    <w:rsid w:val="00DC698D"/>
    <w:rsid w:val="00DC759A"/>
    <w:rsid w:val="00DC7EA7"/>
    <w:rsid w:val="00DD02D6"/>
    <w:rsid w:val="00DD4313"/>
    <w:rsid w:val="00DD60D6"/>
    <w:rsid w:val="00DD77D2"/>
    <w:rsid w:val="00DE08B4"/>
    <w:rsid w:val="00DE2663"/>
    <w:rsid w:val="00DE2CE1"/>
    <w:rsid w:val="00DE42E7"/>
    <w:rsid w:val="00DF52F5"/>
    <w:rsid w:val="00E03125"/>
    <w:rsid w:val="00E07623"/>
    <w:rsid w:val="00E07D82"/>
    <w:rsid w:val="00E10FC5"/>
    <w:rsid w:val="00E11802"/>
    <w:rsid w:val="00E12E34"/>
    <w:rsid w:val="00E134A6"/>
    <w:rsid w:val="00E134C5"/>
    <w:rsid w:val="00E14964"/>
    <w:rsid w:val="00E16ED6"/>
    <w:rsid w:val="00E17AF7"/>
    <w:rsid w:val="00E17E67"/>
    <w:rsid w:val="00E20CD9"/>
    <w:rsid w:val="00E224F9"/>
    <w:rsid w:val="00E23BC8"/>
    <w:rsid w:val="00E26720"/>
    <w:rsid w:val="00E279F6"/>
    <w:rsid w:val="00E339B5"/>
    <w:rsid w:val="00E34618"/>
    <w:rsid w:val="00E401D6"/>
    <w:rsid w:val="00E43084"/>
    <w:rsid w:val="00E53739"/>
    <w:rsid w:val="00E53D73"/>
    <w:rsid w:val="00E550DF"/>
    <w:rsid w:val="00E556B5"/>
    <w:rsid w:val="00E55B0E"/>
    <w:rsid w:val="00E62BFF"/>
    <w:rsid w:val="00E65516"/>
    <w:rsid w:val="00E65E4F"/>
    <w:rsid w:val="00E72CC9"/>
    <w:rsid w:val="00E74362"/>
    <w:rsid w:val="00E80641"/>
    <w:rsid w:val="00E8077A"/>
    <w:rsid w:val="00E81E48"/>
    <w:rsid w:val="00E86BFC"/>
    <w:rsid w:val="00E86ED1"/>
    <w:rsid w:val="00EA3A41"/>
    <w:rsid w:val="00EA5C69"/>
    <w:rsid w:val="00EC22AD"/>
    <w:rsid w:val="00EC3CB8"/>
    <w:rsid w:val="00EC4B0E"/>
    <w:rsid w:val="00EC7B6F"/>
    <w:rsid w:val="00ED34ED"/>
    <w:rsid w:val="00EE176C"/>
    <w:rsid w:val="00EE493C"/>
    <w:rsid w:val="00EF3CDE"/>
    <w:rsid w:val="00EF7C37"/>
    <w:rsid w:val="00F00843"/>
    <w:rsid w:val="00F04772"/>
    <w:rsid w:val="00F1234F"/>
    <w:rsid w:val="00F12476"/>
    <w:rsid w:val="00F13AAC"/>
    <w:rsid w:val="00F13DDF"/>
    <w:rsid w:val="00F21E8C"/>
    <w:rsid w:val="00F23D30"/>
    <w:rsid w:val="00F260AF"/>
    <w:rsid w:val="00F26ECD"/>
    <w:rsid w:val="00F323D1"/>
    <w:rsid w:val="00F46B22"/>
    <w:rsid w:val="00F55224"/>
    <w:rsid w:val="00F63136"/>
    <w:rsid w:val="00F76F29"/>
    <w:rsid w:val="00F8282B"/>
    <w:rsid w:val="00F82D3F"/>
    <w:rsid w:val="00F8380F"/>
    <w:rsid w:val="00F85535"/>
    <w:rsid w:val="00F876B5"/>
    <w:rsid w:val="00F9078C"/>
    <w:rsid w:val="00F93E07"/>
    <w:rsid w:val="00F95D20"/>
    <w:rsid w:val="00FB1A13"/>
    <w:rsid w:val="00FB22E4"/>
    <w:rsid w:val="00FB22EA"/>
    <w:rsid w:val="00FB31CA"/>
    <w:rsid w:val="00FC3DE2"/>
    <w:rsid w:val="00FC4D83"/>
    <w:rsid w:val="00FD52BA"/>
    <w:rsid w:val="00FF362A"/>
    <w:rsid w:val="00FF5E3A"/>
    <w:rsid w:val="00FF6EC4"/>
    <w:rsid w:val="00FF7672"/>
    <w:rsid w:val="00FF783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0310F"/>
  <w15:docId w15:val="{56A0A1BC-FB1D-4527-BD38-EDB0EEC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3391"/>
    <w:pPr>
      <w:spacing w:after="0" w:line="300" w:lineRule="exact"/>
    </w:pPr>
    <w:rPr>
      <w:color w:val="161616"/>
      <w:sz w:val="20"/>
    </w:rPr>
  </w:style>
  <w:style w:type="paragraph" w:styleId="Nagwek1">
    <w:name w:val="heading 1"/>
    <w:basedOn w:val="Normalny"/>
    <w:next w:val="Normalny"/>
    <w:link w:val="Nagwek1Znak"/>
    <w:uiPriority w:val="9"/>
    <w:rsid w:val="002315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263B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8BF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1524"/>
    <w:rPr>
      <w:rFonts w:asciiTheme="majorHAnsi" w:eastAsiaTheme="majorEastAsia" w:hAnsiTheme="majorHAnsi" w:cstheme="majorBidi"/>
      <w:spacing w:val="4"/>
      <w:sz w:val="32"/>
      <w:szCs w:val="32"/>
    </w:rPr>
  </w:style>
  <w:style w:type="paragraph" w:customStyle="1" w:styleId="BIK-Zwrotgrzecznociowy">
    <w:name w:val="BIK - Zwrot grzecznościowy"/>
    <w:basedOn w:val="BIK-Trepisma-odstp"/>
    <w:next w:val="BIK-Trepisma-odstp"/>
    <w:autoRedefine/>
    <w:qFormat/>
    <w:rsid w:val="00BB3391"/>
    <w:pPr>
      <w:keepLines/>
      <w:spacing w:before="400"/>
    </w:pPr>
    <w:rPr>
      <w:rFonts w:cs="Verdana"/>
      <w:szCs w:val="20"/>
    </w:rPr>
  </w:style>
  <w:style w:type="paragraph" w:customStyle="1" w:styleId="LukImiiNazwwisko">
    <w:name w:val="Luk_Imię i Nazwwisko"/>
    <w:basedOn w:val="LucInstytut"/>
    <w:rsid w:val="00D005B3"/>
    <w:rPr>
      <w:b/>
    </w:rPr>
  </w:style>
  <w:style w:type="paragraph" w:customStyle="1" w:styleId="BIK-Miasto-data">
    <w:name w:val="BIK - Miasto - data"/>
    <w:basedOn w:val="BIK-Trepisma-odstp"/>
    <w:next w:val="BIK-Adresat"/>
    <w:autoRedefine/>
    <w:qFormat/>
    <w:rsid w:val="00CE03AC"/>
    <w:pPr>
      <w:spacing w:after="160"/>
    </w:pPr>
  </w:style>
  <w:style w:type="paragraph" w:customStyle="1" w:styleId="LucInstytut">
    <w:name w:val="Luc_Instytut"/>
    <w:basedOn w:val="BIK-Zwrotgrzecznociowy"/>
    <w:rsid w:val="00D005B3"/>
  </w:style>
  <w:style w:type="paragraph" w:styleId="Listapunktowana">
    <w:name w:val="List Bullet"/>
    <w:basedOn w:val="Normalny"/>
    <w:uiPriority w:val="99"/>
    <w:unhideWhenUsed/>
    <w:rsid w:val="00854B7B"/>
    <w:pPr>
      <w:numPr>
        <w:numId w:val="1"/>
      </w:numPr>
      <w:contextualSpacing/>
    </w:pPr>
  </w:style>
  <w:style w:type="table" w:styleId="Tabela-Siatka">
    <w:name w:val="Table Grid"/>
    <w:basedOn w:val="Standardowy"/>
    <w:uiPriority w:val="39"/>
    <w:rsid w:val="00A3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K-Zpowaaniem">
    <w:name w:val="BIK - Z poważaniem"/>
    <w:basedOn w:val="BIK-Trepisma-odstp"/>
    <w:next w:val="BIK-ImiiNazwisko"/>
    <w:autoRedefine/>
    <w:qFormat/>
    <w:rsid w:val="00BB3391"/>
    <w:pPr>
      <w:keepLines/>
      <w:spacing w:before="900" w:after="600"/>
    </w:pPr>
  </w:style>
  <w:style w:type="paragraph" w:styleId="Bezodstpw">
    <w:name w:val="No Spacing"/>
    <w:aliases w:val="Luc_Bez odstępów"/>
    <w:basedOn w:val="Normalny"/>
    <w:autoRedefine/>
    <w:uiPriority w:val="1"/>
    <w:rsid w:val="00821F16"/>
  </w:style>
  <w:style w:type="paragraph" w:styleId="Tekstpodstawowy">
    <w:name w:val="Body Text"/>
    <w:aliases w:val="22SniezkaGr Tekst podstawowy"/>
    <w:basedOn w:val="Normalny"/>
    <w:link w:val="TekstpodstawowyZnak"/>
    <w:autoRedefine/>
    <w:uiPriority w:val="99"/>
    <w:unhideWhenUsed/>
    <w:rsid w:val="006F72EF"/>
    <w:pPr>
      <w:spacing w:after="240"/>
    </w:pPr>
  </w:style>
  <w:style w:type="character" w:customStyle="1" w:styleId="TekstpodstawowyZnak">
    <w:name w:val="Tekst podstawowy Znak"/>
    <w:aliases w:val="22SniezkaGr Tekst podstawowy Znak"/>
    <w:basedOn w:val="Domylnaczcionkaakapitu"/>
    <w:link w:val="Tekstpodstawowy"/>
    <w:uiPriority w:val="99"/>
    <w:rsid w:val="006F72EF"/>
    <w:rPr>
      <w:color w:val="000000" w:themeColor="text1"/>
      <w:spacing w:val="4"/>
      <w:sz w:val="18"/>
      <w:lang w:val="en-US"/>
    </w:rPr>
  </w:style>
  <w:style w:type="paragraph" w:customStyle="1" w:styleId="KRUKSA-rdtytu">
    <w:name w:val="KRUK_SA - Śródtytuł"/>
    <w:basedOn w:val="BIK-Trepisma-odstp"/>
    <w:next w:val="BIK-Trepisma-odstp"/>
    <w:autoRedefine/>
    <w:rsid w:val="007A002C"/>
    <w:rPr>
      <w:b/>
      <w:color w:val="000000" w:themeColor="text1"/>
    </w:rPr>
  </w:style>
  <w:style w:type="paragraph" w:customStyle="1" w:styleId="BIK-ImiiNazwisko">
    <w:name w:val="BIK  - Imię i Nazwisko"/>
    <w:basedOn w:val="BIK-Trepisma-odstp"/>
    <w:autoRedefine/>
    <w:qFormat/>
    <w:rsid w:val="00F21E8C"/>
    <w:pPr>
      <w:spacing w:after="0"/>
    </w:pPr>
    <w:rPr>
      <w:b/>
    </w:rPr>
  </w:style>
  <w:style w:type="character" w:customStyle="1" w:styleId="TekstpodstawowyZnak1">
    <w:name w:val="Tekst podstawowy Znak1"/>
    <w:aliases w:val="SniezkaGr Tekst podstawowy Znak1"/>
    <w:basedOn w:val="Domylnaczcionkaakapitu"/>
    <w:uiPriority w:val="99"/>
    <w:semiHidden/>
    <w:rsid w:val="00E86BFC"/>
    <w:rPr>
      <w:color w:val="000000" w:themeColor="text1"/>
      <w:spacing w:val="4"/>
      <w:sz w:val="18"/>
      <w:lang w:val="en-US"/>
    </w:rPr>
  </w:style>
  <w:style w:type="paragraph" w:customStyle="1" w:styleId="BIK-Trepisma-odstp">
    <w:name w:val="BIK - Treść pisma - odstęp"/>
    <w:basedOn w:val="Normalny"/>
    <w:autoRedefine/>
    <w:qFormat/>
    <w:rsid w:val="00372135"/>
    <w:pPr>
      <w:spacing w:after="300"/>
    </w:pPr>
    <w:rPr>
      <w:color w:val="161616" w:themeColor="text2"/>
    </w:rPr>
  </w:style>
  <w:style w:type="paragraph" w:customStyle="1" w:styleId="BIK-Stopka">
    <w:name w:val="BIK - Stopka"/>
    <w:basedOn w:val="BIK-Trepisma-odstp"/>
    <w:autoRedefine/>
    <w:qFormat/>
    <w:rsid w:val="00BB3391"/>
    <w:pPr>
      <w:widowControl w:val="0"/>
      <w:spacing w:after="0" w:line="220" w:lineRule="exact"/>
      <w:contextualSpacing/>
    </w:pPr>
    <w:rPr>
      <w:noProof/>
      <w:color w:val="9E9E9E"/>
      <w:sz w:val="16"/>
    </w:rPr>
  </w:style>
  <w:style w:type="paragraph" w:customStyle="1" w:styleId="BIK-Adresat">
    <w:name w:val="BIK - Adresat"/>
    <w:basedOn w:val="BIK-Miasto-data"/>
    <w:autoRedefine/>
    <w:qFormat/>
    <w:rsid w:val="005468AD"/>
    <w:pPr>
      <w:spacing w:after="0"/>
    </w:pPr>
    <w:rPr>
      <w:b/>
    </w:rPr>
  </w:style>
  <w:style w:type="character" w:styleId="Pogrubienie">
    <w:name w:val="Strong"/>
    <w:basedOn w:val="Domylnaczcionkaakapitu"/>
    <w:uiPriority w:val="22"/>
    <w:qFormat/>
    <w:rsid w:val="00BB3391"/>
    <w:rPr>
      <w:b/>
      <w:bCs/>
      <w:noProof w:val="0"/>
      <w:lang w:val="pl-PL"/>
    </w:rPr>
  </w:style>
  <w:style w:type="paragraph" w:customStyle="1" w:styleId="BIK-Adresat-Adres">
    <w:name w:val="BIK - Adresat - Adres"/>
    <w:basedOn w:val="BIK-Adresat"/>
    <w:autoRedefine/>
    <w:qFormat/>
    <w:rsid w:val="00BB3391"/>
    <w:rPr>
      <w:b w:val="0"/>
    </w:rPr>
  </w:style>
  <w:style w:type="paragraph" w:customStyle="1" w:styleId="BIK-Stanowisko">
    <w:name w:val="BIK - Stanowisko"/>
    <w:basedOn w:val="BIK-Trepisma-odstp"/>
    <w:autoRedefine/>
    <w:qFormat/>
    <w:rsid w:val="00BB3391"/>
    <w:pPr>
      <w:spacing w:after="0"/>
    </w:pPr>
  </w:style>
  <w:style w:type="paragraph" w:customStyle="1" w:styleId="BIK-Pagina">
    <w:name w:val="BIK - Pagina"/>
    <w:basedOn w:val="BIK-Trepisma-odstp"/>
    <w:autoRedefine/>
    <w:qFormat/>
    <w:rsid w:val="00BB3391"/>
    <w:pPr>
      <w:widowControl w:val="0"/>
      <w:spacing w:after="0"/>
      <w:jc w:val="right"/>
    </w:pPr>
  </w:style>
  <w:style w:type="paragraph" w:styleId="Stopka">
    <w:name w:val="footer"/>
    <w:basedOn w:val="Normalny"/>
    <w:link w:val="StopkaZnak"/>
    <w:uiPriority w:val="99"/>
    <w:unhideWhenUsed/>
    <w:rsid w:val="00C15FB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5FB1"/>
    <w:rPr>
      <w:color w:val="161616"/>
      <w:sz w:val="20"/>
    </w:rPr>
  </w:style>
  <w:style w:type="paragraph" w:customStyle="1" w:styleId="BIKNagwek1">
    <w:name w:val="BIK Nagłówek 1"/>
    <w:basedOn w:val="Nagwek1"/>
    <w:rsid w:val="00F85535"/>
    <w:pPr>
      <w:keepNext w:val="0"/>
      <w:keepLines w:val="0"/>
      <w:spacing w:before="0" w:line="240" w:lineRule="auto"/>
    </w:pPr>
    <w:rPr>
      <w:rFonts w:ascii="Times New Roman" w:eastAsia="Times New Roman" w:hAnsi="Times New Roman" w:cs="Times New Roman"/>
      <w:b/>
      <w:i/>
      <w:sz w:val="36"/>
      <w:szCs w:val="36"/>
      <w:lang w:eastAsia="pl-PL"/>
    </w:rPr>
  </w:style>
  <w:style w:type="character" w:customStyle="1" w:styleId="Nagwekwiadomoci-etykieta">
    <w:name w:val="Nagłówek wiadomości - etykieta"/>
    <w:rsid w:val="00A350A7"/>
    <w:rPr>
      <w:rFonts w:ascii="Arial" w:hAnsi="Arial"/>
      <w:b/>
      <w:spacing w:val="-4"/>
      <w:sz w:val="18"/>
      <w:vertAlign w:val="baseline"/>
    </w:rPr>
  </w:style>
  <w:style w:type="paragraph" w:customStyle="1" w:styleId="StylBIKsubowagwka">
    <w:name w:val="Styl BIK służbowa główka"/>
    <w:basedOn w:val="Normalny"/>
    <w:link w:val="StylBIKsubowagwkaZnak"/>
    <w:rsid w:val="00A350A7"/>
    <w:pPr>
      <w:keepLines/>
      <w:spacing w:line="415" w:lineRule="atLeast"/>
    </w:pPr>
    <w:rPr>
      <w:rFonts w:eastAsia="Times New Roman" w:cs="Times New Roman"/>
      <w:b/>
      <w:bCs/>
      <w:color w:val="auto"/>
      <w:spacing w:val="-5"/>
      <w:sz w:val="24"/>
      <w:szCs w:val="20"/>
    </w:rPr>
  </w:style>
  <w:style w:type="paragraph" w:customStyle="1" w:styleId="StylStBIKsubowagwka">
    <w:name w:val="Styl StBIK służbowa główka"/>
    <w:basedOn w:val="StylBIKsubowagwka"/>
    <w:link w:val="StylStBIKsubowagwkaZnak"/>
    <w:rsid w:val="00A350A7"/>
    <w:rPr>
      <w:bCs w:val="0"/>
    </w:rPr>
  </w:style>
  <w:style w:type="character" w:customStyle="1" w:styleId="StylBIKsubowagwkaZnak">
    <w:name w:val="Styl BIK służbowa główka Znak"/>
    <w:basedOn w:val="Domylnaczcionkaakapitu"/>
    <w:link w:val="StylBIKsubowagwka"/>
    <w:rsid w:val="00A350A7"/>
    <w:rPr>
      <w:rFonts w:eastAsia="Times New Roman" w:cs="Times New Roman"/>
      <w:b/>
      <w:bCs/>
      <w:spacing w:val="-5"/>
      <w:sz w:val="24"/>
      <w:szCs w:val="20"/>
    </w:rPr>
  </w:style>
  <w:style w:type="character" w:customStyle="1" w:styleId="StylStBIKsubowagwkaZnak">
    <w:name w:val="Styl StBIK służbowa główka Znak"/>
    <w:basedOn w:val="StylBIKsubowagwkaZnak"/>
    <w:link w:val="StylStBIKsubowagwka"/>
    <w:rsid w:val="00A350A7"/>
    <w:rPr>
      <w:rFonts w:eastAsia="Times New Roman" w:cs="Times New Roman"/>
      <w:b/>
      <w:bCs w:val="0"/>
      <w:spacing w:val="-5"/>
      <w:sz w:val="24"/>
      <w:szCs w:val="20"/>
    </w:rPr>
  </w:style>
  <w:style w:type="paragraph" w:styleId="Akapitzlist">
    <w:name w:val="List Paragraph"/>
    <w:basedOn w:val="Normalny"/>
    <w:uiPriority w:val="34"/>
    <w:qFormat/>
    <w:rsid w:val="00A350A7"/>
    <w:pPr>
      <w:spacing w:line="240" w:lineRule="auto"/>
      <w:ind w:left="720"/>
      <w:contextualSpacing/>
    </w:pPr>
    <w:rPr>
      <w:rFonts w:eastAsia="Times New Roman" w:cs="Times New Roman"/>
      <w:color w:val="auto"/>
      <w:sz w:val="23"/>
      <w:szCs w:val="24"/>
      <w:lang w:eastAsia="pl-PL"/>
    </w:rPr>
  </w:style>
  <w:style w:type="character" w:styleId="Hipercze">
    <w:name w:val="Hyperlink"/>
    <w:uiPriority w:val="99"/>
    <w:rsid w:val="002B3FE4"/>
    <w:rPr>
      <w:color w:val="0000FF"/>
      <w:u w:val="single"/>
    </w:rPr>
  </w:style>
  <w:style w:type="paragraph" w:customStyle="1" w:styleId="Default">
    <w:name w:val="Default"/>
    <w:rsid w:val="002B3FE4"/>
    <w:pPr>
      <w:autoSpaceDE w:val="0"/>
      <w:autoSpaceDN w:val="0"/>
      <w:adjustRightInd w:val="0"/>
      <w:spacing w:after="0" w:line="240" w:lineRule="auto"/>
    </w:pPr>
    <w:rPr>
      <w:rFonts w:ascii="HelveticaNeueLT Pro 45 Lt" w:eastAsia="Times New Roman" w:hAnsi="HelveticaNeueLT Pro 45 Lt" w:cs="HelveticaNeueLT Pro 45 Lt"/>
      <w:color w:val="000000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A239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2397"/>
    <w:rPr>
      <w:color w:val="161616"/>
      <w:sz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3BB5"/>
    <w:rPr>
      <w:rFonts w:asciiTheme="majorHAnsi" w:eastAsiaTheme="majorEastAsia" w:hAnsiTheme="majorHAnsi" w:cstheme="majorBidi"/>
      <w:color w:val="0068BF" w:themeColor="accent1" w:themeShade="BF"/>
      <w:sz w:val="26"/>
      <w:szCs w:val="26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63BB5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4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408C"/>
    <w:rPr>
      <w:rFonts w:ascii="Tahoma" w:hAnsi="Tahoma" w:cs="Tahoma"/>
      <w:color w:val="161616"/>
      <w:sz w:val="16"/>
      <w:szCs w:val="16"/>
    </w:rPr>
  </w:style>
  <w:style w:type="paragraph" w:styleId="Poprawka">
    <w:name w:val="Revision"/>
    <w:hidden/>
    <w:uiPriority w:val="99"/>
    <w:semiHidden/>
    <w:rsid w:val="00EA3A41"/>
    <w:pPr>
      <w:spacing w:after="0" w:line="240" w:lineRule="auto"/>
    </w:pPr>
    <w:rPr>
      <w:color w:val="161616"/>
      <w:sz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450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450F2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450F2"/>
    <w:rPr>
      <w:color w:val="161616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450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450F2"/>
    <w:rPr>
      <w:b/>
      <w:bCs/>
      <w:color w:val="161616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6665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238E"/>
    <w:pPr>
      <w:spacing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238E"/>
    <w:rPr>
      <w:color w:val="161616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238E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7A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100">
          <w:marLeft w:val="86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ik.pl/klienci-indywidualni/alerty-bik?utm_source=gazeta.pl&amp;utm_medium=artykul&amp;utm_campaign=alerty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5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bik.pl/moj-bik" TargetMode="External"/><Relationship Id="rId17" Type="http://schemas.openxmlformats.org/officeDocument/2006/relationships/header" Target="header1.xml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hyperlink" Target="mailto:aleksandra.stankiewicz-billewicz@bik.p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ik.pl" TargetMode="External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hyperlink" Target="https://media.bik.pl/analizy-rynkow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a.bik.pl/publikacje/4314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media.bik.pl/analizy-rynkowe" TargetMode="External"/><Relationship Id="rId14" Type="http://schemas.openxmlformats.org/officeDocument/2006/relationships/hyperlink" Target="https://www.bikhub.pl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BIK_SA - kolory - Word">
      <a:dk1>
        <a:srgbClr val="000000"/>
      </a:dk1>
      <a:lt1>
        <a:srgbClr val="FFFFFF"/>
      </a:lt1>
      <a:dk2>
        <a:srgbClr val="161616"/>
      </a:dk2>
      <a:lt2>
        <a:srgbClr val="FFFFFF"/>
      </a:lt2>
      <a:accent1>
        <a:srgbClr val="008CFF"/>
      </a:accent1>
      <a:accent2>
        <a:srgbClr val="0041E1"/>
      </a:accent2>
      <a:accent3>
        <a:srgbClr val="0014AA"/>
      </a:accent3>
      <a:accent4>
        <a:srgbClr val="000A6E"/>
      </a:accent4>
      <a:accent5>
        <a:srgbClr val="5AD7FF"/>
      </a:accent5>
      <a:accent6>
        <a:srgbClr val="C8C8C8"/>
      </a:accent6>
      <a:hlink>
        <a:srgbClr val="0000FF"/>
      </a:hlink>
      <a:folHlink>
        <a:srgbClr val="800080"/>
      </a:folHlink>
    </a:clrScheme>
    <a:fontScheme name="BIK_SA - Fonty - Word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88413b39-65eb-4ae7-a910-008744c3d581" origin="userSelected">
  <element uid="id_classification_nonbusiness" value=""/>
</sis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2EAD20165B6B4CA341510E6D20C81D" ma:contentTypeVersion="0" ma:contentTypeDescription="Utwórz nowy dokument." ma:contentTypeScope="" ma:versionID="cbe4b3cc567653d4085be83a74334d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5827CA-5AD7-4777-ACD6-C5B16CCF16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F45B12-A078-4087-B7F0-A5BDB6E1BE8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98556FEA-4761-4163-89F4-D246A00B9ADC}"/>
</file>

<file path=customXml/itemProps4.xml><?xml version="1.0" encoding="utf-8"?>
<ds:datastoreItem xmlns:ds="http://schemas.openxmlformats.org/officeDocument/2006/customXml" ds:itemID="{C294B588-2D61-4503-BEB0-7768A81BF564}"/>
</file>

<file path=customXml/itemProps5.xml><?xml version="1.0" encoding="utf-8"?>
<ds:datastoreItem xmlns:ds="http://schemas.openxmlformats.org/officeDocument/2006/customXml" ds:itemID="{A3D74F38-1446-4416-9B9C-E8BE311A92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1785</Words>
  <Characters>10711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BIK S.A.</Company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Krzyśpiak Katarzyna</dc:creator>
  <cp:lastModifiedBy>Stankiewicz-Billewicz Aleksandra</cp:lastModifiedBy>
  <cp:revision>2</cp:revision>
  <cp:lastPrinted>2023-01-23T20:14:00Z</cp:lastPrinted>
  <dcterms:created xsi:type="dcterms:W3CDTF">2023-01-25T16:33:00Z</dcterms:created>
  <dcterms:modified xsi:type="dcterms:W3CDTF">2023-01-25T16:33:00Z</dcterms:modified>
  <cp:category>.Informacje Jawne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47a98884-07cc-4311-9b83-7c4c77d0d957</vt:lpwstr>
  </property>
  <property fmtid="{D5CDD505-2E9C-101B-9397-08002B2CF9AE}" pid="3" name="bjSaver">
    <vt:lpwstr>0HCT74yt1GSU3tsbIV9HGFPYHbfLce85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policy="88413b39-65eb-4ae7-a910-008744c3d581"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Jawne</vt:lpwstr>
  </property>
  <property fmtid="{D5CDD505-2E9C-101B-9397-08002B2CF9AE}" pid="7" name="MSIP_Label_1391a466-f120-4668-a5e5-7af4d8a99d82_Enabled">
    <vt:lpwstr>true</vt:lpwstr>
  </property>
  <property fmtid="{D5CDD505-2E9C-101B-9397-08002B2CF9AE}" pid="8" name="MSIP_Label_1391a466-f120-4668-a5e5-7af4d8a99d82_SetDate">
    <vt:lpwstr>2023-01-25T16:01:21Z</vt:lpwstr>
  </property>
  <property fmtid="{D5CDD505-2E9C-101B-9397-08002B2CF9AE}" pid="9" name="MSIP_Label_1391a466-f120-4668-a5e5-7af4d8a99d82_Method">
    <vt:lpwstr>Privileged</vt:lpwstr>
  </property>
  <property fmtid="{D5CDD505-2E9C-101B-9397-08002B2CF9AE}" pid="10" name="MSIP_Label_1391a466-f120-4668-a5e5-7af4d8a99d82_Name">
    <vt:lpwstr>Grupa BIK-Jawne</vt:lpwstr>
  </property>
  <property fmtid="{D5CDD505-2E9C-101B-9397-08002B2CF9AE}" pid="11" name="MSIP_Label_1391a466-f120-4668-a5e5-7af4d8a99d82_SiteId">
    <vt:lpwstr>f2871815-01ea-45c0-a64b-82e189df602c</vt:lpwstr>
  </property>
  <property fmtid="{D5CDD505-2E9C-101B-9397-08002B2CF9AE}" pid="12" name="MSIP_Label_1391a466-f120-4668-a5e5-7af4d8a99d82_ActionId">
    <vt:lpwstr>fe9a6952-187b-410b-9746-0564cac59874</vt:lpwstr>
  </property>
  <property fmtid="{D5CDD505-2E9C-101B-9397-08002B2CF9AE}" pid="13" name="MSIP_Label_1391a466-f120-4668-a5e5-7af4d8a99d82_ContentBits">
    <vt:lpwstr>2</vt:lpwstr>
  </property>
  <property fmtid="{D5CDD505-2E9C-101B-9397-08002B2CF9AE}" pid="14" name="ContentTypeId">
    <vt:lpwstr>0x010100F42EAD20165B6B4CA341510E6D20C81D</vt:lpwstr>
  </property>
</Properties>
</file>