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11</w:t>
        </w:r>
      </w:hyperlink>
    </w:p>
    <w:p>
      <w:pPr>
        <w:pStyle w:val="Ndice1defigura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20</w:t>
        </w:r>
      </w:hyperlink>
    </w:p>
    <w:p>
      <w:pPr>
        <w:pStyle w:val="Ndice1defigura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21</w:t>
        </w:r>
      </w:hyperlink>
    </w:p>
    <w:p>
      <w:pPr>
        <w:pStyle w:val="Ndice1defigura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21</w:t>
        </w:r>
      </w:hyperlink>
    </w:p>
    <w:p>
      <w:pPr>
        <w:pStyle w:val="Ndice1defigura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22</w:t>
        </w:r>
      </w:hyperlink>
    </w:p>
    <w:p>
      <w:pPr>
        <w:pStyle w:val="Ndice1defigura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23</w:t>
        </w:r>
      </w:hyperlink>
    </w:p>
    <w:p>
      <w:pPr>
        <w:pStyle w:val="Ndice1defigura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23</w:t>
        </w:r>
      </w:hyperlink>
    </w:p>
    <w:p>
      <w:pPr>
        <w:pStyle w:val="Ndice1defigura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24</w:t>
        </w:r>
      </w:hyperlink>
    </w:p>
    <w:p>
      <w:pPr>
        <w:pStyle w:val="Ndice1defigura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25</w:t>
        </w:r>
      </w:hyperlink>
    </w:p>
    <w:p>
      <w:pPr>
        <w:pStyle w:val="Ndice1defigura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26</w:t>
        </w:r>
      </w:hyperlink>
    </w:p>
    <w:p>
      <w:pPr>
        <w:pStyle w:val="Ndice1defigura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27</w:t>
        </w:r>
      </w:hyperlink>
    </w:p>
    <w:p>
      <w:pPr>
        <w:pStyle w:val="Ndice1defigura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27</w:t>
        </w:r>
      </w:hyperlink>
    </w:p>
    <w:p>
      <w:pPr>
        <w:pStyle w:val="Ndice1defiguras"/>
        <w:rPr/>
      </w:pPr>
      <w:hyperlink w:anchor="Fig.!18|sequence">
        <w:r>
          <w:rPr>
            <w:rStyle w:val="Vnculodendice"/>
            <w:i/>
            <w:iCs/>
          </w:rPr>
          <w:t xml:space="preserve">Fig. 19 </w:t>
        </w:r>
        <w:r>
          <w:rPr>
            <w:rStyle w:val="Vnculodendice"/>
            <w:i/>
            <w:iCs/>
          </w:rPr>
          <w:t xml:space="preserve">Gráfico </w:t>
        </w:r>
        <w:r>
          <w:rPr>
            <w:rStyle w:val="Vnculodendice"/>
            <w:i/>
            <w:iCs/>
          </w:rPr>
          <w:t>da curva padrão e transformador do tipo 1 registrados no Simuload no intervalo de simulação de 1 hora.</w:t>
        </w:r>
        <w:r>
          <w:rPr>
            <w:rStyle w:val="Vnculodendice"/>
          </w:rPr>
          <w:tab/>
          <w:t>29</w:t>
        </w:r>
      </w:hyperlink>
    </w:p>
    <w:p>
      <w:pPr>
        <w:pStyle w:val="Ndice1defiguras"/>
        <w:rPr/>
      </w:pPr>
      <w:hyperlink w:anchor="Fig.!19|sequence">
        <w:r>
          <w:rPr>
            <w:rStyle w:val="Vnculodendice"/>
            <w:i/>
            <w:iCs/>
          </w:rPr>
          <w:t xml:space="preserve">Fig. 20 </w:t>
        </w:r>
        <w:r>
          <w:rPr>
            <w:rStyle w:val="Vnculodendice"/>
            <w:i/>
            <w:iCs/>
          </w:rPr>
          <w:t xml:space="preserve">Gráfico </w:t>
        </w:r>
        <w:r>
          <w:rPr>
            <w:rStyle w:val="Vnculodendice"/>
            <w:i/>
            <w:iCs/>
          </w:rPr>
          <w:t>da curva padrão e transformador do tipo 1 registrados no Simuload no intervalo de simulação de 30 minutos.</w:t>
        </w:r>
        <w:r>
          <w:rPr>
            <w:rStyle w:val="Vnculodendice"/>
          </w:rPr>
          <w:tab/>
          <w:t>29</w:t>
        </w:r>
      </w:hyperlink>
    </w:p>
    <w:p>
      <w:pPr>
        <w:pStyle w:val="Ndice1defiguras"/>
        <w:rPr/>
      </w:pPr>
      <w:hyperlink w:anchor="Fig.!20|sequence">
        <w:r>
          <w:rPr>
            <w:rStyle w:val="Vnculodendice"/>
            <w:i/>
            <w:iCs/>
          </w:rPr>
          <w:t xml:space="preserve">Fig. 21 </w:t>
        </w:r>
        <w:r>
          <w:rPr>
            <w:rStyle w:val="Vnculodendice"/>
            <w:i/>
            <w:iCs/>
          </w:rPr>
          <w:t xml:space="preserve">Gráfico </w:t>
        </w:r>
        <w:r>
          <w:rPr>
            <w:rStyle w:val="Vnculodendice"/>
            <w:i/>
            <w:iCs/>
          </w:rPr>
          <w:t xml:space="preserve">da curva padrão e transformador do tipo 1 registrados no Simuload no intervalo de simulação de </w:t>
        </w:r>
        <w:r>
          <w:rPr>
            <w:rStyle w:val="Vnculodendice"/>
            <w:i/>
            <w:iCs/>
          </w:rPr>
          <w:t>15 minutos</w:t>
        </w:r>
        <w:r>
          <w:rPr>
            <w:rStyle w:val="Vnculodendice"/>
            <w:i/>
            <w:iCs/>
          </w:rPr>
          <w:t>.</w:t>
        </w:r>
        <w:r>
          <w:rPr>
            <w:rStyle w:val="Vnculodendice"/>
          </w:rPr>
          <w:tab/>
          <w:t>30</w:t>
        </w:r>
      </w:hyperlink>
    </w:p>
    <w:p>
      <w:pPr>
        <w:pStyle w:val="Ndice1defiguras"/>
        <w:rPr/>
      </w:pPr>
      <w:hyperlink w:anchor="Fig.!21|sequence">
        <w:r>
          <w:rPr>
            <w:rStyle w:val="Vnculodendice"/>
            <w:i/>
            <w:iCs/>
          </w:rPr>
          <w:t xml:space="preserve">Fig. 22 </w:t>
        </w:r>
        <w:r>
          <w:rPr>
            <w:rStyle w:val="Vnculodendice"/>
            <w:i/>
            <w:iCs/>
          </w:rPr>
          <w:t xml:space="preserve">Gráfico </w:t>
        </w:r>
        <w:r>
          <w:rPr>
            <w:rStyle w:val="Vnculodendice"/>
            <w:i/>
            <w:iCs/>
          </w:rPr>
          <w:t>da curva padrão e transformador do tipo 1 registrados no Simuload no intervalo de simulação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rPr>
              <w:t>4.3 Mapeamento de dados</w:t>
              <w:tab/>
              <w:t>14</w:t>
            </w:r>
          </w:hyperlink>
        </w:p>
        <w:p>
          <w:pPr>
            <w:pStyle w:val="Sumrio2"/>
            <w:tabs>
              <w:tab w:val="clear" w:pos="720"/>
              <w:tab w:val="right" w:pos="9071" w:leader="dot"/>
            </w:tabs>
            <w:rPr/>
          </w:pPr>
          <w:hyperlink w:anchor="__RefHeading___Toc558_3461207297">
            <w:r>
              <w:rPr>
                <w:webHidden/>
                <w:rStyle w:val="Vnculodendice"/>
              </w:rPr>
              <w:t>4.4 Algoritmo de aleatoriedade</w:t>
              <w:tab/>
              <w:t>15</w:t>
            </w:r>
          </w:hyperlink>
        </w:p>
        <w:p>
          <w:pPr>
            <w:pStyle w:val="Sumrio2"/>
            <w:tabs>
              <w:tab w:val="clear" w:pos="720"/>
              <w:tab w:val="right" w:pos="9071" w:leader="dot"/>
            </w:tabs>
            <w:rPr/>
          </w:pPr>
          <w:hyperlink w:anchor="__RefHeading___Toc3979_2898883715">
            <w:r>
              <w:rPr>
                <w:webHidden/>
                <w:rStyle w:val="Vnculodendice"/>
              </w:rPr>
              <w:t>4.5 Versionamento de código</w:t>
              <w:tab/>
              <w:t>17</w:t>
            </w:r>
          </w:hyperlink>
        </w:p>
        <w:p>
          <w:pPr>
            <w:pStyle w:val="Sumrio1"/>
            <w:tabs>
              <w:tab w:val="clear" w:pos="720"/>
              <w:tab w:val="right" w:pos="9071" w:leader="dot"/>
            </w:tabs>
            <w:rPr/>
          </w:pPr>
          <w:hyperlink w:anchor="__RefHeading___Toc809_3772085703">
            <w:r>
              <w:rPr>
                <w:webHidden/>
                <w:rStyle w:val="Vnculodendice"/>
              </w:rPr>
              <w:t>Capítulo 5: Estudo de Caso</w:t>
              <w:tab/>
              <w:t>19</w:t>
            </w:r>
          </w:hyperlink>
        </w:p>
        <w:p>
          <w:pPr>
            <w:pStyle w:val="Sumrio2"/>
            <w:tabs>
              <w:tab w:val="clear" w:pos="720"/>
              <w:tab w:val="right" w:pos="9071" w:leader="dot"/>
            </w:tabs>
            <w:rPr/>
          </w:pPr>
          <w:hyperlink w:anchor="__RefHeading___Toc811_3772085703">
            <w:r>
              <w:rPr>
                <w:webHidden/>
                <w:rStyle w:val="Vnculodendice"/>
              </w:rPr>
              <w:t>5.1 Simulando com outros softwares</w:t>
              <w:tab/>
              <w:t>19</w:t>
            </w:r>
          </w:hyperlink>
        </w:p>
        <w:p>
          <w:pPr>
            <w:pStyle w:val="Sumrio2"/>
            <w:tabs>
              <w:tab w:val="clear" w:pos="720"/>
              <w:tab w:val="right" w:pos="9071" w:leader="dot"/>
            </w:tabs>
            <w:rPr/>
          </w:pPr>
          <w:hyperlink w:anchor="__RefHeading___Toc560_3461207297">
            <w:r>
              <w:rPr>
                <w:webHidden/>
                <w:rStyle w:val="Vnculodendice"/>
              </w:rPr>
              <w:t>5.2 Aplicação do Simuload</w:t>
              <w:tab/>
              <w:t>22</w:t>
            </w:r>
          </w:hyperlink>
        </w:p>
        <w:p>
          <w:pPr>
            <w:pStyle w:val="Sumrio2"/>
            <w:tabs>
              <w:tab w:val="clear" w:pos="720"/>
              <w:tab w:val="right" w:pos="9071" w:leader="dot"/>
            </w:tabs>
            <w:rPr/>
          </w:pPr>
          <w:hyperlink w:anchor="__RefHeading___Toc562_3461207297">
            <w:r>
              <w:rPr>
                <w:webHidden/>
                <w:rStyle w:val="Vnculodendice"/>
              </w:rPr>
              <w:t>5.3 Resultados e comparações</w:t>
              <w:tab/>
              <w:t>31</w:t>
            </w:r>
          </w:hyperlink>
        </w:p>
        <w:p>
          <w:pPr>
            <w:pStyle w:val="Sumrio1"/>
            <w:tabs>
              <w:tab w:val="clear" w:pos="720"/>
              <w:tab w:val="right" w:pos="9071" w:leader="dot"/>
            </w:tabs>
            <w:rPr/>
          </w:pPr>
          <w:hyperlink w:anchor="__RefHeading___Toc815_3772085703">
            <w:r>
              <w:rPr>
                <w:webHidden/>
                <w:rStyle w:val="Vnculodendice"/>
              </w:rPr>
              <w:t>Capítulo 6: Conclusão</w:t>
              <w:tab/>
              <w:t>33</w:t>
            </w:r>
          </w:hyperlink>
        </w:p>
        <w:p>
          <w:pPr>
            <w:pStyle w:val="Sumrio2"/>
            <w:tabs>
              <w:tab w:val="clear" w:pos="720"/>
              <w:tab w:val="right" w:pos="9071" w:leader="dot"/>
            </w:tabs>
            <w:rPr/>
          </w:pPr>
          <w:hyperlink w:anchor="__RefHeading___Toc817_3772085703">
            <w:r>
              <w:rPr>
                <w:webHidden/>
                <w:rStyle w:val="Vnculodendice"/>
              </w:rPr>
              <w:t>6.1 Objetivos e metodologia</w:t>
              <w:tab/>
              <w:t>33</w:t>
            </w:r>
          </w:hyperlink>
        </w:p>
        <w:p>
          <w:pPr>
            <w:pStyle w:val="Sumrio2"/>
            <w:tabs>
              <w:tab w:val="clear" w:pos="720"/>
              <w:tab w:val="right" w:pos="9071" w:leader="dot"/>
            </w:tabs>
            <w:rPr/>
          </w:pPr>
          <w:hyperlink w:anchor="__RefHeading___Toc817_37720857031">
            <w:r>
              <w:rPr>
                <w:webHidden/>
                <w:rStyle w:val="Vnculodendice"/>
              </w:rPr>
              <w:t>6.2 Considerações finais</w:t>
              <w:tab/>
              <w:t>34</w:t>
            </w:r>
          </w:hyperlink>
        </w:p>
        <w:p>
          <w:pPr>
            <w:pStyle w:val="Sumrio1"/>
            <w:tabs>
              <w:tab w:val="clear" w:pos="720"/>
              <w:tab w:val="right" w:pos="9071" w:leader="dot"/>
            </w:tabs>
            <w:rPr/>
          </w:pPr>
          <w:hyperlink w:anchor="__RefHeading___Toc821_3772085703">
            <w:r>
              <w:rPr>
                <w:webHidden/>
                <w:rStyle w:val="Vnculodendice"/>
              </w:rPr>
              <w:t>Referências</w:t>
              <w:tab/>
              <w:t>36</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37</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39</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40</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 xml:space="preserve">Nesta seção, são apresentadas as especificações técnicas do software Simuload, </w:t>
      </w:r>
      <w:r>
        <w:rPr>
          <w:lang w:val="pt-BR"/>
        </w:rPr>
        <w:t>desenvolvido em Python (PYTHON SOFTWARE FOUNDATION, 2001),</w:t>
      </w:r>
      <w:r>
        <w:rPr>
          <w:lang w:val="pt-BR"/>
        </w:rPr>
        <w:t xml:space="preserve">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Já a entidade Carga representa um estabelecimento consumidor em Watts,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w:t>
      </w:r>
      <w:r>
        <w:rPr>
          <w:rFonts w:eastAsia="Times New Roman" w:cs="Times New Roman"/>
          <w:i w:val="false"/>
          <w:iCs w:val="false"/>
          <w:color w:val="auto"/>
          <w:kern w:val="0"/>
          <w:sz w:val="24"/>
          <w:szCs w:val="20"/>
          <w:lang w:val="pt-BR" w:eastAsia="ar-SA" w:bidi="ar-SA"/>
        </w:rPr>
        <w:t>23</w:t>
      </w:r>
      <w:r>
        <w:rPr>
          <w:rFonts w:eastAsia="Times New Roman" w:cs="Times New Roman"/>
          <w:i w:val="false"/>
          <w:iCs w:val="false"/>
          <w:color w:val="auto"/>
          <w:kern w:val="0"/>
          <w:sz w:val="24"/>
          <w:szCs w:val="20"/>
          <w:lang w:val="pt-BR" w:eastAsia="ar-SA" w:bidi="ar-SA"/>
        </w:rPr>
        <w:t>)</w:t>
      </w:r>
      <w:r>
        <w:rPr>
          <w:i w:val="false"/>
          <w:iCs w:val="false"/>
          <w:lang w:val="pt-BR" w:eastAsia="ar-SA"/>
        </w:rPr>
        <w:t xml:space="preserve"> </w:t>
      </w:r>
      <w:r>
        <w:rPr>
          <w:lang w:val="pt-BR" w:eastAsia="ar-SA"/>
        </w:rPr>
        <w:t xml:space="preserve">abaixo, desenhado através da ferramenta Miro </w:t>
      </w:r>
      <w:r>
        <w:rPr>
          <w:lang w:val="pt-BR" w:eastAsia="ar-SA"/>
        </w:rPr>
        <w:t>(MIRO, 2023)</w:t>
      </w:r>
      <w:r>
        <w:rPr>
          <w:lang w:val="pt-BR" w:eastAsia="ar-SA"/>
        </w:rPr>
        <w:t>.</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w:t>
      </w:r>
      <w:r>
        <w:rPr>
          <w:lang w:val="pt-BR" w:eastAsia="ar-SA"/>
        </w:rPr>
        <w:t>VSCode –</w:t>
      </w:r>
      <w:r>
        <w:rPr>
          <w:lang w:val="pt-BR" w:eastAsia="ar-SA"/>
        </w:rPr>
        <w:t xml:space="preserve">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w:t>
      </w:r>
      <w:r>
        <w:rPr>
          <w:lang w:val="pt-BR" w:eastAsia="ar-SA"/>
        </w:rPr>
        <w:t>(RIVERBANK COMPUTING LIMITED, 2023)</w:t>
      </w:r>
      <w:r>
        <w:rPr>
          <w:lang w:val="pt-BR" w:eastAsia="ar-SA"/>
        </w:rPr>
        <w:t xml:space="preserve">,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w:t>
      </w:r>
      <w:r>
        <w:rPr>
          <w:lang w:val="pt-BR" w:eastAsia="ar-SA"/>
        </w:rPr>
        <w:t>(THE QT COMPANY, 2023)</w:t>
      </w:r>
      <w:r>
        <w:rPr>
          <w:lang w:val="pt-BR" w:eastAsia="ar-SA"/>
        </w:rPr>
        <w:t xml:space="preserve">,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 xml:space="preserve">Para a simulação de gráficos, foi escolhida a biblioteca Matplotlib </w:t>
      </w:r>
      <w:r>
        <w:rPr>
          <w:lang w:val="pt-BR" w:eastAsia="ar-SA"/>
        </w:rPr>
        <w:t>(THE MATPLOTLIB DEVELOPMENT TEAM, 2012)</w:t>
      </w:r>
      <w:r>
        <w:rPr>
          <w:lang w:val="pt-BR" w:eastAsia="ar-SA"/>
        </w:rPr>
        <w:t>,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w:t>
      </w:r>
      <w:r>
        <w:rPr>
          <w:lang w:val="pt-BR" w:eastAsia="ar-SA"/>
        </w:rPr>
        <w:t>(HWACI – APPLIED SOFTWARE RESEARCH</w:t>
      </w:r>
      <w:r>
        <w:rPr>
          <w:lang w:val="pt-BR" w:eastAsia="ar-SA"/>
        </w:rPr>
        <w:t>,</w:t>
      </w:r>
      <w:r>
        <w:rPr>
          <w:lang w:val="pt-BR" w:eastAsia="ar-SA"/>
        </w:rPr>
        <w:t xml:space="preserve"> 2023)</w:t>
      </w:r>
      <w:r>
        <w:rPr>
          <w:lang w:val="pt-BR" w:eastAsia="ar-SA"/>
        </w:rPr>
        <w:t xml:space="preserv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rPr>
          <w:lang w:val="en-US" w:eastAsia="ar-SA"/>
        </w:rPr>
      </w:pPr>
      <w:r>
        <w:rPr/>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 xml:space="preserve">Para a coleta de dados utilizados na simulação, foram utilizadas informações retiradas da </w:t>
      </w:r>
      <w:r>
        <w:rPr>
          <w:lang w:val="pt-BR" w:eastAsia="ar-SA"/>
        </w:rPr>
        <w:t xml:space="preserve">Pesquisa de Posse e Hábitos de Uso de Equipamentos Elétricos na Classe Residencial 2019 – </w:t>
      </w:r>
      <w:r>
        <w:rPr>
          <w:lang w:val="pt-BR" w:eastAsia="ar-SA"/>
        </w:rPr>
        <w:t xml:space="preserve">PPH 2019 </w:t>
      </w:r>
      <w:r>
        <w:rPr>
          <w:lang w:val="pt-BR" w:eastAsia="ar-SA"/>
        </w:rPr>
        <w:t>(MINISTÉRIO DE MINAS E ENERGIA, 2019)</w:t>
      </w:r>
      <w:r>
        <w:rPr>
          <w:lang w:val="pt-BR" w:eastAsia="ar-SA"/>
        </w:rPr>
        <w:t xml:space="preserve"> do </w:t>
      </w:r>
      <w:r>
        <w:rPr>
          <w:lang w:val="pt-BR" w:eastAsia="ar-SA"/>
        </w:rPr>
        <w:t xml:space="preserve">Programa Nacional de Conservação de Energia Elétrica – </w:t>
      </w:r>
      <w:r>
        <w:rPr>
          <w:lang w:val="pt-BR" w:eastAsia="ar-SA"/>
        </w:rPr>
        <w:t>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 xml:space="preserve">Dentro da metodologia adotada neste </w:t>
      </w:r>
      <w:r>
        <w:rPr>
          <w:lang w:val="pt-BR" w:eastAsia="ar-SA"/>
        </w:rPr>
        <w:t>t</w:t>
      </w:r>
      <w:r>
        <w:rPr>
          <w:lang w:val="pt-BR" w:eastAsia="ar-SA"/>
        </w:rPr>
        <w:t xml:space="preserve">rabalho de </w:t>
      </w:r>
      <w:r>
        <w:rPr>
          <w:lang w:val="pt-BR" w:eastAsia="ar-SA"/>
        </w:rPr>
        <w:t>c</w:t>
      </w:r>
      <w:r>
        <w:rPr>
          <w:lang w:val="pt-BR" w:eastAsia="ar-SA"/>
        </w:rPr>
        <w:t xml:space="preserve">onclusão de </w:t>
      </w:r>
      <w:r>
        <w:rPr>
          <w:lang w:val="pt-BR" w:eastAsia="ar-SA"/>
        </w:rPr>
        <w:t>c</w:t>
      </w:r>
      <w:r>
        <w:rPr>
          <w:lang w:val="pt-BR" w:eastAsia="ar-SA"/>
        </w:rPr>
        <w:t>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w:t>
      </w:r>
      <w:r>
        <w:rPr>
          <w:lang w:val="pt-BR" w:eastAsia="ar-SA"/>
        </w:rPr>
        <w:t>Q</w:t>
      </w:r>
      <w:r>
        <w:rPr>
          <w:lang w:val="pt-BR" w:eastAsia="ar-SA"/>
        </w:rPr>
        <w:t xml:space="preserve">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w:t>
      </w:r>
      <w:r>
        <w:rPr>
          <w:lang w:val="pt-BR" w:eastAsia="ar-SA"/>
        </w:rPr>
        <w:t>(GITHUB, 2023)</w:t>
      </w:r>
      <w:r>
        <w:rPr>
          <w:lang w:val="pt-BR" w:eastAsia="ar-SA"/>
        </w:rPr>
        <w:t xml:space="preserve">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rPr>
          <w:lang w:val="en-US" w:eastAsia="ar-SA"/>
        </w:rPr>
      </w:pPr>
      <w: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26050" cy="2372360"/>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226050" cy="2372360"/>
                    </a:xfrm>
                    <a:prstGeom prst="rect">
                      <a:avLst/>
                    </a:prstGeom>
                  </pic:spPr>
                </pic:pic>
              </a:graphicData>
            </a:graphic>
          </wp:anchor>
        </w:drawing>
      </w:r>
      <w:r>
        <w:rPr>
          <w:lang w:val="pt-BR" w:eastAsia="ar-SA"/>
        </w:rPr>
        <w:tab/>
      </w:r>
    </w:p>
    <w:p>
      <w:pPr>
        <w:pStyle w:val="Normal"/>
        <w:ind w:hanging="0"/>
        <w:rPr>
          <w:lang w:val="en-US" w:eastAsia="ar-SA"/>
        </w:rPr>
      </w:pPr>
      <w:r>
        <w:rPr>
          <w:lang w:val="pt-BR" w:eastAsia="ar-SA"/>
        </w:rPr>
        <w:tab/>
        <w:t xml:space="preserve">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w:t>
      </w:r>
      <w:r>
        <w:rPr>
          <w:lang w:val="pt-BR" w:eastAsia="ar-SA"/>
        </w:rPr>
        <w:t>com o</w:t>
      </w:r>
      <w:r>
        <w:rPr>
          <w:lang w:val="pt-BR" w:eastAsia="ar-SA"/>
        </w:rPr>
        <w:t xml:space="preserve"> código fonte do software disponível para consulta e download, bem como os requisitos do sistema, </w:t>
      </w:r>
      <w:r>
        <w:rPr>
          <w:lang w:val="pt-BR" w:eastAsia="ar-SA"/>
        </w:rPr>
        <w:t>instruções detalhadas de instalação e</w:t>
      </w:r>
      <w:r>
        <w:rPr>
          <w:lang w:val="pt-BR" w:eastAsia="ar-SA"/>
        </w:rPr>
        <w:t xml:space="preserv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w:t>
      </w:r>
      <w:r>
        <w:rPr>
          <w:lang w:val="pt-BR" w:eastAsia="ar-SA"/>
        </w:rPr>
        <w:t>(GOOGLE, 2023)</w:t>
      </w:r>
      <w:r>
        <w:rPr>
          <w:lang w:val="pt-BR" w:eastAsia="ar-SA"/>
        </w:rPr>
        <w:t xml:space="preserve">.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 xml:space="preserve">mapeadas pela PPH 2019 e potência mapeadas pela norma SM04.14-01.001 em seu anexo I </w:t>
      </w:r>
      <w:r>
        <w:rPr>
          <w:lang w:val="pt-BR" w:eastAsia="ar-SA"/>
        </w:rPr>
        <w:t>(NEOENERGIA COELBA, 2014, p. 21)</w:t>
      </w:r>
      <w:r>
        <w:rPr>
          <w:lang w:val="pt-BR" w:eastAsia="ar-SA"/>
        </w:rPr>
        <w:t>,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w:t>
      </w:r>
      <w:r>
        <w:rPr>
          <w:caps w:val="false"/>
          <w:smallCaps w:val="false"/>
          <w:strike w:val="false"/>
          <w:dstrike w:val="false"/>
          <w:color w:val="1F2328"/>
          <w:u w:val="none"/>
          <w:effect w:val="none"/>
          <w:shd w:fill="FFFFFF" w:val="clear"/>
          <w:lang w:val="pt-BR" w:eastAsia="ar-SA"/>
        </w:rPr>
        <w:t>sendo</w:t>
      </w:r>
      <w:r>
        <w:rPr>
          <w:caps w:val="false"/>
          <w:smallCaps w:val="false"/>
          <w:strike w:val="false"/>
          <w:dstrike w:val="false"/>
          <w:color w:val="1F2328"/>
          <w:u w:val="none"/>
          <w:effect w:val="none"/>
          <w:shd w:fill="FFFFFF" w:val="clear"/>
          <w:lang w:val="pt-BR" w:eastAsia="ar-SA"/>
        </w:rPr>
        <w:t xml:space="preserve"> </w:t>
      </w:r>
      <w:r>
        <w:rPr>
          <w:caps w:val="false"/>
          <w:smallCaps w:val="false"/>
          <w:strike w:val="false"/>
          <w:dstrike w:val="false"/>
          <w:color w:val="1F2328"/>
          <w:u w:val="none"/>
          <w:effect w:val="none"/>
          <w:shd w:fill="FFFFFF" w:val="clear"/>
          <w:lang w:val="pt-BR" w:eastAsia="ar-SA"/>
        </w:rPr>
        <w:t>a</w:t>
      </w:r>
      <w:r>
        <w:rPr>
          <w:caps w:val="false"/>
          <w:smallCaps w:val="false"/>
          <w:strike w:val="false"/>
          <w:dstrike w:val="false"/>
          <w:color w:val="1F2328"/>
          <w:u w:val="none"/>
          <w:effect w:val="none"/>
          <w:shd w:fill="FFFFFF" w:val="clear"/>
          <w:lang w:val="pt-BR" w:eastAsia="ar-SA"/>
        </w:rPr>
        <w:t xml:space="preserve">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w:t>
      </w:r>
      <w:r>
        <w:rPr>
          <w:caps w:val="false"/>
          <w:smallCaps w:val="false"/>
          <w:strike w:val="false"/>
          <w:dstrike w:val="false"/>
          <w:color w:val="1F2328"/>
          <w:u w:val="none"/>
          <w:effect w:val="none"/>
          <w:shd w:fill="FFFFFF" w:val="clear"/>
          <w:lang w:val="pt-BR" w:eastAsia="ar-SA"/>
        </w:rPr>
        <w:t xml:space="preserve">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rPr>
          <w:lang w:val="en-US" w:eastAsia="ar-SA"/>
        </w:rPr>
      </w:pPr>
      <w:r>
        <w:rPr/>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w:t>
      </w:r>
      <w:r>
        <w:rPr>
          <w:rFonts w:eastAsia="Times New Roman" w:cs="Times New Roman"/>
          <w:color w:val="auto"/>
          <w:kern w:val="0"/>
          <w:sz w:val="24"/>
          <w:szCs w:val="20"/>
          <w:lang w:val="pt-BR" w:eastAsia="ar-SA" w:bidi="ar-SA"/>
        </w:rPr>
        <w:t>o campo</w:t>
      </w:r>
      <w:r>
        <w:rPr>
          <w:rFonts w:eastAsia="Times New Roman" w:cs="Times New Roman"/>
          <w:color w:val="auto"/>
          <w:kern w:val="0"/>
          <w:sz w:val="24"/>
          <w:szCs w:val="20"/>
          <w:lang w:val="pt-BR" w:eastAsia="ar-SA" w:bidi="ar-SA"/>
        </w:rPr>
        <w:t xml:space="preserve">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w:t>
      </w:r>
      <w:r>
        <w:rPr>
          <w:lang w:val="pt-BR" w:eastAsia="ar-SA"/>
        </w:rPr>
        <w:t>e</w:t>
      </w:r>
      <w:r>
        <w:rPr>
          <w:lang w:val="pt-BR" w:eastAsia="ar-SA"/>
        </w:rPr>
        <w:t xml:space="preserve">xportar </w:t>
      </w:r>
      <w:r>
        <w:rPr>
          <w:lang w:val="pt-BR" w:eastAsia="ar-SA"/>
        </w:rPr>
        <w:t>c</w:t>
      </w:r>
      <w:r>
        <w:rPr>
          <w:lang w:val="pt-BR" w:eastAsia="ar-SA"/>
        </w:rPr>
        <w:t xml:space="preserve">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
      <w:bookmarkEnd w:id="53"/>
      <w:r>
        <w:rPr>
          <w:rFonts w:eastAsia="" w:cs="" w:cstheme="majorBidi" w:eastAsiaTheme="majorEastAsia"/>
          <w:b/>
          <w:color w:val="auto"/>
          <w:kern w:val="0"/>
          <w:sz w:val="28"/>
          <w:szCs w:val="26"/>
          <w:lang w:val="pt-BR" w:eastAsia="pt-BR" w:bidi="ar-SA"/>
        </w:rPr>
        <w:t>Objetivos e metodologia</w:t>
      </w:r>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2"/>
        <w:numPr>
          <w:ilvl w:val="1"/>
          <w:numId w:val="2"/>
        </w:numPr>
        <w:rPr>
          <w:b/>
          <w:b/>
          <w:bCs/>
          <w:sz w:val="36"/>
          <w:szCs w:val="36"/>
        </w:rPr>
      </w:pPr>
      <w:bookmarkStart w:id="54" w:name="__RefHeading___Toc817_37720857031"/>
      <w:bookmarkEnd w:id="54"/>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p>
    <w:p>
      <w:pPr>
        <w:pStyle w:val="Normal"/>
        <w:spacing w:lineRule="auto" w:line="259" w:before="0" w:after="160"/>
        <w:ind w:hanging="0"/>
        <w:jc w:val="left"/>
        <w:rPr>
          <w:lang w:val="en-US" w:eastAsia="ar-SA"/>
        </w:rPr>
      </w:pPr>
      <w:r>
        <w:rPr>
          <w:lang w:val="en-US"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5" w:name="__RefHeading___Toc821_3772085703"/>
      <w:bookmarkStart w:id="56" w:name="_Toc65702351"/>
      <w:bookmarkEnd w:id="55"/>
      <w:r>
        <w:rPr>
          <w:rFonts w:cs="Calibri" w:ascii="Calibri" w:hAnsi="Calibri" w:asciiTheme="minorHAnsi" w:cstheme="minorHAnsi" w:hAnsiTheme="minorHAnsi"/>
          <w:sz w:val="36"/>
          <w:szCs w:val="36"/>
          <w:lang w:val="pt-BR" w:eastAsia="ar-SA"/>
        </w:rPr>
        <w:t>Referências</w:t>
      </w:r>
      <w:bookmarkEnd w:id="56"/>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7" w:name="__RefHeading___Toc3981_2898883715"/>
      <w:bookmarkStart w:id="58" w:name="_Toc65702352"/>
      <w:bookmarkEnd w:id="57"/>
      <w:r>
        <w:rPr>
          <w:lang w:val="pt-BR" w:eastAsia="ar-SA"/>
        </w:rPr>
        <w:t xml:space="preserve">Apêndice A – </w:t>
      </w:r>
      <w:bookmarkEnd w:id="58"/>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9" w:name="__RefHeading___Toc1137_2898883715"/>
      <w:bookmarkStart w:id="60" w:name="_Toc657023527"/>
      <w:bookmarkEnd w:id="59"/>
      <w:r>
        <w:rPr>
          <w:lang w:val="pt-BR" w:eastAsia="ar-SA"/>
        </w:rPr>
        <w:t xml:space="preserve">Apêndice B – </w:t>
      </w:r>
      <w:bookmarkEnd w:id="60"/>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1" w:name="__RefHeading___Toc1139_2898883715"/>
      <w:bookmarkStart w:id="62" w:name="_Toc657023522"/>
      <w:bookmarkEnd w:id="61"/>
      <w:r>
        <w:rPr>
          <w:b/>
          <w:color w:val="auto"/>
          <w:kern w:val="0"/>
          <w:sz w:val="44"/>
          <w:szCs w:val="32"/>
          <w:lang w:val="pt-BR" w:eastAsia="ar-SA" w:bidi="ar-SA"/>
        </w:rPr>
        <w:t xml:space="preserve">Apêndice C – </w:t>
      </w:r>
      <w:bookmarkEnd w:id="62"/>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99728140"/>
    </w:sdtPr>
    <w:sdtContent>
      <w:p>
        <w:pPr>
          <w:pStyle w:val="Rodap"/>
          <w:jc w:val="right"/>
          <w:rPr>
            <w:lang w:val="pt-BR"/>
          </w:rPr>
        </w:pPr>
        <w:r>
          <w:rPr/>
          <w:fldChar w:fldCharType="begin"/>
        </w:r>
        <w:r>
          <w:rPr/>
          <w:instrText> PAGE </w:instrText>
        </w:r>
        <w:r>
          <w:rPr/>
          <w:fldChar w:fldCharType="separate"/>
        </w:r>
        <w:r>
          <w:rPr/>
          <w:t>2</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66973342"/>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Application>LibreOffice/7.1.0.3$Windows_X86_64 LibreOffice_project/f6099ecf3d29644b5008cc8f48f42f4a40986e4c</Application>
  <AppVersion>15.0000</AppVersion>
  <Pages>64</Pages>
  <Words>9347</Words>
  <Characters>51616</Characters>
  <CharactersWithSpaces>61467</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2023-07-08T17:51:49Z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