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lang w:val="pt-BR"/>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lang w:val="pt-BR"/>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lang w:val="pt-BR"/>
        </w:rPr>
      </w:r>
    </w:p>
    <w:p>
      <w:pPr>
        <w:pStyle w:val="Cabealho"/>
        <w:numPr>
          <w:ilvl w:val="0"/>
          <w:numId w:val="33"/>
        </w:numPr>
        <w:tabs>
          <w:tab w:val="clear" w:pos="4419"/>
          <w:tab w:val="clear" w:pos="8838"/>
        </w:tabs>
        <w:jc w:val="center"/>
        <w:rPr>
          <w:b/>
          <w:b/>
          <w:bCs/>
          <w:sz w:val="36"/>
          <w:szCs w:val="36"/>
        </w:rPr>
      </w:pPr>
      <w:r>
        <w:rPr>
          <w:b/>
          <w:bCs/>
          <w:sz w:val="36"/>
          <w:szCs w:val="36"/>
          <w:lang w:val="pt-BR"/>
        </w:rPr>
      </w:r>
    </w:p>
    <w:p>
      <w:pPr>
        <w:pStyle w:val="Cabealho"/>
        <w:numPr>
          <w:ilvl w:val="0"/>
          <w:numId w:val="34"/>
        </w:numPr>
        <w:tabs>
          <w:tab w:val="clear" w:pos="4419"/>
          <w:tab w:val="clear" w:pos="8838"/>
        </w:tabs>
        <w:jc w:val="center"/>
        <w:rPr>
          <w:b/>
          <w:b/>
          <w:bCs/>
          <w:sz w:val="36"/>
          <w:szCs w:val="36"/>
        </w:rPr>
      </w:pPr>
      <w:r>
        <w:rPr>
          <w:b/>
          <w:bCs/>
          <w:sz w:val="36"/>
          <w:szCs w:val="36"/>
          <w:lang w:val="pt-BR"/>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lang w:val="pt-BR"/>
        </w:rPr>
      </w:r>
    </w:p>
    <w:p>
      <w:pPr>
        <w:pStyle w:val="Cabealho"/>
        <w:tabs>
          <w:tab w:val="clear" w:pos="4419"/>
          <w:tab w:val="clear" w:pos="8838"/>
        </w:tabs>
        <w:jc w:val="center"/>
        <w:rPr>
          <w:b/>
          <w:b/>
          <w:sz w:val="36"/>
          <w:szCs w:val="36"/>
        </w:rPr>
      </w:pPr>
      <w:r>
        <w:rPr>
          <w:b/>
          <w:sz w:val="36"/>
          <w:szCs w:val="36"/>
          <w:lang w:val="pt-BR"/>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w:t>
      </w:r>
      <w:r>
        <w:rPr>
          <w:rFonts w:eastAsia="Times New Roman" w:cs="Times New Roman"/>
          <w:b/>
          <w:bCs/>
          <w:sz w:val="28"/>
          <w:szCs w:val="28"/>
          <w:lang w:val="pt-BR" w:eastAsia="ar-SA"/>
        </w:rPr>
        <w:t>l</w:t>
      </w:r>
      <w:r>
        <w:rPr>
          <w:rFonts w:eastAsia="Times New Roman" w:cs="Times New Roman"/>
          <w:b/>
          <w:bCs/>
          <w:sz w:val="28"/>
          <w:szCs w:val="28"/>
          <w:lang w:val="pt-BR" w:eastAsia="ar-SA"/>
        </w:rPr>
        <w:t>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1</w:t>
      </w:r>
      <w:r>
        <w:rPr>
          <w:rFonts w:eastAsia="Times New Roman" w:cs="Times New Roman"/>
          <w:sz w:val="24"/>
          <w:szCs w:val="24"/>
          <w:lang w:val="pt-BR" w:eastAsia="ar-SA"/>
        </w:rPr>
        <w:t>4</w:t>
      </w:r>
      <w:r>
        <w:rPr>
          <w:rFonts w:eastAsia="Times New Roman" w:cs="Times New Roman"/>
          <w:sz w:val="24"/>
          <w:szCs w:val="24"/>
          <w:lang w:val="pt-BR" w:eastAsia="ar-SA"/>
        </w:rPr>
        <w:t xml:space="preserve">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1</w:t>
      </w:r>
      <w:r>
        <w:rPr>
          <w:b/>
          <w:bCs/>
          <w:sz w:val="28"/>
          <w:szCs w:val="28"/>
          <w:lang w:val="pt-BR"/>
        </w:rPr>
        <w:t>4</w:t>
      </w:r>
      <w:r>
        <w:rPr>
          <w:b/>
          <w:bCs/>
          <w:sz w:val="28"/>
          <w:szCs w:val="28"/>
          <w:lang w:val="pt-BR"/>
        </w:rPr>
        <w:t xml:space="preserve">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lang w:val="pt-BR"/>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val="pt-BR" w:eastAsia="ar-SA"/>
        </w:rPr>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lang w:val="pt-BR"/>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pt-BR"/>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val="pt-BR"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10</w:t>
        </w:r>
      </w:hyperlink>
    </w:p>
    <w:p>
      <w:pPr>
        <w:pStyle w:val="Ndice1defigura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rPr/>
      </w:pPr>
      <w:hyperlink w:anchor="Fig.!5|sequence">
        <w:r>
          <w:rPr>
            <w:rStyle w:val="Vnculodendice"/>
            <w:i/>
            <w:iCs/>
          </w:rPr>
          <w:t>Fig. 6 Dashboard de dados de consumo de lâmpadas n</w:t>
        </w:r>
        <w:r>
          <w:rPr>
            <w:rStyle w:val="Vnculodendice"/>
            <w:i/>
            <w:iCs/>
          </w:rPr>
          <w:t>a</w:t>
        </w:r>
        <w:r>
          <w:rPr>
            <w:rStyle w:val="Vnculodendice"/>
            <w:i/>
            <w:iCs/>
          </w:rPr>
          <w:t xml:space="preserve"> PPH 2019 para a região Nordeste.</w:t>
        </w:r>
        <w:r>
          <w:rPr>
            <w:rStyle w:val="Vnculodendice"/>
          </w:rPr>
          <w:tab/>
          <w:t>14</w:t>
        </w:r>
      </w:hyperlink>
    </w:p>
    <w:p>
      <w:pPr>
        <w:pStyle w:val="Ndice1defigura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19</w:t>
        </w:r>
      </w:hyperlink>
    </w:p>
    <w:p>
      <w:pPr>
        <w:pStyle w:val="Ndice1defigura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20</w:t>
        </w:r>
      </w:hyperlink>
    </w:p>
    <w:p>
      <w:pPr>
        <w:pStyle w:val="Ndice1defigura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20</w:t>
        </w:r>
      </w:hyperlink>
    </w:p>
    <w:p>
      <w:pPr>
        <w:pStyle w:val="Ndice1defigura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21</w:t>
        </w:r>
      </w:hyperlink>
    </w:p>
    <w:p>
      <w:pPr>
        <w:pStyle w:val="Ndice1defigura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22</w:t>
        </w:r>
      </w:hyperlink>
    </w:p>
    <w:p>
      <w:pPr>
        <w:pStyle w:val="Ndice1defigura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22</w:t>
        </w:r>
      </w:hyperlink>
    </w:p>
    <w:p>
      <w:pPr>
        <w:pStyle w:val="Ndice1defigura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23</w:t>
        </w:r>
      </w:hyperlink>
    </w:p>
    <w:p>
      <w:pPr>
        <w:pStyle w:val="Ndice1defigura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24</w:t>
        </w:r>
      </w:hyperlink>
    </w:p>
    <w:p>
      <w:pPr>
        <w:pStyle w:val="Ndice1defigura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25</w:t>
        </w:r>
      </w:hyperlink>
    </w:p>
    <w:p>
      <w:pPr>
        <w:pStyle w:val="Ndice1defigura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26</w:t>
        </w:r>
      </w:hyperlink>
    </w:p>
    <w:p>
      <w:pPr>
        <w:pStyle w:val="Ndice1defigura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26</w:t>
        </w:r>
      </w:hyperlink>
    </w:p>
    <w:p>
      <w:pPr>
        <w:pStyle w:val="Ndice1defiguras"/>
        <w:rPr/>
      </w:pPr>
      <w:hyperlink w:anchor="Fig.!18|sequence">
        <w:r>
          <w:rPr>
            <w:rStyle w:val="Vnculodendice"/>
            <w:i/>
            <w:iCs/>
          </w:rPr>
          <w:t xml:space="preserve">Fig. 19 </w:t>
        </w:r>
        <w:r>
          <w:rPr>
            <w:rStyle w:val="Vnculodendice"/>
            <w:i/>
            <w:iCs/>
          </w:rPr>
          <w:t xml:space="preserve">Gráfico </w:t>
        </w:r>
        <w:r>
          <w:rPr>
            <w:rStyle w:val="Vnculodendice"/>
            <w:i/>
            <w:iCs/>
          </w:rPr>
          <w:t>da curva padrão e transformador do tipo 1 registrados no Simuload no intervalo de simulação de 1 hora.</w:t>
        </w:r>
        <w:r>
          <w:rPr>
            <w:rStyle w:val="Vnculodendice"/>
          </w:rPr>
          <w:tab/>
          <w:t>28</w:t>
        </w:r>
      </w:hyperlink>
    </w:p>
    <w:p>
      <w:pPr>
        <w:pStyle w:val="Ndice1defiguras"/>
        <w:rPr/>
      </w:pPr>
      <w:hyperlink w:anchor="Fig.!19|sequence">
        <w:r>
          <w:rPr>
            <w:rStyle w:val="Vnculodendice"/>
            <w:i/>
            <w:iCs/>
          </w:rPr>
          <w:t xml:space="preserve">Fig. 20 </w:t>
        </w:r>
        <w:r>
          <w:rPr>
            <w:rStyle w:val="Vnculodendice"/>
            <w:i/>
            <w:iCs/>
          </w:rPr>
          <w:t xml:space="preserve">Gráfico </w:t>
        </w:r>
        <w:r>
          <w:rPr>
            <w:rStyle w:val="Vnculodendice"/>
            <w:i/>
            <w:iCs/>
          </w:rPr>
          <w:t>da curva padrão e transformador do tipo 1 registrados no Simuload no intervalo de simulação de 30 minutos.</w:t>
        </w:r>
        <w:r>
          <w:rPr>
            <w:rStyle w:val="Vnculodendice"/>
          </w:rPr>
          <w:tab/>
          <w:t>28</w:t>
        </w:r>
      </w:hyperlink>
    </w:p>
    <w:p>
      <w:pPr>
        <w:pStyle w:val="Ndice1defiguras"/>
        <w:rPr/>
      </w:pPr>
      <w:hyperlink w:anchor="Fig.!20|sequence">
        <w:r>
          <w:rPr>
            <w:rStyle w:val="Vnculodendice"/>
            <w:i/>
            <w:iCs/>
          </w:rPr>
          <w:t xml:space="preserve">Fig. 21 </w:t>
        </w:r>
        <w:r>
          <w:rPr>
            <w:rStyle w:val="Vnculodendice"/>
            <w:i/>
            <w:iCs/>
          </w:rPr>
          <w:t xml:space="preserve">Gráfico </w:t>
        </w:r>
        <w:r>
          <w:rPr>
            <w:rStyle w:val="Vnculodendice"/>
            <w:i/>
            <w:iCs/>
          </w:rPr>
          <w:t xml:space="preserve">da curva padrão e transformador do tipo 1 registrados no Simuload no intervalo de simulação de </w:t>
        </w:r>
        <w:r>
          <w:rPr>
            <w:rStyle w:val="Vnculodendice"/>
            <w:i/>
            <w:iCs/>
          </w:rPr>
          <w:t>15 minutos</w:t>
        </w:r>
        <w:r>
          <w:rPr>
            <w:rStyle w:val="Vnculodendice"/>
            <w:i/>
            <w:iCs/>
          </w:rPr>
          <w:t>.</w:t>
        </w:r>
        <w:r>
          <w:rPr>
            <w:rStyle w:val="Vnculodendice"/>
          </w:rPr>
          <w:tab/>
          <w:t>29</w:t>
        </w:r>
      </w:hyperlink>
    </w:p>
    <w:p>
      <w:pPr>
        <w:pStyle w:val="Ndice1defiguras"/>
        <w:rPr/>
      </w:pPr>
      <w:hyperlink w:anchor="Fig.!21|sequence">
        <w:r>
          <w:rPr>
            <w:rStyle w:val="Vnculodendice"/>
            <w:i/>
            <w:iCs/>
          </w:rPr>
          <w:t xml:space="preserve">Fig. 22 </w:t>
        </w:r>
        <w:r>
          <w:rPr>
            <w:rStyle w:val="Vnculodendice"/>
            <w:i/>
            <w:iCs/>
          </w:rPr>
          <w:t xml:space="preserve">Gráfico </w:t>
        </w:r>
        <w:r>
          <w:rPr>
            <w:rStyle w:val="Vnculodendice"/>
            <w:i/>
            <w:iCs/>
          </w:rPr>
          <w:t>da curva padrão e transformador do tipo 1 registrados no Simuload no intervalo de simulação de 5 minutos.</w:t>
        </w:r>
        <w:r>
          <w:rPr>
            <w:rStyle w:val="Vnculodendice"/>
          </w:rPr>
          <w:tab/>
          <w:t>29</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pt-BR"/>
        </w:rPr>
      </w:r>
    </w:p>
    <w:p>
      <w:pPr>
        <w:pStyle w:val="Normal"/>
        <w:rPr>
          <w:b/>
          <w:b/>
          <w:bCs/>
          <w:sz w:val="36"/>
          <w:szCs w:val="36"/>
          <w:lang w:val="en-US"/>
        </w:rPr>
      </w:pPr>
      <w:r>
        <w:rPr>
          <w:b/>
          <w:bCs/>
          <w:sz w:val="36"/>
          <w:szCs w:val="36"/>
          <w:lang w:val="pt-BR"/>
        </w:rPr>
      </w:r>
      <w:r>
        <w:br w:type="page"/>
      </w:r>
    </w:p>
    <w:p>
      <w:pPr>
        <w:pStyle w:val="Normal"/>
        <w:spacing w:lineRule="auto" w:line="259" w:before="0" w:after="160"/>
        <w:jc w:val="left"/>
        <w:rPr>
          <w:b/>
          <w:b/>
          <w:bCs/>
          <w:sz w:val="36"/>
          <w:szCs w:val="36"/>
          <w:lang w:val="en-US" w:eastAsia="ar-SA"/>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lang w:val="pt-BR"/>
        </w:rPr>
        <w:t>PPH 2019 – Pesquisa de Posse e Hábitos de Uso de Equipamentos Elétricos na Classe Residencial 2019</w:t>
      </w:r>
    </w:p>
    <w:p>
      <w:pPr>
        <w:pStyle w:val="Corpodotexto"/>
        <w:rPr>
          <w:b/>
          <w:b/>
          <w:bCs/>
          <w:sz w:val="36"/>
          <w:szCs w:val="36"/>
        </w:rPr>
      </w:pPr>
      <w:r>
        <w:rPr>
          <w:lang w:val="pt-BR"/>
        </w:rPr>
        <w:t>Procel – Programa Nacional de Conservação de Energia Elétrica</w:t>
      </w:r>
    </w:p>
    <w:p>
      <w:pPr>
        <w:pStyle w:val="Corpodotexto"/>
        <w:rPr>
          <w:b/>
          <w:b/>
          <w:bCs/>
          <w:sz w:val="36"/>
          <w:szCs w:val="36"/>
        </w:rPr>
      </w:pPr>
      <w:r>
        <w:rPr>
          <w:lang w:val="pt-BR"/>
        </w:rPr>
        <w:t>UML – Unified Modeling Language</w:t>
      </w:r>
    </w:p>
    <w:p>
      <w:pPr>
        <w:pStyle w:val="Corpodotexto"/>
        <w:rPr>
          <w:b/>
          <w:b/>
          <w:bCs/>
          <w:sz w:val="36"/>
          <w:szCs w:val="36"/>
        </w:rPr>
      </w:pPr>
      <w:r>
        <w:rPr>
          <w:lang w:val="pt-BR"/>
        </w:rPr>
        <w:t>VSCode – Visual Studio Code</w:t>
      </w:r>
    </w:p>
    <w:p>
      <w:pPr>
        <w:pStyle w:val="Corpodotexto"/>
        <w:rPr>
          <w:b/>
          <w:b/>
          <w:bCs/>
          <w:sz w:val="36"/>
          <w:szCs w:val="36"/>
        </w:rPr>
      </w:pPr>
      <w:r>
        <w:rPr>
          <w:lang w:val="pt-BR"/>
        </w:rPr>
        <w:t>CSV – Comma-separated values</w:t>
      </w:r>
    </w:p>
    <w:p>
      <w:pPr>
        <w:pStyle w:val="Corpodotexto"/>
        <w:rPr>
          <w:b/>
          <w:b/>
          <w:bCs/>
          <w:sz w:val="36"/>
          <w:szCs w:val="36"/>
        </w:rPr>
      </w:pPr>
      <w:r>
        <w:rPr>
          <w:lang w:val="pt-BR"/>
        </w:rPr>
        <w:t>MME – Ministério de Minas e Energia</w:t>
      </w:r>
    </w:p>
    <w:p>
      <w:pPr>
        <w:pStyle w:val="Corpodotexto"/>
        <w:rPr>
          <w:b/>
          <w:b/>
          <w:bCs/>
          <w:sz w:val="36"/>
          <w:szCs w:val="36"/>
        </w:rPr>
      </w:pPr>
      <w:r>
        <w:rPr>
          <w:lang w:val="pt-BR"/>
        </w:rPr>
      </w:r>
    </w:p>
    <w:p>
      <w:pPr>
        <w:pStyle w:val="Corpodotexto"/>
        <w:rPr>
          <w:b/>
          <w:b/>
          <w:bCs/>
          <w:sz w:val="36"/>
          <w:szCs w:val="36"/>
        </w:rPr>
      </w:pPr>
      <w:r>
        <w:rPr>
          <w:lang w:val="pt-BR"/>
        </w:rPr>
      </w:r>
    </w:p>
    <w:p>
      <w:pPr>
        <w:pStyle w:val="Cabealho"/>
        <w:tabs>
          <w:tab w:val="clear" w:pos="4419"/>
          <w:tab w:val="clear" w:pos="8838"/>
        </w:tabs>
        <w:jc w:val="center"/>
        <w:rPr>
          <w:b/>
          <w:b/>
          <w:bCs/>
          <w:sz w:val="36"/>
          <w:szCs w:val="36"/>
        </w:rPr>
      </w:pPr>
      <w:r>
        <w:rPr>
          <w:b/>
          <w:bCs/>
          <w:sz w:val="36"/>
          <w:szCs w:val="36"/>
          <w:lang w:val="pt-BR"/>
        </w:rPr>
      </w:r>
    </w:p>
    <w:p>
      <w:pPr>
        <w:pStyle w:val="Normal"/>
        <w:tabs>
          <w:tab w:val="clear" w:pos="720"/>
        </w:tabs>
        <w:spacing w:lineRule="auto" w:line="259" w:before="0" w:after="160"/>
        <w:jc w:val="left"/>
        <w:rPr>
          <w:b/>
          <w:b/>
          <w:bCs/>
          <w:sz w:val="36"/>
          <w:szCs w:val="36"/>
          <w:lang w:eastAsia="ar-SA"/>
        </w:rPr>
      </w:pPr>
      <w:r>
        <w:rPr>
          <w:b/>
          <w:bCs/>
          <w:sz w:val="36"/>
          <w:szCs w:val="36"/>
          <w:lang w:val="pt-BR" w:eastAsia="ar-SA"/>
        </w:rPr>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Normal"/>
        <w:spacing w:lineRule="auto" w:line="259" w:before="0" w:after="160"/>
        <w:jc w:val="left"/>
        <w:rPr>
          <w:b/>
          <w:b/>
          <w:bCs/>
          <w:sz w:val="36"/>
          <w:szCs w:val="36"/>
          <w:lang w:eastAsia="ar-SA"/>
        </w:rPr>
      </w:pPr>
      <w:r>
        <w:rPr>
          <w:b/>
          <w:bCs/>
          <w:sz w:val="36"/>
          <w:szCs w:val="36"/>
          <w:lang w:val="pt-BR"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8</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11</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12</w:t>
            </w:r>
          </w:hyperlink>
        </w:p>
        <w:p>
          <w:pPr>
            <w:pStyle w:val="Sumrio2"/>
            <w:tabs>
              <w:tab w:val="clear" w:pos="720"/>
              <w:tab w:val="right" w:pos="9071" w:leader="dot"/>
            </w:tabs>
            <w:rPr/>
          </w:pPr>
          <w:hyperlink w:anchor="__RefHeading___Toc556_3461207297">
            <w:r>
              <w:rPr>
                <w:webHidden/>
                <w:rStyle w:val="Vnculodendice"/>
              </w:rPr>
              <w:t>4.3 Mapeamento de Dados</w:t>
              <w:tab/>
              <w:t>13</w:t>
            </w:r>
          </w:hyperlink>
        </w:p>
        <w:p>
          <w:pPr>
            <w:pStyle w:val="Sumrio2"/>
            <w:tabs>
              <w:tab w:val="clear" w:pos="720"/>
              <w:tab w:val="right" w:pos="9071" w:leader="dot"/>
            </w:tabs>
            <w:rPr/>
          </w:pPr>
          <w:hyperlink w:anchor="__RefHeading___Toc558_3461207297">
            <w:r>
              <w:rPr>
                <w:webHidden/>
                <w:rStyle w:val="Vnculodendice"/>
              </w:rPr>
              <w:t>4.4 Algoritmo de Aleatoriedade</w:t>
              <w:tab/>
              <w:t>14</w:t>
            </w:r>
          </w:hyperlink>
        </w:p>
        <w:p>
          <w:pPr>
            <w:pStyle w:val="Sumrio2"/>
            <w:tabs>
              <w:tab w:val="clear" w:pos="720"/>
              <w:tab w:val="right" w:pos="9071" w:leader="dot"/>
            </w:tabs>
            <w:rPr/>
          </w:pPr>
          <w:hyperlink w:anchor="__RefHeading___Toc3979_2898883715">
            <w:r>
              <w:rPr>
                <w:webHidden/>
                <w:rStyle w:val="Vnculodendice"/>
              </w:rPr>
              <w:t>4.5 Versionamento de Código</w:t>
              <w:tab/>
              <w:t>16</w:t>
            </w:r>
          </w:hyperlink>
        </w:p>
        <w:p>
          <w:pPr>
            <w:pStyle w:val="Sumrio1"/>
            <w:tabs>
              <w:tab w:val="clear" w:pos="720"/>
              <w:tab w:val="right" w:pos="9071" w:leader="dot"/>
            </w:tabs>
            <w:rPr/>
          </w:pPr>
          <w:hyperlink w:anchor="__RefHeading___Toc809_3772085703">
            <w:r>
              <w:rPr>
                <w:webHidden/>
                <w:rStyle w:val="Vnculodendice"/>
              </w:rPr>
              <w:t>Capítulo 5: Estudo de Caso</w:t>
              <w:tab/>
              <w:t>18</w:t>
            </w:r>
          </w:hyperlink>
        </w:p>
        <w:p>
          <w:pPr>
            <w:pStyle w:val="Sumrio2"/>
            <w:tabs>
              <w:tab w:val="clear" w:pos="720"/>
              <w:tab w:val="right" w:pos="9071" w:leader="dot"/>
            </w:tabs>
            <w:rPr/>
          </w:pPr>
          <w:hyperlink w:anchor="__RefHeading___Toc811_3772085703">
            <w:r>
              <w:rPr>
                <w:webHidden/>
                <w:rStyle w:val="Vnculodendice"/>
              </w:rPr>
              <w:t>5.1 Simulando com outros Softwares</w:t>
              <w:tab/>
              <w:t>18</w:t>
            </w:r>
          </w:hyperlink>
        </w:p>
        <w:p>
          <w:pPr>
            <w:pStyle w:val="Sumrio2"/>
            <w:tabs>
              <w:tab w:val="clear" w:pos="720"/>
              <w:tab w:val="right" w:pos="9071" w:leader="dot"/>
            </w:tabs>
            <w:rPr/>
          </w:pPr>
          <w:hyperlink w:anchor="__RefHeading___Toc560_3461207297">
            <w:r>
              <w:rPr>
                <w:webHidden/>
                <w:rStyle w:val="Vnculodendice"/>
              </w:rPr>
              <w:t>5.2 Aplicação do Simuload</w:t>
              <w:tab/>
              <w:t>21</w:t>
            </w:r>
          </w:hyperlink>
        </w:p>
        <w:p>
          <w:pPr>
            <w:pStyle w:val="Sumrio2"/>
            <w:tabs>
              <w:tab w:val="clear" w:pos="720"/>
              <w:tab w:val="right" w:pos="9071" w:leader="dot"/>
            </w:tabs>
            <w:rPr/>
          </w:pPr>
          <w:hyperlink w:anchor="__RefHeading___Toc562_3461207297">
            <w:r>
              <w:rPr>
                <w:webHidden/>
                <w:rStyle w:val="Vnculodendice"/>
              </w:rPr>
              <w:t>5.3 Resultados e Comparações</w:t>
              <w:tab/>
              <w:t>30</w:t>
            </w:r>
          </w:hyperlink>
        </w:p>
        <w:p>
          <w:pPr>
            <w:pStyle w:val="Sumrio1"/>
            <w:tabs>
              <w:tab w:val="clear" w:pos="720"/>
              <w:tab w:val="right" w:pos="9071" w:leader="dot"/>
            </w:tabs>
            <w:rPr/>
          </w:pPr>
          <w:hyperlink w:anchor="__RefHeading___Toc815_3772085703">
            <w:r>
              <w:rPr>
                <w:webHidden/>
                <w:rStyle w:val="Vnculodendice"/>
              </w:rPr>
              <w:t>Capítulo 6: Conclusão</w:t>
              <w:tab/>
              <w:t>32</w:t>
            </w:r>
          </w:hyperlink>
        </w:p>
        <w:p>
          <w:pPr>
            <w:pStyle w:val="Sumrio3"/>
            <w:tabs>
              <w:tab w:val="clear" w:pos="720"/>
              <w:tab w:val="right" w:pos="9071" w:leader="dot"/>
            </w:tabs>
            <w:rPr/>
          </w:pPr>
          <w:hyperlink w:anchor="__RefHeading___Toc817_3772085703">
            <w:r>
              <w:rPr>
                <w:webHidden/>
                <w:rStyle w:val="Vnculodendice"/>
              </w:rPr>
              <w:t xml:space="preserve">6.1.1 </w:t>
            </w:r>
            <w:r>
              <w:rPr>
                <w:rStyle w:val="Vnculodendice"/>
                <w:i/>
              </w:rPr>
              <w:t>Objetiv</w:t>
            </w:r>
            <w:r>
              <w:rPr>
                <w:rStyle w:val="Vnculodendice"/>
              </w:rPr>
              <w:t>os e metodologia.</w:t>
              <w:tab/>
              <w:t>32</w:t>
            </w:r>
          </w:hyperlink>
        </w:p>
        <w:p>
          <w:pPr>
            <w:pStyle w:val="Sumrio3"/>
            <w:tabs>
              <w:tab w:val="clear" w:pos="720"/>
              <w:tab w:val="right" w:pos="9071" w:leader="dot"/>
            </w:tabs>
            <w:rPr/>
          </w:pPr>
          <w:hyperlink w:anchor="__RefHeading___Toc817_37720857031">
            <w:r>
              <w:rPr>
                <w:webHidden/>
                <w:rStyle w:val="Vnculodendice"/>
              </w:rPr>
              <w:t xml:space="preserve">6.1.2 </w:t>
            </w:r>
            <w:r>
              <w:rPr>
                <w:rStyle w:val="Vnculodendice"/>
                <w:i/>
              </w:rPr>
              <w:t>Considerações finais</w:t>
            </w:r>
            <w:r>
              <w:rPr>
                <w:rStyle w:val="Vnculodendice"/>
              </w:rPr>
              <w:t>.</w:t>
              <w:tab/>
              <w:t>33</w:t>
            </w:r>
          </w:hyperlink>
        </w:p>
        <w:p>
          <w:pPr>
            <w:pStyle w:val="Sumrio1"/>
            <w:tabs>
              <w:tab w:val="clear" w:pos="720"/>
              <w:tab w:val="right" w:pos="9071" w:leader="dot"/>
            </w:tabs>
            <w:rPr/>
          </w:pPr>
          <w:hyperlink w:anchor="__RefHeading___Toc821_3772085703">
            <w:r>
              <w:rPr>
                <w:webHidden/>
                <w:rStyle w:val="Vnculodendice"/>
              </w:rPr>
              <w:t>Referências</w:t>
              <w:tab/>
              <w:t>35</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36</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38</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39</w:t>
            </w:r>
          </w:hyperlink>
          <w:r>
            <w:rPr>
              <w:rStyle w:val="Vnculodendic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lang w:val="pt-BR"/>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pt-BR"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Ref65699817"/>
      <w:bookmarkStart w:id="6" w:name="_Toc65700066"/>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pt-BR"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pt-BR"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pt-BR"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pt-BR"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w:t>
      </w:r>
      <w:r>
        <w:rPr>
          <w:i/>
          <w:iCs/>
          <w:lang w:val="pt-BR" w:eastAsia="ar-SA"/>
        </w:rPr>
        <w:t>Unified Modeling Language</w:t>
      </w:r>
      <w:r>
        <w:rPr>
          <w:lang w:val="pt-BR" w:eastAsia="ar-SA"/>
        </w:rPr>
        <w:t>) abaixo, desenhado através da ferramenta Miro.</w:t>
      </w:r>
    </w:p>
    <w:p>
      <w:pPr>
        <w:pStyle w:val="Normal"/>
        <w:rPr>
          <w:lang w:val="en-US" w:eastAsia="ar-SA"/>
        </w:rPr>
      </w:pPr>
      <w:r>
        <w:rPr>
          <w:lang w:val="pt-BR" w:eastAsia="ar-SA"/>
        </w:rPr>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lang w:val="pt-B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w:t>
      </w:r>
      <w:r>
        <w:rPr>
          <w:i/>
          <w:iCs/>
          <w:lang w:val="pt-BR" w:eastAsia="ar-SA"/>
        </w:rPr>
        <w:t>Visual Studio Code</w:t>
      </w:r>
      <w:r>
        <w:rPr>
          <w:lang w:val="pt-BR" w:eastAsia="ar-SA"/>
        </w:rPr>
        <w:t xml:space="preserv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 5 é responsável por transformá-los em código Python, possibilitando a integração das telas com o sistema.</w:t>
      </w:r>
    </w:p>
    <w:p>
      <w:pPr>
        <w:pStyle w:val="Normal"/>
        <w:ind w:hanging="0"/>
        <w:jc w:val="center"/>
        <w:rPr>
          <w:lang w:val="en-US" w:eastAsia="ar-SA"/>
        </w:rPr>
      </w:pPr>
      <w:r>
        <w:rPr>
          <w:lang w:val="pt-BR"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lang w:val="pt-B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interface da extensão no VSCode pode ser visualizada na figura abaixo.</w:t>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lang w:val="pt-B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pt-BR"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lang w:val="pt-B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w:t>
      </w:r>
      <w:r>
        <w:rPr>
          <w:lang w:val="pt-BR" w:eastAsia="ar-SA"/>
        </w:rPr>
        <w:t>a</w:t>
      </w:r>
      <w:r>
        <w:rPr>
          <w:lang w:val="pt-BR" w:eastAsia="ar-SA"/>
        </w:rPr>
        <w:t xml:space="preserve">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 xml:space="preserve">Os dados utilizados na simulação foram obtidos a partir da PPH </w:t>
      </w:r>
      <w:r>
        <w:rPr>
          <w:lang w:val="pt-BR" w:eastAsia="ar-SA"/>
        </w:rPr>
        <w:t>2019</w:t>
      </w:r>
      <w:r>
        <w:rPr>
          <w:lang w:val="pt-BR" w:eastAsia="ar-SA"/>
        </w:rPr>
        <w:t>,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w:t>
      </w:r>
      <w:r>
        <w:rPr>
          <w:i/>
          <w:iCs/>
          <w:sz w:val="20"/>
          <w:szCs w:val="20"/>
          <w:lang w:val="pt-BR" w:eastAsia="ar-SA"/>
        </w:rPr>
        <w:t>a</w:t>
      </w:r>
      <w:r>
        <w:rPr>
          <w:i/>
          <w:iCs/>
          <w:sz w:val="20"/>
          <w:szCs w:val="20"/>
          <w:lang w:val="pt-BR" w:eastAsia="ar-SA"/>
        </w:rPr>
        <w:t xml:space="preserve"> PPH 2019 para a região Nordeste.</w:t>
      </w:r>
    </w:p>
    <w:p>
      <w:pPr>
        <w:pStyle w:val="Normal"/>
        <w:ind w:hanging="0"/>
        <w:jc w:val="center"/>
        <w:rPr>
          <w:lang w:val="en-US" w:eastAsia="ar-SA"/>
        </w:rPr>
      </w:pPr>
      <w:bookmarkStart w:id="27" w:name="docs-internal-guid-fe47d6b5-7fff-9341-59"/>
      <w:bookmarkEnd w:id="27"/>
      <w:r>
        <w:rPr>
          <w:lang w:val="pt-B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rPr>
          <w:lang w:val="en-US" w:eastAsia="ar-SA"/>
        </w:rPr>
      </w:pPr>
      <w:r>
        <w:rPr>
          <w:lang w:val="pt-BR"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numPr>
          <w:ilvl w:val="0"/>
          <w:numId w:val="0"/>
        </w:numPr>
        <w:ind w:left="720" w:hanging="0"/>
        <w:rPr>
          <w:lang w:val="en-US" w:eastAsia="ar-SA"/>
        </w:rPr>
      </w:pPr>
      <w:r>
        <w:rPr>
          <w:lang w:val="pt-BR" w:eastAsia="ar-SA"/>
        </w:rPr>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rPr>
          <w:lang w:val="en-US" w:eastAsia="ar-SA"/>
        </w:rPr>
      </w:pPr>
      <w:r>
        <w:rPr>
          <w:lang w:val="pt-BR"/>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val="pt-BR" w:eastAsia="ar-SA"/>
        </w:rPr>
      </w:r>
    </w:p>
    <w:p>
      <w:pPr>
        <w:pStyle w:val="Normal"/>
        <w:rPr>
          <w:lang w:val="en-US" w:eastAsia="ar-SA"/>
        </w:rPr>
      </w:pPr>
      <w:r>
        <w:rPr>
          <w:lang w:val="pt-BR"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lang w:val="pt-B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lang w:val="pt-B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lang w:val="pt-B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w:t>
      </w:r>
      <w:r>
        <w:rPr>
          <w:lang w:val="pt-BR" w:eastAsia="ar-SA"/>
        </w:rPr>
        <w:t>a</w:t>
      </w:r>
      <w:r>
        <w:rPr>
          <w:lang w:val="pt-BR" w:eastAsia="ar-SA"/>
        </w:rPr>
        <w:t xml:space="preserve"> PPH 2019 do Procel e potência mapeadas pela norma SM04.14-01.001 12ª edição da Neoenergia em seu anexo I, que pode ser encontrado no </w:t>
      </w:r>
      <w:r>
        <w:rPr>
          <w:lang w:val="pt-BR" w:eastAsia="ar-SA"/>
        </w:rPr>
        <w:t>A</w:t>
      </w:r>
      <w:r>
        <w:rPr>
          <w:lang w:val="pt-BR" w:eastAsia="ar-SA"/>
        </w:rPr>
        <w:t>pêndice C. Na tela principal é possível visualizar os comandos de criação de componentes ou simulações de curvas.</w:t>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lang w:val="pt-B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lang w:val="pt-B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lang w:val="pt-B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pt-BR"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lang w:val="pt-B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lang w:val="pt-B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pt-BR"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lang w:val="pt-B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lang w:val="pt-B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lang w:val="pt-B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6" w:name="docs-internal-guid-b96eae46-7fff-5d7b-57"/>
      <w:bookmarkEnd w:id="46"/>
      <w:r>
        <w:rPr>
          <w:lang w:val="pt-BR"/>
        </w:rPr>
        <w:drawing>
          <wp:inline distT="0" distB="0" distL="0" distR="0">
            <wp:extent cx="4593590" cy="3975735"/>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593590" cy="397573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lang w:val="pt-B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lang w:val="pt-B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lang w:val="pt-BR"/>
        </w:rPr>
        <w:drawing>
          <wp:inline distT="0" distB="0" distL="0" distR="0">
            <wp:extent cx="4568825" cy="396938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568825" cy="396938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en-US" w:eastAsia="ar-SA"/>
        </w:rPr>
      </w:pPr>
      <w:r>
        <w:rPr>
          <w:lang w:val="pt-BR" w:eastAsia="ar-SA"/>
        </w:rPr>
        <w:t>Outra limitação do software é que ele se baseia no modelo de dados d</w:t>
      </w:r>
      <w:r>
        <w:rPr>
          <w:lang w:val="pt-BR" w:eastAsia="ar-SA"/>
        </w:rPr>
        <w:t>a</w:t>
      </w:r>
      <w:r>
        <w:rPr>
          <w:lang w:val="pt-BR" w:eastAsia="ar-SA"/>
        </w:rPr>
        <w:t xml:space="preserve">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w:t>
      </w:r>
      <w:r>
        <w:rPr>
          <w:lang w:val="pt-BR"/>
        </w:rPr>
        <w:t>didáticas</w:t>
      </w:r>
      <w:r>
        <w:rPr>
          <w:lang w:val="pt-BR"/>
        </w:rPr>
        <w:t xml:space="preserve"> que possam auxiliar </w:t>
      </w:r>
      <w:r>
        <w:rPr>
          <w:lang w:val="pt-BR"/>
        </w:rPr>
        <w:t>no desenvolvimento de conhecimentos e habilidades para</w:t>
      </w:r>
      <w:r>
        <w:rPr>
          <w:lang w:val="pt-BR"/>
        </w:rPr>
        <w:t xml:space="preserve"> análise e planejamento de sistemas elétricos.</w:t>
      </w:r>
    </w:p>
    <w:p>
      <w:pPr>
        <w:pStyle w:val="Normal"/>
        <w:rPr>
          <w:lang w:val="en-US"/>
        </w:rPr>
      </w:pPr>
      <w:r>
        <w:rPr>
          <w:lang w:val="pt-BR"/>
        </w:rPr>
        <w:t>A simulação de curvas de carga em redes de distribuição de energia elétrica é um</w:t>
      </w:r>
      <w:r>
        <w:rPr>
          <w:lang w:val="pt-BR"/>
        </w:rPr>
        <w:t>a</w:t>
      </w:r>
      <w:r>
        <w:rPr>
          <w:lang w:val="pt-BR"/>
        </w:rPr>
        <w:t xml:space="preserve">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 xml:space="preserve">Portanto, pode-se concluir que o software Simuload é uma ferramenta valiosa para a área de engenharia elétrica, visto que, através da sua capacidade de simular curvas de carga em sistemas elétricos </w:t>
      </w:r>
      <w:r>
        <w:rPr>
          <w:lang w:val="pt-BR"/>
        </w:rPr>
        <w:t>de forma didática</w:t>
      </w:r>
      <w:r>
        <w:rPr>
          <w:lang w:val="pt-BR"/>
        </w:rPr>
        <w:t xml:space="preserve">, ele pode ser utilizado como ferramenta </w:t>
      </w:r>
      <w:r>
        <w:rPr>
          <w:lang w:val="pt-BR"/>
        </w:rPr>
        <w:t>estudo de</w:t>
      </w:r>
      <w:r>
        <w:rPr>
          <w:lang w:val="pt-BR"/>
        </w:rPr>
        <w:t xml:space="preserve"> análise e planejamento de redes de distribuição de energia.</w:t>
      </w:r>
    </w:p>
    <w:p>
      <w:pPr>
        <w:pStyle w:val="Ttulo3"/>
        <w:numPr>
          <w:ilvl w:val="2"/>
          <w:numId w:val="2"/>
        </w:numPr>
        <w:rPr>
          <w:b/>
          <w:b/>
          <w:bCs/>
          <w:sz w:val="36"/>
          <w:szCs w:val="36"/>
        </w:rPr>
      </w:pPr>
      <w:bookmarkStart w:id="53" w:name="__RefHeading___Toc817_3772085703"/>
      <w:bookmarkEnd w:id="53"/>
      <w:r>
        <w:rPr>
          <w:rFonts w:eastAsia="" w:cs="" w:cstheme="majorBidi" w:eastAsiaTheme="majorEastAsia"/>
          <w:i/>
          <w:color w:val="auto"/>
          <w:kern w:val="0"/>
          <w:sz w:val="24"/>
          <w:szCs w:val="24"/>
          <w:lang w:val="pt-BR" w:eastAsia="ar-SA" w:bidi="ar-SA"/>
        </w:rPr>
        <w:t>Objetiv</w:t>
      </w:r>
      <w:bookmarkStart w:id="54" w:name="_Toc65702349"/>
      <w:r>
        <w:rPr>
          <w:lang w:val="pt-BR" w:eastAsia="ar-SA"/>
        </w:rPr>
        <w:t>o</w:t>
      </w:r>
      <w:r>
        <w:rPr>
          <w:lang w:val="pt-BR" w:eastAsia="ar-SA"/>
        </w:rPr>
        <w:t>s e metodologia</w:t>
      </w:r>
      <w:r>
        <w:rPr>
          <w:lang w:val="pt-BR" w:eastAsia="ar-SA"/>
        </w:rPr>
        <w:t>.</w:t>
      </w:r>
      <w:bookmarkEnd w:id="54"/>
    </w:p>
    <w:p>
      <w:pPr>
        <w:pStyle w:val="Normal"/>
        <w:rPr>
          <w:lang w:val="en-US" w:eastAsia="ar-SA"/>
        </w:rPr>
      </w:pPr>
      <w:r>
        <w:rPr>
          <w:lang w:val="pt-BR" w:eastAsia="ar-SA"/>
        </w:rPr>
        <w:t>O objetivo geral deste trabalho consistiu em apresentar o software e avaliar sua eficácia como uma ferramenta de simulação de curvas de carga em redes de distribuição de baixa tensão, com o intuito principal de contribuir para o desenvolvimento de habilidades técnicas dos estudantes de Engenharia Elétrica.</w:t>
      </w:r>
    </w:p>
    <w:p>
      <w:pPr>
        <w:pStyle w:val="Normal"/>
        <w:rPr>
          <w:lang w:val="en-US" w:eastAsia="ar-SA"/>
        </w:rPr>
      </w:pPr>
      <w:r>
        <w:rPr>
          <w:lang w:val="pt-BR" w:eastAsia="ar-SA"/>
        </w:rPr>
        <w:t>Dentre os objetivos específicos incluem avaliar a eficiência e usabilidade do software, identificar possíveis limitações e propor melhorias. A metodologia de desenvolvimento do Simuload foi baseada nas principais necessidades dos estudantes no que diz respeito a simulação de curvas de carga, bem como na necessidade de apresentar uma ferramenta de fácil utilização, para que fosse o mais intuitiva e didática possível. Assim, o processo de validação pós criação da ferramenta foi feito por meio de avaliação qualitativa do seu uso por estudantes em uma simulação real e apresentou-se como uma ferramenta eficiente e didática para esse fim.</w:t>
      </w:r>
    </w:p>
    <w:p>
      <w:pPr>
        <w:pStyle w:val="Normal"/>
        <w:rPr>
          <w:lang w:val="en-US" w:eastAsia="ar-SA"/>
        </w:rPr>
      </w:pPr>
      <w:r>
        <w:rPr>
          <w:lang w:val="pt-BR" w:eastAsia="ar-SA"/>
        </w:rPr>
        <w:t xml:space="preserve">No que diz respeito a parte mais técnica do software, foram adotadas diversas ferramentas e tecnologias para diferentes aspectos do desenvolvimento do Simuload. A ferramenta PyQt5 foi escolhida para a criação da interface gráfica, a biblioteca Matplotlib foi utilizada para a simulação de gráficos, o SQLite foi escolhido como banco de dados para armazenamento de dados estruturados, já o PyInstaller foi utilizado para gerar um executável do software facilitando sua distribuição. </w:t>
      </w:r>
      <w:r>
        <w:rPr>
          <w:lang w:val="pt-BR" w:eastAsia="ar-SA"/>
        </w:rPr>
        <w:t>Todo o seu versionamento e disponibilização foi feito utilizando as ferramentas Git e Github.</w:t>
      </w:r>
    </w:p>
    <w:p>
      <w:pPr>
        <w:pStyle w:val="Normal"/>
        <w:rPr>
          <w:lang w:val="en-US" w:eastAsia="ar-SA"/>
        </w:rPr>
      </w:pPr>
      <w:r>
        <w:rPr>
          <w:lang w:val="pt-BR" w:eastAsia="ar-SA"/>
        </w:rPr>
        <w:t>Essas decisões técnicas e ferramentas foram fundamentais para garantir a facilidade de uso, eficiência no armazenamento de dados, geração de gráficos e distribuição do software. O Simuload se beneficia dessas escolhas, proporcionando uma experiência mais proveitosa e confiável aos estudantes, o que foi desde o início um dos seus principais objetivos, visto que, não haveria total aproveitamento se os mesmos não conseguissem se adaptar e utilizar de forma correta.</w:t>
      </w:r>
    </w:p>
    <w:p>
      <w:pPr>
        <w:pStyle w:val="Ttulo3"/>
        <w:numPr>
          <w:ilvl w:val="2"/>
          <w:numId w:val="2"/>
        </w:numPr>
        <w:rPr>
          <w:b/>
          <w:b/>
          <w:bCs/>
          <w:sz w:val="36"/>
          <w:szCs w:val="36"/>
        </w:rPr>
      </w:pPr>
      <w:bookmarkStart w:id="55" w:name="__RefHeading___Toc817_37720857031"/>
      <w:bookmarkEnd w:id="55"/>
      <w:r>
        <w:rPr>
          <w:rFonts w:eastAsia="" w:cs="" w:cstheme="majorBidi" w:eastAsiaTheme="majorEastAsia"/>
          <w:i/>
          <w:color w:val="auto"/>
          <w:kern w:val="0"/>
          <w:sz w:val="24"/>
          <w:szCs w:val="24"/>
          <w:lang w:val="pt-BR" w:eastAsia="ar-SA" w:bidi="ar-SA"/>
        </w:rPr>
        <w:t>Considerações finais</w:t>
      </w:r>
      <w:bookmarkStart w:id="56" w:name="_Toc657023491"/>
      <w:r>
        <w:rPr>
          <w:lang w:val="pt-BR" w:eastAsia="ar-SA"/>
        </w:rPr>
        <w:t>.</w:t>
      </w:r>
      <w:bookmarkEnd w:id="56"/>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w:t>
      </w:r>
    </w:p>
    <w:p>
      <w:pPr>
        <w:pStyle w:val="Normal"/>
        <w:rPr>
          <w:lang w:val="en-US" w:eastAsia="ar-SA"/>
        </w:rPr>
      </w:pPr>
      <w:r>
        <w:rPr>
          <w:lang w:val="pt-BR" w:eastAsia="ar-SA"/>
        </w:rPr>
        <w:t xml:space="preserve">Neste aspecto, o Simuload apresenta-se como uma ferramenta que traduz a necessidade de intercâmbio entre a tecnologia e a prática, trazendo diversas vantagens, tais como: eficiência e produtividade, pois </w:t>
      </w:r>
      <w:r>
        <w:rPr>
          <w:lang w:val="pt-BR" w:eastAsia="ar-SA"/>
        </w:rPr>
        <w:t xml:space="preserve">facilita </w:t>
      </w:r>
      <w:r>
        <w:rPr>
          <w:lang w:val="pt-BR" w:eastAsia="ar-SA"/>
        </w:rPr>
        <w:t xml:space="preserve">o processo de </w:t>
      </w:r>
      <w:r>
        <w:rPr>
          <w:lang w:val="pt-BR" w:eastAsia="ar-SA"/>
        </w:rPr>
        <w:t xml:space="preserve">mapeamento de dados, </w:t>
      </w:r>
      <w:r>
        <w:rPr>
          <w:lang w:val="pt-BR" w:eastAsia="ar-SA"/>
        </w:rPr>
        <w:t xml:space="preserve">análise </w:t>
      </w:r>
      <w:r>
        <w:rPr>
          <w:lang w:val="pt-BR" w:eastAsia="ar-SA"/>
        </w:rPr>
        <w:t>e geração de gráficos</w:t>
      </w:r>
      <w:r>
        <w:rPr>
          <w:lang w:val="pt-BR" w:eastAsia="ar-SA"/>
        </w:rPr>
        <w:t xml:space="preserve">, permitindo que os resultados sejam obtidos </w:t>
      </w:r>
      <w:r>
        <w:rPr>
          <w:lang w:val="pt-BR" w:eastAsia="ar-SA"/>
        </w:rPr>
        <w:t xml:space="preserve">e avaliados </w:t>
      </w:r>
      <w:r>
        <w:rPr>
          <w:lang w:val="pt-BR" w:eastAsia="ar-SA"/>
        </w:rPr>
        <w:t>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lang w:val="pt-BR" w:eastAsia="ar-SA"/>
        </w:rPr>
        <w:t xml:space="preserve">Em resumo, o uso da tecnologia, no caso específico deste trabalho: o Simuload, oferece vantagens significativas, melhorando a eficiência, a compreensão dos dados e possibilitando aos estudantes uma experiência de aprendizado mais proveitosa.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w:t>
      </w:r>
      <w:r>
        <w:rPr>
          <w:lang w:val="pt-BR" w:eastAsia="ar-SA"/>
        </w:rPr>
        <w:t>e alguns</w:t>
      </w:r>
      <w:r>
        <w:rPr>
          <w:lang w:val="pt-BR" w:eastAsia="ar-SA"/>
        </w:rPr>
        <w:t xml:space="preserve"> campos, este não é um fator que compromete o resultado final quando todas as informações são inseridas da maneira correta. </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w:t>
      </w:r>
      <w:r>
        <w:rPr>
          <w:lang w:val="pt-BR" w:eastAsia="ar-SA"/>
        </w:rPr>
        <w:t>Isso é</w:t>
      </w:r>
      <w:r>
        <w:rPr>
          <w:lang w:val="pt-BR" w:eastAsia="ar-SA"/>
        </w:rPr>
        <w:t xml:space="preserve"> </w:t>
      </w:r>
      <w:r>
        <w:rPr>
          <w:lang w:val="pt-BR" w:eastAsia="ar-SA"/>
        </w:rPr>
        <w:t>decorrente da adoção dos modelos da PPH 2019 como base para seu desenvolvimento e do seu algoritmo de aleatoriedade que não é totalmente preciso, apesar de buscar ser o mais próximo da realidade</w:t>
      </w:r>
      <w:r>
        <w:rPr>
          <w:lang w:val="pt-BR" w:eastAsia="ar-SA"/>
        </w:rPr>
        <w:t xml:space="preserve">. Esta é uma desvantagem que merece maior atenção, pois pode comprometer o resultado final do processo, portanto, é indicado que o software seja utilizado respeitando essa limitação. </w:t>
      </w:r>
      <w:r>
        <w:rPr>
          <w:lang w:val="pt-BR" w:eastAsia="ar-SA"/>
        </w:rPr>
        <w:t xml:space="preserve">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xml:space="preserve">, o Simuload </w:t>
      </w:r>
      <w:r>
        <w:rPr>
          <w:lang w:val="pt-BR" w:eastAsia="ar-SA"/>
        </w:rPr>
        <w:t xml:space="preserve">também </w:t>
      </w:r>
      <w:r>
        <w:rPr>
          <w:lang w:val="pt-BR" w:eastAsia="ar-SA"/>
        </w:rPr>
        <w:t>possui uma funcionalidade de exportação dos dados para um arquivo CSV, que permite a sua manipulação de forma mais precisa.</w:t>
      </w:r>
    </w:p>
    <w:p>
      <w:pPr>
        <w:pStyle w:val="Normal"/>
        <w:rPr>
          <w:lang w:val="en-US" w:eastAsia="ar-SA"/>
        </w:rPr>
      </w:pPr>
      <w:r>
        <w:rPr>
          <w:lang w:val="pt-BR" w:eastAsia="ar-SA"/>
        </w:rPr>
        <w:t xml:space="preserve">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w:t>
      </w:r>
      <w:r>
        <w:rPr>
          <w:lang w:val="pt-BR" w:eastAsia="ar-SA"/>
        </w:rPr>
        <w:t>o torna um</w:t>
      </w:r>
      <w:r>
        <w:rPr>
          <w:lang w:val="pt-BR" w:eastAsia="ar-SA"/>
        </w:rPr>
        <w:t xml:space="preserve"> projeto bastante relevante a se </w:t>
      </w:r>
      <w:r>
        <w:rPr>
          <w:lang w:val="pt-BR" w:eastAsia="ar-SA"/>
        </w:rPr>
        <w:t>evoluir</w:t>
      </w:r>
      <w:r>
        <w:rPr>
          <w:lang w:val="pt-BR" w:eastAsia="ar-SA"/>
        </w:rPr>
        <w:t xml:space="preserve"> em trabalhos futuros.</w:t>
      </w:r>
    </w:p>
    <w:p>
      <w:pPr>
        <w:pStyle w:val="Normal"/>
        <w:spacing w:lineRule="auto" w:line="259" w:before="0" w:after="160"/>
        <w:ind w:hanging="0"/>
        <w:jc w:val="left"/>
        <w:rPr>
          <w:lang w:val="en-US" w:eastAsia="ar-SA"/>
        </w:rPr>
      </w:pPr>
      <w:r>
        <w:rPr>
          <w:lang w:val="pt-BR"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7" w:name="__RefHeading___Toc821_3772085703"/>
      <w:bookmarkStart w:id="58" w:name="_Toc65702351"/>
      <w:bookmarkEnd w:id="57"/>
      <w:r>
        <w:rPr>
          <w:rFonts w:cs="Calibri" w:ascii="Calibri" w:hAnsi="Calibri" w:asciiTheme="minorHAnsi" w:cstheme="minorHAnsi" w:hAnsiTheme="minorHAnsi"/>
          <w:sz w:val="36"/>
          <w:szCs w:val="36"/>
          <w:lang w:val="pt-BR" w:eastAsia="ar-SA"/>
        </w:rPr>
        <w:t>Referências</w:t>
      </w:r>
      <w:bookmarkEnd w:id="58"/>
    </w:p>
    <w:p>
      <w:pPr>
        <w:pStyle w:val="Normal"/>
        <w:rPr>
          <w:lang w:val="en-US" w:eastAsia="ar-SA"/>
        </w:rPr>
      </w:pPr>
      <w:r>
        <w:rPr>
          <w:lang w:val="pt-BR"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pt-BR"/>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lang w:val="pt-BR"/>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lang w:val="pt-BR"/>
        </w:rPr>
      </w:r>
      <w:r>
        <w:br w:type="page"/>
      </w:r>
    </w:p>
    <w:p>
      <w:pPr>
        <w:pStyle w:val="Ttulo1"/>
        <w:numPr>
          <w:ilvl w:val="0"/>
          <w:numId w:val="0"/>
        </w:numPr>
        <w:ind w:left="0" w:right="0" w:hanging="0"/>
        <w:rPr>
          <w:lang w:val="pt-BR"/>
        </w:rPr>
      </w:pPr>
      <w:bookmarkStart w:id="59" w:name="__RefHeading___Toc3981_2898883715"/>
      <w:bookmarkStart w:id="60" w:name="_Toc65702352"/>
      <w:bookmarkEnd w:id="59"/>
      <w:r>
        <w:rPr>
          <w:lang w:val="pt-BR" w:eastAsia="ar-SA"/>
        </w:rPr>
        <w:t xml:space="preserve">Apêndice A – </w:t>
      </w:r>
      <w:bookmarkEnd w:id="60"/>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val="pt-BR"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61" w:name="__RefHeading___Toc1137_2898883715"/>
      <w:bookmarkStart w:id="62" w:name="_Toc657023527"/>
      <w:bookmarkEnd w:id="61"/>
      <w:r>
        <w:rPr>
          <w:lang w:val="pt-BR" w:eastAsia="ar-SA"/>
        </w:rPr>
        <w:t xml:space="preserve">Apêndice B – </w:t>
      </w:r>
      <w:bookmarkEnd w:id="62"/>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3" w:name="__RefHeading___Toc1139_2898883715"/>
      <w:bookmarkStart w:id="64" w:name="_Toc657023522"/>
      <w:bookmarkEnd w:id="63"/>
      <w:r>
        <w:rPr>
          <w:b/>
          <w:color w:val="auto"/>
          <w:kern w:val="0"/>
          <w:sz w:val="44"/>
          <w:szCs w:val="32"/>
          <w:lang w:val="pt-BR" w:eastAsia="ar-SA" w:bidi="ar-SA"/>
        </w:rPr>
        <w:t xml:space="preserve">Apêndice C – </w:t>
      </w:r>
      <w:bookmarkEnd w:id="64"/>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lang w:val="pt-B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532043"/>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40</w:t>
        </w:r>
        <w:r>
          <w:rPr>
            <w:lang w:val="pt-B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8736580"/>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1</w:t>
        </w:r>
        <w:r>
          <w:rPr>
            <w:lang w:val="pt-B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eastAsia="pt-BR" w:bidi="ar-SA" w:val="pt-BR"/>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Application>LibreOffice/7.1.0.3$Windows_X86_64 LibreOffice_project/f6099ecf3d29644b5008cc8f48f42f4a40986e4c</Application>
  <AppVersion>15.0000</AppVersion>
  <Pages>62</Pages>
  <Words>8622</Words>
  <Characters>47169</Characters>
  <CharactersWithSpaces>56301</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2023-07-06T09:10:28Z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