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Prof. Dr. </w:t>
      </w:r>
      <w:r>
        <w:rPr>
          <w:b/>
          <w:bCs/>
          <w:sz w:val="28"/>
          <w:szCs w:val="28"/>
          <w:lang w:val="pt-BR"/>
        </w:rPr>
        <w:t>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Prof. Dr. </w:t>
      </w:r>
      <w:r>
        <w:rPr>
          <w:b/>
          <w:bCs/>
          <w:sz w:val="28"/>
          <w:szCs w:val="28"/>
          <w:lang w:val="pt-BR"/>
        </w:rPr>
        <w:t>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 xml:space="preserve">A solução foi idealizada como um software, nomeado de Simuload, com interface visual amigável capaz de modelar e simular curvas de carga e curvas características de um transformador para análise e estudo. O software </w:t>
      </w:r>
      <w:r>
        <w:rPr>
          <w:rFonts w:eastAsia="Times New Roman" w:cs="Times New Roman"/>
          <w:color w:val="auto"/>
          <w:kern w:val="0"/>
          <w:sz w:val="24"/>
          <w:szCs w:val="20"/>
          <w:lang w:val="pt-BR" w:eastAsia="pt-BR" w:bidi="ar-SA"/>
        </w:rPr>
        <w:t>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xml:space="preserve">, </w:t>
      </w:r>
      <w:r>
        <w:rPr>
          <w:lang w:val="pt-BR"/>
        </w:rPr>
        <w:t>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Abstract</w:t>
      </w:r>
    </w:p>
    <w:p>
      <w:pPr>
        <w:pStyle w:val="Normal"/>
        <w:ind w:hanging="0"/>
        <w:rPr>
          <w:i/>
          <w:i/>
          <w:iCs/>
          <w:sz w:val="22"/>
          <w:szCs w:val="22"/>
        </w:rPr>
      </w:pPr>
      <w:r>
        <w:rPr>
          <w:i/>
          <w:iCs/>
          <w:sz w:val="22"/>
          <w:szCs w:val="22"/>
        </w:rPr>
      </w:r>
    </w:p>
    <w:p>
      <w:pPr>
        <w:pStyle w:val="Normal"/>
        <w:rPr>
          <w:lang w:val="en-US"/>
        </w:rPr>
      </w:pPr>
      <w:r>
        <w:rPr>
          <w:lang w:val="pt-BR"/>
        </w:rPr>
        <w:t xml:space="preserve">The present </w:t>
      </w:r>
      <w:r>
        <w:rPr>
          <w:rFonts w:eastAsia="Times New Roman" w:cs="Times New Roman"/>
          <w:color w:val="auto"/>
          <w:kern w:val="0"/>
          <w:sz w:val="24"/>
          <w:szCs w:val="20"/>
          <w:lang w:val="pt-BR" w:eastAsia="pt-BR" w:bidi="ar-SA"/>
        </w:rPr>
        <w:t>study</w:t>
      </w:r>
      <w:r>
        <w:rPr>
          <w:lang w:val="pt-BR"/>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pt-BR" w:eastAsia="pt-BR" w:bidi="ar-SA"/>
        </w:rPr>
        <w:t>Pesquisa de Posse e Hábitos de Uso de Equipamentos Elétricos na Classe Residencial 2019</w:t>
      </w:r>
      <w:r>
        <w:rPr>
          <w:lang w:val="pt-BR"/>
        </w:rPr>
        <w:t xml:space="preserve">, adopting its premises, its way of representing equipment consumption, and also its data as </w:t>
      </w:r>
      <w:r>
        <w:rPr>
          <w:rFonts w:eastAsia="Times New Roman" w:cs="Times New Roman"/>
          <w:color w:val="auto"/>
          <w:kern w:val="0"/>
          <w:sz w:val="24"/>
          <w:szCs w:val="20"/>
          <w:lang w:val="pt-BR" w:eastAsia="pt-BR" w:bidi="ar-SA"/>
        </w:rPr>
        <w:t>default</w:t>
      </w:r>
      <w:r>
        <w:rPr>
          <w:lang w:val="pt-BR"/>
        </w:rPr>
        <w:t xml:space="preserve"> records ready for use in Simuload.</w:t>
      </w:r>
    </w:p>
    <w:p>
      <w:pPr>
        <w:pStyle w:val="Normal"/>
        <w:rPr>
          <w:lang w:val="en-US"/>
        </w:rPr>
      </w:pPr>
      <w:r>
        <w:rPr>
          <w:lang w:val="pt-BR"/>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pt-BR" w:eastAsia="pt-BR" w:bidi="ar-SA"/>
        </w:rPr>
        <w:t>building</w:t>
      </w:r>
      <w:r>
        <w:rPr>
          <w:lang w:val="pt-BR"/>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rPr>
      </w:pPr>
      <w:r>
        <w:rPr>
          <w:lang w:val="pt-BR"/>
        </w:rPr>
        <w:t xml:space="preserve">A real case study was conducted with a pair of students who used Simuload to perform a load curve simulation </w:t>
      </w:r>
      <w:r>
        <w:rPr>
          <w:rFonts w:eastAsia="Times New Roman" w:cs="Times New Roman"/>
          <w:color w:val="auto"/>
          <w:kern w:val="0"/>
          <w:sz w:val="24"/>
          <w:szCs w:val="20"/>
          <w:lang w:val="pt-BR" w:eastAsia="pt-BR" w:bidi="ar-SA"/>
        </w:rPr>
        <w:t>project</w:t>
      </w:r>
      <w:r>
        <w:rPr>
          <w:lang w:val="pt-BR"/>
        </w:rPr>
        <w:t xml:space="preserve"> in the Integrated Laboratory VI course in the 2023.1 semester of the Electrical Engineering program at UFBA. During its use, </w:t>
      </w:r>
      <w:r>
        <w:rPr>
          <w:rFonts w:eastAsia="Times New Roman" w:cs="Times New Roman"/>
          <w:color w:val="auto"/>
          <w:kern w:val="0"/>
          <w:sz w:val="24"/>
          <w:szCs w:val="20"/>
          <w:lang w:val="pt-BR" w:eastAsia="pt-BR" w:bidi="ar-SA"/>
        </w:rPr>
        <w:t>some</w:t>
      </w:r>
      <w:r>
        <w:rPr>
          <w:lang w:val="pt-BR"/>
        </w:rPr>
        <w:t xml:space="preserve"> improvement </w:t>
      </w:r>
      <w:r>
        <w:rPr>
          <w:lang w:val="pt-BR"/>
        </w:rPr>
        <w:t xml:space="preserve">points </w:t>
      </w:r>
      <w:r>
        <w:rPr>
          <w:lang w:val="pt-BR"/>
        </w:rPr>
        <w:t xml:space="preserve">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pt-BR" w:eastAsia="pt-BR" w:bidi="ar-SA"/>
        </w:rPr>
        <w:t>project execution</w:t>
      </w:r>
      <w:r>
        <w:rPr>
          <w:lang w:val="pt-BR"/>
        </w:rPr>
        <w:t xml:space="preserve">. This was the conclusion </w:t>
      </w:r>
      <w:r>
        <w:rPr>
          <w:rFonts w:eastAsia="Times New Roman" w:cs="Times New Roman"/>
          <w:color w:val="auto"/>
          <w:kern w:val="0"/>
          <w:sz w:val="24"/>
          <w:szCs w:val="20"/>
          <w:lang w:val="pt-BR" w:eastAsia="pt-BR" w:bidi="ar-SA"/>
        </w:rPr>
        <w:t>obtained</w:t>
      </w:r>
      <w:r>
        <w:rPr>
          <w:lang w:val="pt-BR"/>
        </w:rPr>
        <w:t xml:space="preserve"> from a qualitative evaluation of the use of Simuload during the case study.</w:t>
      </w:r>
    </w:p>
    <w:p>
      <w:pPr>
        <w:pStyle w:val="Normal"/>
        <w:rPr>
          <w:lang w:val="en-US"/>
        </w:rPr>
      </w:pPr>
      <w:r>
        <w:rPr/>
      </w:r>
    </w:p>
    <w:p>
      <w:pPr>
        <w:pStyle w:val="Normal"/>
        <w:rPr>
          <w:i/>
          <w:i/>
          <w:iCs/>
          <w:sz w:val="22"/>
          <w:szCs w:val="22"/>
        </w:rPr>
      </w:pPr>
      <w:r>
        <w:rPr>
          <w:b/>
          <w:bCs/>
          <w:lang w:val="pt-BR"/>
        </w:rPr>
        <w:t>Keywords</w:t>
      </w:r>
      <w:r>
        <w:rPr>
          <w:lang w:val="pt-BR"/>
        </w:rPr>
        <w:t xml:space="preserve">: </w:t>
      </w:r>
      <w:r>
        <w:rPr>
          <w:rFonts w:eastAsia="Times New Roman" w:cs="Times New Roman"/>
          <w:color w:val="auto"/>
          <w:kern w:val="0"/>
          <w:sz w:val="24"/>
          <w:szCs w:val="20"/>
          <w:lang w:val="pt-BR" w:eastAsia="pt-BR" w:bidi="ar-SA"/>
        </w:rPr>
        <w:t>Simuload</w:t>
      </w:r>
      <w:r>
        <w:rPr>
          <w:lang w:val="pt-BR"/>
        </w:rPr>
        <w:t xml:space="preserve">, </w:t>
      </w:r>
      <w:r>
        <w:rPr>
          <w:rFonts w:eastAsia="Times New Roman" w:cs="Times New Roman"/>
          <w:color w:val="auto"/>
          <w:kern w:val="0"/>
          <w:sz w:val="24"/>
          <w:szCs w:val="20"/>
          <w:lang w:val="pt-BR" w:eastAsia="pt-BR" w:bidi="ar-SA"/>
        </w:rPr>
        <w:t>load curve simulation</w:t>
      </w:r>
      <w:r>
        <w:rPr>
          <w:lang w:val="pt-BR"/>
        </w:rPr>
        <w:t xml:space="preserve">, </w:t>
      </w:r>
      <w:r>
        <w:rPr>
          <w:rFonts w:eastAsia="Times New Roman" w:cs="Times New Roman"/>
          <w:color w:val="auto"/>
          <w:kern w:val="0"/>
          <w:sz w:val="24"/>
          <w:szCs w:val="20"/>
          <w:lang w:val="pt-BR" w:eastAsia="pt-BR" w:bidi="ar-SA"/>
        </w:rPr>
        <w:t>electrical distribution, didactic software, simulation software</w:t>
      </w:r>
      <w:r>
        <w:rPr>
          <w:lang w:val="pt-BR"/>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10</w:t>
        </w:r>
      </w:hyperlink>
    </w:p>
    <w:p>
      <w:pPr>
        <w:pStyle w:val="Ndice1defigura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14</w:t>
        </w:r>
      </w:hyperlink>
    </w:p>
    <w:p>
      <w:pPr>
        <w:pStyle w:val="Ndice1defigura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19</w:t>
        </w:r>
      </w:hyperlink>
    </w:p>
    <w:p>
      <w:pPr>
        <w:pStyle w:val="Ndice1defigura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20</w:t>
        </w:r>
      </w:hyperlink>
    </w:p>
    <w:p>
      <w:pPr>
        <w:pStyle w:val="Ndice1defigura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20</w:t>
        </w:r>
      </w:hyperlink>
    </w:p>
    <w:p>
      <w:pPr>
        <w:pStyle w:val="Ndice1defigura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21</w:t>
        </w:r>
      </w:hyperlink>
    </w:p>
    <w:p>
      <w:pPr>
        <w:pStyle w:val="Ndice1defigura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22</w:t>
        </w:r>
      </w:hyperlink>
    </w:p>
    <w:p>
      <w:pPr>
        <w:pStyle w:val="Ndice1defigura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22</w:t>
        </w:r>
      </w:hyperlink>
    </w:p>
    <w:p>
      <w:pPr>
        <w:pStyle w:val="Ndice1defigura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23</w:t>
        </w:r>
      </w:hyperlink>
    </w:p>
    <w:p>
      <w:pPr>
        <w:pStyle w:val="Ndice1defigura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24</w:t>
        </w:r>
      </w:hyperlink>
    </w:p>
    <w:p>
      <w:pPr>
        <w:pStyle w:val="Ndice1defigura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25</w:t>
        </w:r>
      </w:hyperlink>
    </w:p>
    <w:p>
      <w:pPr>
        <w:pStyle w:val="Ndice1defigura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26</w:t>
        </w:r>
      </w:hyperlink>
    </w:p>
    <w:p>
      <w:pPr>
        <w:pStyle w:val="Ndice1defigura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26</w:t>
        </w:r>
      </w:hyperlink>
    </w:p>
    <w:p>
      <w:pPr>
        <w:pStyle w:val="Ndice1defiguras"/>
        <w:rPr/>
      </w:pPr>
      <w:hyperlink w:anchor="Fig.!18|sequence">
        <w:r>
          <w:rPr>
            <w:rStyle w:val="Vnculodendice"/>
            <w:i/>
            <w:iCs/>
          </w:rPr>
          <w:t xml:space="preserve">Fig. 19 </w:t>
        </w:r>
        <w:r>
          <w:rPr>
            <w:rStyle w:val="Vnculodendice"/>
            <w:i/>
            <w:iCs/>
          </w:rPr>
          <w:t xml:space="preserve">Gráfico </w:t>
        </w:r>
        <w:r>
          <w:rPr>
            <w:rStyle w:val="Vnculodendice"/>
            <w:i/>
            <w:iCs/>
          </w:rPr>
          <w:t>da curva padrão e transformador do tipo 1 registrados no Simuload no intervalo de simulação de 1 hora.</w:t>
        </w:r>
        <w:r>
          <w:rPr>
            <w:rStyle w:val="Vnculodendice"/>
          </w:rPr>
          <w:tab/>
          <w:t>28</w:t>
        </w:r>
      </w:hyperlink>
    </w:p>
    <w:p>
      <w:pPr>
        <w:pStyle w:val="Ndice1defiguras"/>
        <w:rPr/>
      </w:pPr>
      <w:hyperlink w:anchor="Fig.!19|sequence">
        <w:r>
          <w:rPr>
            <w:rStyle w:val="Vnculodendice"/>
            <w:i/>
            <w:iCs/>
          </w:rPr>
          <w:t xml:space="preserve">Fig. 20 </w:t>
        </w:r>
        <w:r>
          <w:rPr>
            <w:rStyle w:val="Vnculodendice"/>
            <w:i/>
            <w:iCs/>
          </w:rPr>
          <w:t xml:space="preserve">Gráfico </w:t>
        </w:r>
        <w:r>
          <w:rPr>
            <w:rStyle w:val="Vnculodendice"/>
            <w:i/>
            <w:iCs/>
          </w:rPr>
          <w:t>da curva padrão e transformador do tipo 1 registrados no Simuload no intervalo de simulação de 30 minutos.</w:t>
        </w:r>
        <w:r>
          <w:rPr>
            <w:rStyle w:val="Vnculodendice"/>
          </w:rPr>
          <w:tab/>
          <w:t>28</w:t>
        </w:r>
      </w:hyperlink>
    </w:p>
    <w:p>
      <w:pPr>
        <w:pStyle w:val="Ndice1defiguras"/>
        <w:rPr/>
      </w:pPr>
      <w:hyperlink w:anchor="Fig.!20|sequence">
        <w:r>
          <w:rPr>
            <w:rStyle w:val="Vnculodendice"/>
            <w:i/>
            <w:iCs/>
          </w:rPr>
          <w:t xml:space="preserve">Fig. 21 </w:t>
        </w:r>
        <w:r>
          <w:rPr>
            <w:rStyle w:val="Vnculodendice"/>
            <w:i/>
            <w:iCs/>
          </w:rPr>
          <w:t xml:space="preserve">Gráfico </w:t>
        </w:r>
        <w:r>
          <w:rPr>
            <w:rStyle w:val="Vnculodendice"/>
            <w:i/>
            <w:iCs/>
          </w:rPr>
          <w:t xml:space="preserve">da curva padrão e transformador do tipo 1 registrados no Simuload no intervalo de simulação de </w:t>
        </w:r>
        <w:r>
          <w:rPr>
            <w:rStyle w:val="Vnculodendice"/>
            <w:i/>
            <w:iCs/>
          </w:rPr>
          <w:t>15 minutos</w:t>
        </w:r>
        <w:r>
          <w:rPr>
            <w:rStyle w:val="Vnculodendice"/>
            <w:i/>
            <w:iCs/>
          </w:rPr>
          <w:t>.</w:t>
        </w:r>
        <w:r>
          <w:rPr>
            <w:rStyle w:val="Vnculodendice"/>
          </w:rPr>
          <w:tab/>
          <w:t>29</w:t>
        </w:r>
      </w:hyperlink>
    </w:p>
    <w:p>
      <w:pPr>
        <w:pStyle w:val="Ndice1defiguras"/>
        <w:rPr/>
      </w:pPr>
      <w:hyperlink w:anchor="Fig.!21|sequence">
        <w:r>
          <w:rPr>
            <w:rStyle w:val="Vnculodendice"/>
            <w:i/>
            <w:iCs/>
          </w:rPr>
          <w:t xml:space="preserve">Fig. 22 </w:t>
        </w:r>
        <w:r>
          <w:rPr>
            <w:rStyle w:val="Vnculodendice"/>
            <w:i/>
            <w:iCs/>
          </w:rPr>
          <w:t xml:space="preserve">Gráfico </w:t>
        </w:r>
        <w:r>
          <w:rPr>
            <w:rStyle w:val="Vnculodendice"/>
            <w:i/>
            <w:iCs/>
          </w:rPr>
          <w:t>da curva padrão e transformador do tipo 1 registrados no Simuload no intervalo de simulação de 5 minutos.</w:t>
        </w:r>
        <w:r>
          <w:rPr>
            <w:rStyle w:val="Vnculodendice"/>
          </w:rPr>
          <w:tab/>
          <w:t>29</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8</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11</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12</w:t>
            </w:r>
          </w:hyperlink>
        </w:p>
        <w:p>
          <w:pPr>
            <w:pStyle w:val="Sumrio2"/>
            <w:tabs>
              <w:tab w:val="clear" w:pos="720"/>
              <w:tab w:val="right" w:pos="9071" w:leader="dot"/>
            </w:tabs>
            <w:rPr/>
          </w:pPr>
          <w:hyperlink w:anchor="__RefHeading___Toc556_3461207297">
            <w:r>
              <w:rPr>
                <w:webHidden/>
                <w:rStyle w:val="Vnculodendice"/>
              </w:rPr>
              <w:t>4.3 Mapeamento de dados</w:t>
              <w:tab/>
              <w:t>13</w:t>
            </w:r>
          </w:hyperlink>
        </w:p>
        <w:p>
          <w:pPr>
            <w:pStyle w:val="Sumrio2"/>
            <w:tabs>
              <w:tab w:val="clear" w:pos="720"/>
              <w:tab w:val="right" w:pos="9071" w:leader="dot"/>
            </w:tabs>
            <w:rPr/>
          </w:pPr>
          <w:hyperlink w:anchor="__RefHeading___Toc558_3461207297">
            <w:r>
              <w:rPr>
                <w:webHidden/>
                <w:rStyle w:val="Vnculodendice"/>
              </w:rPr>
              <w:t>4.4 Algoritmo de aleatoriedade</w:t>
              <w:tab/>
              <w:t>14</w:t>
            </w:r>
          </w:hyperlink>
        </w:p>
        <w:p>
          <w:pPr>
            <w:pStyle w:val="Sumrio2"/>
            <w:tabs>
              <w:tab w:val="clear" w:pos="720"/>
              <w:tab w:val="right" w:pos="9071" w:leader="dot"/>
            </w:tabs>
            <w:rPr/>
          </w:pPr>
          <w:hyperlink w:anchor="__RefHeading___Toc3979_2898883715">
            <w:r>
              <w:rPr>
                <w:webHidden/>
                <w:rStyle w:val="Vnculodendice"/>
              </w:rPr>
              <w:t>4.5 Versionamento de código</w:t>
              <w:tab/>
              <w:t>16</w:t>
            </w:r>
          </w:hyperlink>
        </w:p>
        <w:p>
          <w:pPr>
            <w:pStyle w:val="Sumrio1"/>
            <w:tabs>
              <w:tab w:val="clear" w:pos="720"/>
              <w:tab w:val="right" w:pos="9071" w:leader="dot"/>
            </w:tabs>
            <w:rPr/>
          </w:pPr>
          <w:hyperlink w:anchor="__RefHeading___Toc809_3772085703">
            <w:r>
              <w:rPr>
                <w:webHidden/>
                <w:rStyle w:val="Vnculodendice"/>
              </w:rPr>
              <w:t>Capítulo 5: Estudo de Caso</w:t>
              <w:tab/>
              <w:t>18</w:t>
            </w:r>
          </w:hyperlink>
        </w:p>
        <w:p>
          <w:pPr>
            <w:pStyle w:val="Sumrio2"/>
            <w:tabs>
              <w:tab w:val="clear" w:pos="720"/>
              <w:tab w:val="right" w:pos="9071" w:leader="dot"/>
            </w:tabs>
            <w:rPr/>
          </w:pPr>
          <w:hyperlink w:anchor="__RefHeading___Toc811_3772085703">
            <w:r>
              <w:rPr>
                <w:webHidden/>
                <w:rStyle w:val="Vnculodendice"/>
              </w:rPr>
              <w:t>5.1 Simulando com outros softwares</w:t>
              <w:tab/>
              <w:t>18</w:t>
            </w:r>
          </w:hyperlink>
        </w:p>
        <w:p>
          <w:pPr>
            <w:pStyle w:val="Sumrio2"/>
            <w:tabs>
              <w:tab w:val="clear" w:pos="720"/>
              <w:tab w:val="right" w:pos="9071" w:leader="dot"/>
            </w:tabs>
            <w:rPr/>
          </w:pPr>
          <w:hyperlink w:anchor="__RefHeading___Toc560_3461207297">
            <w:r>
              <w:rPr>
                <w:webHidden/>
                <w:rStyle w:val="Vnculodendice"/>
              </w:rPr>
              <w:t>5.2 Aplicação do Simuload</w:t>
              <w:tab/>
              <w:t>21</w:t>
            </w:r>
          </w:hyperlink>
        </w:p>
        <w:p>
          <w:pPr>
            <w:pStyle w:val="Sumrio2"/>
            <w:tabs>
              <w:tab w:val="clear" w:pos="720"/>
              <w:tab w:val="right" w:pos="9071" w:leader="dot"/>
            </w:tabs>
            <w:rPr/>
          </w:pPr>
          <w:hyperlink w:anchor="__RefHeading___Toc562_3461207297">
            <w:r>
              <w:rPr>
                <w:webHidden/>
                <w:rStyle w:val="Vnculodendice"/>
              </w:rPr>
              <w:t>5.3 Resultados e comparações</w:t>
              <w:tab/>
              <w:t>30</w:t>
            </w:r>
          </w:hyperlink>
        </w:p>
        <w:p>
          <w:pPr>
            <w:pStyle w:val="Sumrio1"/>
            <w:tabs>
              <w:tab w:val="clear" w:pos="720"/>
              <w:tab w:val="right" w:pos="9071" w:leader="dot"/>
            </w:tabs>
            <w:rPr/>
          </w:pPr>
          <w:hyperlink w:anchor="__RefHeading___Toc815_3772085703">
            <w:r>
              <w:rPr>
                <w:webHidden/>
                <w:rStyle w:val="Vnculodendice"/>
              </w:rPr>
              <w:t>Capítulo 6: Conclusão</w:t>
              <w:tab/>
              <w:t>32</w:t>
            </w:r>
          </w:hyperlink>
        </w:p>
        <w:p>
          <w:pPr>
            <w:pStyle w:val="Sumrio2"/>
            <w:tabs>
              <w:tab w:val="clear" w:pos="720"/>
              <w:tab w:val="right" w:pos="9071" w:leader="dot"/>
            </w:tabs>
            <w:rPr/>
          </w:pPr>
          <w:hyperlink w:anchor="__RefHeading___Toc817_3772085703">
            <w:r>
              <w:rPr>
                <w:webHidden/>
                <w:rStyle w:val="Vnculodendice"/>
              </w:rPr>
              <w:t>6.1 Objetivos e metodologia</w:t>
              <w:tab/>
              <w:t>32</w:t>
            </w:r>
          </w:hyperlink>
        </w:p>
        <w:p>
          <w:pPr>
            <w:pStyle w:val="Sumrio2"/>
            <w:tabs>
              <w:tab w:val="clear" w:pos="720"/>
              <w:tab w:val="right" w:pos="9071" w:leader="dot"/>
            </w:tabs>
            <w:rPr/>
          </w:pPr>
          <w:hyperlink w:anchor="__RefHeading___Toc817_37720857031">
            <w:r>
              <w:rPr>
                <w:webHidden/>
                <w:rStyle w:val="Vnculodendice"/>
              </w:rPr>
              <w:t>6.2 Considerações finais</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36</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38</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39</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w:t>
      </w:r>
      <w:r>
        <w:rPr>
          <w:i/>
          <w:iCs/>
          <w:lang w:val="pt-BR" w:eastAsia="ar-SA"/>
        </w:rPr>
        <w:t>Unified Modeling Language</w:t>
      </w:r>
      <w:r>
        <w:rPr>
          <w:lang w:val="pt-BR" w:eastAsia="ar-SA"/>
        </w:rPr>
        <w:t>) abaixo, desenhado através da ferramenta Miro.</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w:t>
      </w:r>
      <w:r>
        <w:rPr>
          <w:i/>
          <w:iCs/>
          <w:lang w:val="pt-BR" w:eastAsia="ar-SA"/>
        </w:rPr>
        <w:t>Visual Studio Code</w:t>
      </w:r>
      <w:r>
        <w:rPr>
          <w:lang w:val="pt-BR" w:eastAsia="ar-SA"/>
        </w:rPr>
        <w:t xml:space="preserv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 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numPr>
          <w:ilvl w:val="0"/>
          <w:numId w:val="0"/>
        </w:numPr>
        <w:ind w:left="720" w:hanging="0"/>
        <w:rPr>
          <w:lang w:val="en-US" w:eastAsia="ar-SA"/>
        </w:rPr>
      </w:pPr>
      <w:r>
        <w:rPr>
          <w:lang w:val="en-US" w:eastAsia="ar-SA"/>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do Procel e potência mapeadas pela norma SM04.14-01.001 12ª edição da Neoenergia em seu anexo I,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
      <w:bookmarkEnd w:id="53"/>
      <w:r>
        <w:rPr>
          <w:rFonts w:eastAsia="" w:cs="" w:cstheme="majorBidi" w:eastAsiaTheme="majorEastAsia"/>
          <w:b/>
          <w:color w:val="auto"/>
          <w:kern w:val="0"/>
          <w:sz w:val="28"/>
          <w:szCs w:val="26"/>
          <w:lang w:val="pt-BR" w:eastAsia="pt-BR" w:bidi="ar-SA"/>
        </w:rPr>
        <w:t>Objetivos e metodologia</w:t>
      </w:r>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2"/>
        <w:numPr>
          <w:ilvl w:val="1"/>
          <w:numId w:val="2"/>
        </w:numPr>
        <w:rPr>
          <w:b/>
          <w:b/>
          <w:bCs/>
          <w:sz w:val="36"/>
          <w:szCs w:val="36"/>
        </w:rPr>
      </w:pPr>
      <w:bookmarkStart w:id="54" w:name="__RefHeading___Toc817_37720857031"/>
      <w:bookmarkEnd w:id="54"/>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p>
    <w:p>
      <w:pPr>
        <w:pStyle w:val="Normal"/>
        <w:spacing w:lineRule="auto" w:line="259" w:before="0" w:after="160"/>
        <w:ind w:hanging="0"/>
        <w:jc w:val="left"/>
        <w:rPr>
          <w:lang w:val="en-US" w:eastAsia="ar-SA"/>
        </w:rPr>
      </w:pPr>
      <w:r>
        <w:rPr>
          <w:lang w:val="en-US"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5" w:name="__RefHeading___Toc821_3772085703"/>
      <w:bookmarkStart w:id="56" w:name="_Toc65702351"/>
      <w:bookmarkEnd w:id="55"/>
      <w:r>
        <w:rPr>
          <w:rFonts w:cs="Calibri" w:ascii="Calibri" w:hAnsi="Calibri" w:asciiTheme="minorHAnsi" w:cstheme="minorHAnsi" w:hAnsiTheme="minorHAnsi"/>
          <w:sz w:val="36"/>
          <w:szCs w:val="36"/>
          <w:lang w:val="pt-BR" w:eastAsia="ar-SA"/>
        </w:rPr>
        <w:t>Referências</w:t>
      </w:r>
      <w:bookmarkEnd w:id="56"/>
    </w:p>
    <w:p>
      <w:pPr>
        <w:pStyle w:val="Normal"/>
        <w:rPr>
          <w:lang w:val="en-US" w:eastAsia="ar-SA"/>
        </w:rPr>
      </w:pPr>
      <w:r>
        <w:rPr>
          <w:lang w:val="en-US"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r>
        <w:br w:type="page"/>
      </w:r>
    </w:p>
    <w:p>
      <w:pPr>
        <w:pStyle w:val="Ttulo1"/>
        <w:numPr>
          <w:ilvl w:val="0"/>
          <w:numId w:val="0"/>
        </w:numPr>
        <w:ind w:left="0" w:right="0" w:hanging="0"/>
        <w:rPr>
          <w:lang w:val="pt-BR"/>
        </w:rPr>
      </w:pPr>
      <w:bookmarkStart w:id="57" w:name="__RefHeading___Toc3981_2898883715"/>
      <w:bookmarkStart w:id="58" w:name="_Toc65702352"/>
      <w:bookmarkEnd w:id="57"/>
      <w:r>
        <w:rPr>
          <w:lang w:val="pt-BR" w:eastAsia="ar-SA"/>
        </w:rPr>
        <w:t xml:space="preserve">Apêndice A – </w:t>
      </w:r>
      <w:bookmarkEnd w:id="58"/>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9" w:name="__RefHeading___Toc1137_2898883715"/>
      <w:bookmarkStart w:id="60" w:name="_Toc657023527"/>
      <w:bookmarkEnd w:id="59"/>
      <w:r>
        <w:rPr>
          <w:lang w:val="pt-BR" w:eastAsia="ar-SA"/>
        </w:rPr>
        <w:t xml:space="preserve">Apêndice B – </w:t>
      </w:r>
      <w:bookmarkEnd w:id="60"/>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1" w:name="__RefHeading___Toc1139_2898883715"/>
      <w:bookmarkStart w:id="62" w:name="_Toc657023522"/>
      <w:bookmarkEnd w:id="61"/>
      <w:r>
        <w:rPr>
          <w:b/>
          <w:color w:val="auto"/>
          <w:kern w:val="0"/>
          <w:sz w:val="44"/>
          <w:szCs w:val="32"/>
          <w:lang w:val="pt-BR" w:eastAsia="ar-SA" w:bidi="ar-SA"/>
        </w:rPr>
        <w:t xml:space="preserve">Apêndice C – </w:t>
      </w:r>
      <w:bookmarkEnd w:id="62"/>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68467622"/>
    </w:sdtPr>
    <w:sdtContent>
      <w:p>
        <w:pPr>
          <w:pStyle w:val="Rodap"/>
          <w:jc w:val="right"/>
          <w:rPr>
            <w:lang w:val="pt-BR"/>
          </w:rPr>
        </w:pPr>
        <w:r>
          <w:rPr/>
          <w:fldChar w:fldCharType="begin"/>
        </w:r>
        <w:r>
          <w:rPr/>
          <w:instrText> PAGE </w:instrText>
        </w:r>
        <w:r>
          <w:rPr/>
          <w:fldChar w:fldCharType="separate"/>
        </w:r>
        <w:r>
          <w:rPr/>
          <w:t>2</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43563440"/>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Application>LibreOffice/7.1.0.3$Windows_X86_64 LibreOffice_project/f6099ecf3d29644b5008cc8f48f42f4a40986e4c</Application>
  <AppVersion>15.0000</AppVersion>
  <Pages>62</Pages>
  <Words>9115</Words>
  <Characters>49940</Characters>
  <CharactersWithSpaces>59564</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2023-07-07T22:27:23Z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