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31"/>
        <w:gridCol w:w="6258"/>
        <w:gridCol w:w="1877"/>
      </w:tblGrid>
      <w:tr>
        <w:trPr/>
        <w:tc>
          <w:tcPr>
            <w:tcW w:w="1331" w:type="dxa"/>
            <w:tcBorders/>
            <w:vAlign w:val="center"/>
          </w:tcPr>
          <w:p>
            <w:pPr>
              <w:pStyle w:val="Cabealho"/>
              <w:widowControl w:val="false"/>
              <w:rPr>
                <w:b/>
                <w:b/>
                <w:bCs/>
              </w:rPr>
            </w:pPr>
            <w:r>
              <w:rPr>
                <w:b/>
                <w:bCs/>
                <w:lang w:val="pt-BR"/>
              </w:rPr>
            </w:r>
          </w:p>
        </w:tc>
        <w:tc>
          <w:tcPr>
            <w:tcW w:w="6258"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2"/>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77" w:type="dxa"/>
            <w:tcBorders/>
            <w:vAlign w:val="center"/>
          </w:tcPr>
          <w:p>
            <w:pPr>
              <w:pStyle w:val="Cabealho"/>
              <w:widowControl w:val="false"/>
              <w:jc w:val="center"/>
              <w:rPr>
                <w:b/>
                <w:b/>
                <w:bCs/>
              </w:rPr>
            </w:pPr>
            <w:r>
              <w:rPr>
                <w:b/>
                <w:bCs/>
                <w:lang w:val="pt-BR"/>
              </w:rPr>
              <w:drawing>
                <wp:anchor behindDoc="0" distT="0" distB="0" distL="0" distR="0" simplePos="0" locked="0" layoutInCell="1" allowOverlap="1" relativeHeight="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3"/>
        </w:numPr>
        <w:tabs>
          <w:tab w:val="clear" w:pos="4419"/>
          <w:tab w:val="clear" w:pos="8838"/>
        </w:tabs>
        <w:jc w:val="center"/>
        <w:rPr>
          <w:b/>
          <w:b/>
          <w:bCs/>
          <w:sz w:val="36"/>
          <w:szCs w:val="36"/>
        </w:rPr>
      </w:pPr>
      <w:r>
        <w:rPr>
          <w:b/>
          <w:bCs/>
          <w:sz w:val="36"/>
          <w:szCs w:val="36"/>
          <w:lang w:val="pt-BR"/>
        </w:rPr>
      </w:r>
    </w:p>
    <w:p>
      <w:pPr>
        <w:pStyle w:val="Cabealho"/>
        <w:numPr>
          <w:ilvl w:val="0"/>
          <w:numId w:val="34"/>
        </w:numPr>
        <w:tabs>
          <w:tab w:val="clear" w:pos="4419"/>
          <w:tab w:val="clear" w:pos="8838"/>
        </w:tabs>
        <w:jc w:val="center"/>
        <w:rPr>
          <w:b/>
          <w:b/>
          <w:bCs/>
          <w:sz w:val="36"/>
          <w:szCs w:val="36"/>
        </w:rPr>
      </w:pPr>
      <w:r>
        <w:rPr>
          <w:b/>
          <w:bCs/>
          <w:sz w:val="36"/>
          <w:szCs w:val="36"/>
          <w:lang w:val="pt-BR"/>
        </w:rPr>
      </w:r>
    </w:p>
    <w:p>
      <w:pPr>
        <w:pStyle w:val="Cabealho"/>
        <w:numPr>
          <w:ilvl w:val="0"/>
          <w:numId w:val="35"/>
        </w:numPr>
        <w:tabs>
          <w:tab w:val="clear" w:pos="4419"/>
          <w:tab w:val="clear" w:pos="8838"/>
        </w:tabs>
        <w:jc w:val="center"/>
        <w:rPr>
          <w:b/>
          <w:b/>
          <w:bCs/>
          <w:sz w:val="36"/>
          <w:szCs w:val="36"/>
        </w:rPr>
      </w:pPr>
      <w:r>
        <w:rPr>
          <w:b/>
          <w:bCs/>
          <w:sz w:val="36"/>
          <w:szCs w:val="36"/>
          <w:lang w:val="pt-BR"/>
        </w:rPr>
      </w:r>
    </w:p>
    <w:p>
      <w:pPr>
        <w:pStyle w:val="Cabealho"/>
        <w:numPr>
          <w:ilvl w:val="0"/>
          <w:numId w:val="36"/>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37"/>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lang w:val="pt-BR"/>
        </w:rPr>
      </w:r>
    </w:p>
    <w:p>
      <w:pPr>
        <w:pStyle w:val="Cabealho"/>
        <w:tabs>
          <w:tab w:val="clear" w:pos="4419"/>
          <w:tab w:val="clear" w:pos="8838"/>
        </w:tabs>
        <w:jc w:val="center"/>
        <w:rPr>
          <w:b/>
          <w:b/>
          <w:sz w:val="36"/>
          <w:szCs w:val="36"/>
        </w:rPr>
      </w:pPr>
      <w:r>
        <w:rPr>
          <w:b/>
          <w:sz w:val="36"/>
          <w:szCs w:val="36"/>
          <w:lang w:val="pt-BR"/>
        </w:rPr>
      </w:r>
    </w:p>
    <w:p>
      <w:pPr>
        <w:pStyle w:val="Cabealho"/>
        <w:numPr>
          <w:ilvl w:val="0"/>
          <w:numId w:val="38"/>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lang w:val="pt-BR"/>
        </w:rPr>
      </w:r>
    </w:p>
    <w:p>
      <w:pPr>
        <w:pStyle w:val="Cabealho"/>
        <w:tabs>
          <w:tab w:val="clear" w:pos="4419"/>
          <w:tab w:val="clear" w:pos="8838"/>
        </w:tabs>
        <w:jc w:val="center"/>
        <w:rPr>
          <w:b/>
          <w:b/>
          <w:bCs/>
          <w:sz w:val="32"/>
          <w:szCs w:val="32"/>
        </w:rPr>
      </w:pPr>
      <w:r>
        <w:rPr>
          <w:b/>
          <w:bCs/>
          <w:sz w:val="32"/>
          <w:szCs w:val="32"/>
          <w:lang w:val="pt-BR"/>
        </w:rPr>
      </w:r>
    </w:p>
    <w:p>
      <w:pPr>
        <w:pStyle w:val="Cabealho"/>
        <w:tabs>
          <w:tab w:val="clear" w:pos="4419"/>
          <w:tab w:val="clear" w:pos="8838"/>
        </w:tabs>
        <w:jc w:val="center"/>
        <w:rPr>
          <w:b/>
          <w:b/>
          <w:bCs/>
          <w:sz w:val="32"/>
          <w:szCs w:val="32"/>
        </w:rPr>
      </w:pPr>
      <w:r>
        <w:rPr>
          <w:b/>
          <w:bCs/>
          <w:sz w:val="32"/>
          <w:szCs w:val="32"/>
          <w:lang w:val="pt-BR"/>
        </w:rPr>
      </w:r>
    </w:p>
    <w:p>
      <w:pPr>
        <w:pStyle w:val="Cabealho"/>
        <w:numPr>
          <w:ilvl w:val="0"/>
          <w:numId w:val="39"/>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0"/>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30</w:t>
      </w:r>
      <w:r>
        <w:rPr>
          <w:b/>
          <w:bCs/>
          <w:sz w:val="28"/>
          <w:szCs w:val="28"/>
          <w:lang w:val="pt-BR"/>
        </w:rPr>
        <w:t xml:space="preserve"> de </w:t>
      </w:r>
      <w:r>
        <w:rPr>
          <w:rFonts w:eastAsia="Times New Roman" w:cs="Times New Roman"/>
          <w:b/>
          <w:bCs/>
          <w:sz w:val="28"/>
          <w:szCs w:val="28"/>
          <w:lang w:val="pt-BR" w:eastAsia="ar-SA"/>
        </w:rPr>
        <w:t>Junho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1"/>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2"/>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3"/>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4"/>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5"/>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30 de </w:t>
      </w:r>
      <w:r>
        <w:rPr>
          <w:rFonts w:eastAsia="Times New Roman" w:cs="Times New Roman"/>
          <w:b/>
          <w:bCs/>
          <w:sz w:val="28"/>
          <w:szCs w:val="28"/>
          <w:lang w:val="pt-BR" w:eastAsia="ar-SA"/>
        </w:rPr>
        <w:t xml:space="preserve">Junho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val="pt-BR" w:eastAsia="ar-SA"/>
        </w:rPr>
      </w:r>
      <w:r>
        <w:br w:type="page"/>
      </w:r>
    </w:p>
    <w:p>
      <w:pPr>
        <w:pStyle w:val="Cabealho"/>
        <w:numPr>
          <w:ilvl w:val="0"/>
          <w:numId w:val="46"/>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7"/>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30</w:t>
      </w:r>
      <w:r>
        <w:rPr>
          <w:szCs w:val="24"/>
          <w:lang w:val="pt-BR"/>
        </w:rPr>
        <w:t xml:space="preserve"> de </w:t>
      </w:r>
      <w:r>
        <w:rPr>
          <w:rFonts w:eastAsia="Times New Roman" w:cs="Times New Roman"/>
          <w:sz w:val="24"/>
          <w:szCs w:val="24"/>
          <w:lang w:val="pt-BR" w:eastAsia="ar-SA"/>
        </w:rPr>
        <w:t xml:space="preserve">Junho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W</w:t>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X</w:t>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numPr>
          <w:ilvl w:val="0"/>
          <w:numId w:val="48"/>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9"/>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30 de </w:t>
      </w:r>
      <w:r>
        <w:rPr>
          <w:rFonts w:eastAsia="Times New Roman" w:cs="Times New Roman"/>
          <w:b/>
          <w:bCs/>
          <w:sz w:val="28"/>
          <w:szCs w:val="28"/>
          <w:lang w:val="pt-BR" w:eastAsia="ar-SA"/>
        </w:rPr>
        <w:t xml:space="preserve">Junho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val="pt-BR"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Cabealho"/>
        <w:numPr>
          <w:ilvl w:val="0"/>
          <w:numId w:val="51"/>
        </w:numPr>
        <w:tabs>
          <w:tab w:val="clear" w:pos="4419"/>
          <w:tab w:val="clear" w:pos="8838"/>
        </w:tabs>
        <w:ind w:left="964" w:right="907" w:firstLine="737"/>
        <w:jc w:val="center"/>
        <w:rPr>
          <w:i/>
          <w:i/>
          <w:iCs/>
          <w:sz w:val="22"/>
          <w:szCs w:val="22"/>
        </w:rPr>
      </w:pPr>
      <w:r>
        <w:rPr>
          <w:i/>
          <w:iCs/>
          <w:sz w:val="22"/>
          <w:szCs w:val="22"/>
          <w:lang w:val="pt-BR"/>
        </w:rPr>
        <w:t xml:space="preserve">Este trabalho é dedicado... </w:t>
      </w:r>
    </w:p>
    <w:p>
      <w:pPr>
        <w:pStyle w:val="Normal"/>
        <w:spacing w:lineRule="auto" w:line="259" w:before="0" w:after="160"/>
        <w:jc w:val="left"/>
        <w:rPr>
          <w:i/>
          <w:i/>
          <w:iCs/>
          <w:sz w:val="22"/>
          <w:szCs w:val="22"/>
          <w:lang w:eastAsia="ar-SA"/>
        </w:rPr>
      </w:pPr>
      <w:r>
        <w:rPr>
          <w:i/>
          <w:iCs/>
          <w:sz w:val="22"/>
          <w:szCs w:val="22"/>
          <w:lang w:val="pt-BR" w:eastAsia="ar-SA"/>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lang w:val="pt-BR"/>
        </w:rPr>
      </w:r>
    </w:p>
    <w:p>
      <w:pPr>
        <w:pStyle w:val="Normal"/>
        <w:rPr>
          <w:i/>
          <w:i/>
          <w:iCs/>
          <w:sz w:val="22"/>
          <w:szCs w:val="22"/>
        </w:rPr>
      </w:pPr>
      <w:r>
        <w:rPr>
          <w:i/>
          <w:iCs/>
          <w:sz w:val="22"/>
          <w:szCs w:val="22"/>
          <w:lang w:val="pt-BR"/>
        </w:rPr>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i/>
          <w:i/>
          <w:iCs/>
          <w:sz w:val="22"/>
          <w:szCs w:val="22"/>
        </w:rPr>
      </w:pPr>
      <w:r>
        <w:rPr>
          <w:lang w:val="pt-BR"/>
        </w:rPr>
        <w:t>Agradeço por ter saúde...</w:t>
      </w:r>
    </w:p>
    <w:p>
      <w:pPr>
        <w:pStyle w:val="Normal"/>
        <w:ind w:left="6521" w:hanging="0"/>
        <w:jc w:val="right"/>
        <w:rPr>
          <w:i/>
          <w:i/>
          <w:iCs/>
          <w:sz w:val="22"/>
          <w:szCs w:val="22"/>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vAlign w:val="bottom"/>
          <w:textDirection w:val="lrTb"/>
          <w:docGrid w:type="default" w:linePitch="360" w:charSpace="0"/>
        </w:sect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Cabealho"/>
        <w:numPr>
          <w:ilvl w:val="0"/>
          <w:numId w:val="53"/>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lang w:val="pt-BR"/>
        </w:rPr>
      </w:r>
    </w:p>
    <w:p>
      <w:pPr>
        <w:pStyle w:val="Normal"/>
        <w:rPr>
          <w:i/>
          <w:i/>
          <w:iCs/>
          <w:sz w:val="22"/>
          <w:szCs w:val="22"/>
        </w:rPr>
      </w:pPr>
      <w:r>
        <w:rPr>
          <w:lang w:val="pt-BR"/>
        </w:rPr>
        <w:t>O resumo deve ressaltar o objetivo, o método, os resultados e as conclusões do documento.</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rPr>
      </w:pPr>
      <w:r>
        <w:rPr>
          <w:lang w:val="pt-BR"/>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rPr>
      </w:pPr>
      <w:r>
        <w:rPr>
          <w:lang w:val="pt-BR"/>
        </w:rPr>
      </w:r>
    </w:p>
    <w:p>
      <w:pPr>
        <w:pStyle w:val="Normal"/>
        <w:rPr>
          <w:i/>
          <w:i/>
          <w:iCs/>
          <w:sz w:val="22"/>
          <w:szCs w:val="22"/>
        </w:rPr>
      </w:pPr>
      <w:r>
        <w:rPr>
          <w:b/>
          <w:bCs/>
          <w:lang w:val="pt-BR"/>
        </w:rPr>
        <w:t>Palavras-chave</w:t>
      </w:r>
      <w:r>
        <w:rPr>
          <w:lang w:val="pt-BR"/>
        </w:rPr>
        <w:t>: Word, CCEE, Politécnica.</w:t>
      </w:r>
    </w:p>
    <w:p>
      <w:pPr>
        <w:pStyle w:val="Normal"/>
        <w:spacing w:lineRule="auto" w:line="259" w:before="0" w:after="160"/>
        <w:jc w:val="left"/>
        <w:rPr>
          <w:i/>
          <w:i/>
          <w:iCs/>
          <w:sz w:val="22"/>
          <w:szCs w:val="22"/>
        </w:rPr>
      </w:pPr>
      <w:r>
        <w:rPr>
          <w:i/>
          <w:iCs/>
          <w:sz w:val="22"/>
          <w:szCs w:val="22"/>
          <w:lang w:val="pt-BR"/>
        </w:rPr>
      </w:r>
      <w:r>
        <w:br w:type="page"/>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Cabealho"/>
        <w:numPr>
          <w:ilvl w:val="0"/>
          <w:numId w:val="54"/>
        </w:numPr>
        <w:tabs>
          <w:tab w:val="clear" w:pos="4419"/>
          <w:tab w:val="clear" w:pos="8838"/>
        </w:tabs>
        <w:jc w:val="center"/>
        <w:rPr>
          <w:b/>
          <w:b/>
          <w:bCs/>
          <w:sz w:val="36"/>
          <w:szCs w:val="36"/>
        </w:rPr>
      </w:pPr>
      <w:r>
        <w:rPr>
          <w:b/>
          <w:bCs/>
          <w:sz w:val="36"/>
          <w:szCs w:val="36"/>
          <w:lang w:val="pt-BR"/>
        </w:rPr>
        <w:t>Abstract</w:t>
      </w:r>
    </w:p>
    <w:p>
      <w:pPr>
        <w:pStyle w:val="Normal"/>
        <w:rPr>
          <w:i/>
          <w:i/>
          <w:iCs/>
          <w:sz w:val="22"/>
          <w:szCs w:val="22"/>
        </w:rPr>
      </w:pPr>
      <w:r>
        <w:rPr>
          <w:i/>
          <w:iCs/>
          <w:sz w:val="22"/>
          <w:szCs w:val="22"/>
          <w:lang w:val="pt-BR"/>
        </w:rPr>
      </w:r>
    </w:p>
    <w:p>
      <w:pPr>
        <w:pStyle w:val="Normal"/>
        <w:rPr>
          <w:i/>
          <w:i/>
          <w:iCs/>
          <w:sz w:val="22"/>
          <w:szCs w:val="22"/>
        </w:rPr>
      </w:pPr>
      <w:r>
        <w:rPr>
          <w:i/>
          <w:iCs/>
          <w:sz w:val="22"/>
          <w:szCs w:val="22"/>
          <w:lang w:val="pt-BR"/>
        </w:rPr>
      </w:r>
    </w:p>
    <w:p>
      <w:pPr>
        <w:pStyle w:val="Normal"/>
        <w:rPr>
          <w:lang w:val="en-US"/>
        </w:rPr>
      </w:pPr>
      <w:r>
        <w:rPr>
          <w:lang w:val="pt-BR"/>
        </w:rPr>
        <w:t>This is the english abstract.</w:t>
      </w:r>
    </w:p>
    <w:p>
      <w:pPr>
        <w:pStyle w:val="Normal"/>
        <w:rPr>
          <w:i/>
          <w:i/>
          <w:iCs/>
          <w:sz w:val="22"/>
          <w:szCs w:val="22"/>
        </w:rPr>
      </w:pPr>
      <w:r>
        <w:rPr>
          <w:b/>
          <w:bCs/>
          <w:lang w:val="pt-BR"/>
        </w:rPr>
        <w:t>Keywords</w:t>
      </w:r>
      <w:r>
        <w:rPr>
          <w:lang w:val="pt-BR"/>
        </w:rPr>
        <w:t>: Word, CCEE, Politécnica.</w:t>
      </w:r>
    </w:p>
    <w:p>
      <w:pPr>
        <w:pStyle w:val="Normal"/>
        <w:spacing w:lineRule="auto" w:line="259" w:before="0" w:after="160"/>
        <w:jc w:val="left"/>
        <w:rPr>
          <w:i/>
          <w:i/>
          <w:iCs/>
          <w:sz w:val="22"/>
          <w:szCs w:val="22"/>
        </w:rPr>
      </w:pPr>
      <w:r>
        <w:rPr>
          <w:i/>
          <w:iCs/>
          <w:sz w:val="22"/>
          <w:szCs w:val="22"/>
          <w:lang w:val="pt-BR"/>
        </w:rPr>
      </w:r>
      <w:r>
        <w:br w:type="page"/>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val="pt-BR" w:eastAsia="ar-SA"/>
        </w:rPr>
      </w:r>
    </w:p>
    <w:p>
      <w:pPr>
        <w:pStyle w:val="Tableoffigures"/>
        <w:tabs>
          <w:tab w:val="clear" w:pos="720"/>
          <w:tab w:val="right" w:pos="9062" w:leader="dot"/>
        </w:tabs>
        <w:rPr>
          <w:rFonts w:ascii="Calibri" w:hAnsi="Calibri" w:eastAsia="" w:cs="" w:asciiTheme="minorHAnsi" w:cstheme="minorBidi" w:eastAsiaTheme="minorEastAsia" w:hAnsiTheme="minorHAnsi"/>
          <w:sz w:val="22"/>
          <w:szCs w:val="22"/>
          <w:lang w:val="en-US" w:eastAsia="en-US"/>
        </w:rPr>
      </w:pPr>
      <w:r>
        <w:fldChar w:fldCharType="begin"/>
      </w:r>
      <w:r>
        <w:rPr>
          <w:rStyle w:val="Vnculodendice"/>
          <w:lang w:val="pt-BR"/>
        </w:rPr>
        <w:instrText> TOC \c "Fig." </w:instrText>
      </w:r>
      <w:r>
        <w:rPr>
          <w:rStyle w:val="Vnculodendice"/>
          <w:lang w:val="pt-BR"/>
        </w:rPr>
        <w:fldChar w:fldCharType="separate"/>
      </w:r>
      <w:hyperlink w:anchor="_Toc65700065">
        <w:r>
          <w:rPr>
            <w:rStyle w:val="Vnculodendice"/>
            <w:lang w:val="pt-BR"/>
          </w:rPr>
          <w:t>Fig. 1 Sistema de controle.</w:t>
        </w:r>
        <w:r>
          <w:rPr>
            <w:webHidden/>
          </w:rPr>
          <w:fldChar w:fldCharType="begin"/>
        </w:r>
        <w:r>
          <w:rPr>
            <w:webHidden/>
          </w:rPr>
          <w:instrText>PAGEREF _Toc65700065 \h</w:instrText>
        </w:r>
        <w:r>
          <w:rPr>
            <w:webHidden/>
          </w:rPr>
          <w:fldChar w:fldCharType="separate"/>
        </w:r>
        <w:r>
          <w:rPr>
            <w:rStyle w:val="Vnculodendice"/>
            <w:vanish w:val="false"/>
            <w:lang w:val="pt-BR"/>
          </w:rPr>
          <w:tab/>
          <w:t>25</w:t>
        </w:r>
        <w:r>
          <w:rPr>
            <w:webHidden/>
          </w:rPr>
          <w:fldChar w:fldCharType="end"/>
        </w:r>
      </w:hyperlink>
    </w:p>
    <w:p>
      <w:pPr>
        <w:pStyle w:val="Tableoffigures"/>
        <w:tabs>
          <w:tab w:val="clear" w:pos="720"/>
          <w:tab w:val="right" w:pos="9062" w:leader="dot"/>
        </w:tabs>
        <w:rPr>
          <w:rFonts w:ascii="Calibri" w:hAnsi="Calibri" w:eastAsia="" w:cs="" w:asciiTheme="minorHAnsi" w:cstheme="minorBidi" w:eastAsiaTheme="minorEastAsia" w:hAnsiTheme="minorHAnsi"/>
          <w:sz w:val="22"/>
          <w:szCs w:val="22"/>
          <w:lang w:val="en-US" w:eastAsia="en-US"/>
        </w:rPr>
      </w:pPr>
      <w:hyperlink w:anchor="_Toc65700066">
        <w:r>
          <w:rPr>
            <w:rStyle w:val="Vnculodendice"/>
            <w:lang w:val="pt-BR"/>
          </w:rPr>
          <w:t>Fig. 2 Motor</w:t>
        </w:r>
        <w:r>
          <w:rPr>
            <w:webHidden/>
          </w:rPr>
          <w:fldChar w:fldCharType="begin"/>
        </w:r>
        <w:r>
          <w:rPr>
            <w:webHidden/>
          </w:rPr>
          <w:instrText>PAGEREF _Toc65700066 \h</w:instrText>
        </w:r>
        <w:r>
          <w:rPr>
            <w:webHidden/>
          </w:rPr>
          <w:fldChar w:fldCharType="separate"/>
        </w:r>
        <w:r>
          <w:rPr>
            <w:rStyle w:val="Vnculodendice"/>
            <w:vanish w:val="false"/>
            <w:lang w:val="pt-BR"/>
          </w:rPr>
          <w:tab/>
          <w:t>28</w:t>
        </w:r>
        <w:r>
          <w:rPr>
            <w:webHidden/>
          </w:rPr>
          <w:fldChar w:fldCharType="end"/>
        </w:r>
      </w:hyperlink>
    </w:p>
    <w:p>
      <w:pPr>
        <w:pStyle w:val="Tableoffigures"/>
        <w:tabs>
          <w:tab w:val="clear" w:pos="720"/>
          <w:tab w:val="right" w:pos="9062" w:leader="dot"/>
        </w:tabs>
        <w:rPr>
          <w:rFonts w:ascii="Calibri" w:hAnsi="Calibri" w:eastAsia="" w:cs="" w:asciiTheme="minorHAnsi" w:cstheme="minorBidi" w:eastAsiaTheme="minorEastAsia" w:hAnsiTheme="minorHAnsi"/>
          <w:sz w:val="22"/>
          <w:szCs w:val="22"/>
          <w:lang w:val="en-US" w:eastAsia="en-US"/>
        </w:rPr>
      </w:pPr>
      <w:hyperlink w:anchor="_Toc65700067">
        <w:r>
          <w:rPr>
            <w:rStyle w:val="Vnculodendice"/>
            <w:lang w:val="pt-BR"/>
          </w:rPr>
          <w:t>Fig. 3 Linha de Transmissão</w:t>
        </w:r>
        <w:r>
          <w:rPr>
            <w:webHidden/>
          </w:rPr>
          <w:fldChar w:fldCharType="begin"/>
        </w:r>
        <w:r>
          <w:rPr>
            <w:webHidden/>
          </w:rPr>
          <w:instrText>PAGEREF _Toc65700067 \h</w:instrText>
        </w:r>
        <w:r>
          <w:rPr>
            <w:webHidden/>
          </w:rPr>
          <w:fldChar w:fldCharType="separate"/>
        </w:r>
        <w:r>
          <w:rPr>
            <w:rStyle w:val="Vnculodendice"/>
            <w:vanish w:val="false"/>
            <w:lang w:val="pt-BR"/>
          </w:rPr>
          <w:tab/>
          <w:t>29</w:t>
        </w:r>
        <w:r>
          <w:rPr>
            <w:webHidden/>
          </w:rPr>
          <w:fldChar w:fldCharType="end"/>
        </w:r>
      </w:hyperlink>
      <w:r>
        <w:rPr>
          <w:rStyle w:val="Vnculodendice"/>
          <w:vanish w:val="false"/>
          <w:lang w:val="pt-BR"/>
        </w:rPr>
        <w:fldChar w:fldCharType="end"/>
      </w:r>
    </w:p>
    <w:p>
      <w:pPr>
        <w:pStyle w:val="Normal"/>
        <w:spacing w:lineRule="auto" w:line="259" w:before="0" w:after="160"/>
        <w:jc w:val="center"/>
        <w:rPr>
          <w:b/>
          <w:b/>
          <w:bCs/>
          <w:sz w:val="36"/>
          <w:szCs w:val="36"/>
          <w:lang w:val="en-US"/>
        </w:rPr>
      </w:pPr>
      <w:r>
        <w:rPr>
          <w:b/>
          <w:bCs/>
          <w:sz w:val="36"/>
          <w:szCs w:val="36"/>
          <w:lang w:val="pt-BR"/>
        </w:rPr>
      </w:r>
    </w:p>
    <w:p>
      <w:pPr>
        <w:pStyle w:val="Normal"/>
        <w:rPr>
          <w:b/>
          <w:b/>
          <w:bCs/>
          <w:sz w:val="36"/>
          <w:szCs w:val="36"/>
          <w:lang w:val="en-US"/>
        </w:rPr>
      </w:pPr>
      <w:r>
        <w:rPr>
          <w:b/>
          <w:bCs/>
          <w:sz w:val="36"/>
          <w:szCs w:val="36"/>
          <w:lang w:val="pt-BR"/>
        </w:rPr>
      </w:r>
      <w:r>
        <w:br w:type="page"/>
      </w:r>
    </w:p>
    <w:p>
      <w:pPr>
        <w:pStyle w:val="Normal"/>
        <w:spacing w:lineRule="auto" w:line="259" w:before="0" w:after="160"/>
        <w:jc w:val="left"/>
        <w:rPr>
          <w:b/>
          <w:b/>
          <w:bCs/>
          <w:sz w:val="36"/>
          <w:szCs w:val="36"/>
          <w:lang w:val="en-US" w:eastAsia="ar-SA"/>
        </w:rPr>
      </w:pPr>
      <w:r>
        <w:rPr>
          <w:b/>
          <w:bCs/>
          <w:sz w:val="36"/>
          <w:szCs w:val="36"/>
          <w:lang w:val="pt-BR" w:eastAsia="ar-SA"/>
        </w:rPr>
      </w:r>
      <w:r>
        <w:br w:type="page"/>
      </w:r>
    </w:p>
    <w:p>
      <w:pPr>
        <w:pStyle w:val="Cabealho"/>
        <w:numPr>
          <w:ilvl w:val="0"/>
          <w:numId w:val="55"/>
        </w:numPr>
        <w:tabs>
          <w:tab w:val="clear" w:pos="4419"/>
          <w:tab w:val="clear" w:pos="8838"/>
        </w:tabs>
        <w:jc w:val="center"/>
        <w:rPr>
          <w:b/>
          <w:b/>
          <w:bCs/>
          <w:sz w:val="36"/>
          <w:szCs w:val="36"/>
        </w:rPr>
      </w:pPr>
      <w:r>
        <w:rPr>
          <w:b/>
          <w:bCs/>
          <w:sz w:val="36"/>
          <w:szCs w:val="36"/>
          <w:lang w:val="pt-BR"/>
        </w:rPr>
        <w:t>Lista de Tabelas</w:t>
      </w:r>
    </w:p>
    <w:p>
      <w:pPr>
        <w:pStyle w:val="Cabealho"/>
        <w:tabs>
          <w:tab w:val="clear" w:pos="4419"/>
          <w:tab w:val="clear" w:pos="8838"/>
        </w:tabs>
        <w:jc w:val="center"/>
        <w:rPr>
          <w:b/>
          <w:b/>
          <w:bCs/>
          <w:sz w:val="36"/>
          <w:szCs w:val="36"/>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Cabealho"/>
        <w:tabs>
          <w:tab w:val="clear" w:pos="4419"/>
          <w:tab w:val="clear" w:pos="8838"/>
        </w:tabs>
        <w:jc w:val="center"/>
        <w:rPr>
          <w:b/>
          <w:b/>
          <w:bCs/>
          <w:sz w:val="36"/>
          <w:szCs w:val="36"/>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r>
        <w:br w:type="page"/>
      </w:r>
    </w:p>
    <w:p>
      <w:pPr>
        <w:pStyle w:val="Normal"/>
        <w:spacing w:lineRule="auto" w:line="259" w:before="0" w:after="160"/>
        <w:ind w:hanging="0"/>
        <w:jc w:val="center"/>
        <w:rPr>
          <w:b/>
          <w:b/>
          <w:bCs/>
          <w:sz w:val="36"/>
          <w:szCs w:val="36"/>
          <w:lang w:eastAsia="ar-SA"/>
        </w:rPr>
      </w:pPr>
      <w:r>
        <w:rPr>
          <w:b/>
          <w:bCs/>
          <w:sz w:val="36"/>
          <w:szCs w:val="36"/>
          <w:lang w:val="pt-BR"/>
        </w:rPr>
        <w:t>Lista de Símbolos</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Normal"/>
        <w:spacing w:lineRule="auto" w:line="259" w:before="0" w:after="160"/>
        <w:jc w:val="left"/>
        <w:rPr>
          <w:b/>
          <w:b/>
          <w:bCs/>
          <w:sz w:val="36"/>
          <w:szCs w:val="36"/>
          <w:lang w:eastAsia="ar-SA"/>
        </w:rPr>
      </w:pPr>
      <w:r>
        <w:rPr>
          <w:b/>
          <w:bCs/>
          <w:sz w:val="36"/>
          <w:szCs w:val="36"/>
          <w:lang w:val="pt-BR" w:eastAsia="ar-SA"/>
        </w:rPr>
      </w:r>
    </w:p>
    <w:sdt>
      <w:sdtPr>
        <w:docPartObj>
          <w:docPartGallery w:val="Table of Contents"/>
          <w:docPartUnique w:val="true"/>
        </w:docPartObj>
      </w:sdtPr>
      <w:sdtContent>
        <w:p>
          <w:pPr>
            <w:pStyle w:val="Ttulodosumrio"/>
            <w:rPr/>
          </w:pPr>
          <w:r>
            <w:br w:type="page"/>
          </w:r>
          <w:r>
            <w:rPr/>
            <w:t>Sumário</w:t>
            <w:br/>
          </w:r>
        </w:p>
        <w:p>
          <w:pPr>
            <w:pStyle w:val="Sumrio1"/>
            <w:tabs>
              <w:tab w:val="clear" w:pos="720"/>
              <w:tab w:val="right" w:pos="9071" w:leader="dot"/>
            </w:tabs>
            <w:rPr/>
          </w:pPr>
          <w:r>
            <w:fldChar w:fldCharType="begin"/>
          </w:r>
          <w:r>
            <w:rPr>
              <w:webHidden/>
              <w:rStyle w:val="Vnculodendice"/>
            </w:rPr>
            <w:instrText> TOC \z \o "1-3" \u \h</w:instrText>
          </w:r>
          <w:r>
            <w:rPr>
              <w:webHidden/>
              <w:rStyle w:val="Vnculodendice"/>
            </w:rPr>
            <w:fldChar w:fldCharType="separate"/>
          </w:r>
          <w:hyperlink w:anchor="__RefHeading___Toc783_3772085703">
            <w:r>
              <w:rPr>
                <w:webHidden/>
                <w:rStyle w:val="Vnculodendice"/>
              </w:rPr>
              <w:t>Capítulo 1: Introdução</w:t>
              <w:tab/>
              <w:t>1</w:t>
            </w:r>
          </w:hyperlink>
        </w:p>
        <w:p>
          <w:pPr>
            <w:pStyle w:val="Sumrio2"/>
            <w:tabs>
              <w:tab w:val="clear" w:pos="720"/>
              <w:tab w:val="right" w:pos="9071" w:leader="dot"/>
            </w:tabs>
            <w:rPr/>
          </w:pPr>
          <w:hyperlink w:anchor="__RefHeading___Toc785_3772085703">
            <w:r>
              <w:rPr>
                <w:webHidden/>
                <w:rStyle w:val="Vnculodendice"/>
              </w:rPr>
              <w:t>1.1 Simuload</w:t>
              <w:tab/>
              <w:t>2</w:t>
            </w:r>
          </w:hyperlink>
        </w:p>
        <w:p>
          <w:pPr>
            <w:pStyle w:val="Sumrio1"/>
            <w:tabs>
              <w:tab w:val="clear" w:pos="720"/>
              <w:tab w:val="right" w:pos="9071" w:leader="dot"/>
            </w:tabs>
            <w:rPr/>
          </w:pPr>
          <w:hyperlink w:anchor="__RefHeading___Toc789_3772085703">
            <w:r>
              <w:rPr>
                <w:webHidden/>
                <w:rStyle w:val="Vnculodendice"/>
              </w:rPr>
              <w:t>Capítulo 2: Objetivos</w:t>
              <w:tab/>
              <w:t>3</w:t>
            </w:r>
          </w:hyperlink>
        </w:p>
        <w:p>
          <w:pPr>
            <w:pStyle w:val="Sumrio2"/>
            <w:tabs>
              <w:tab w:val="clear" w:pos="720"/>
              <w:tab w:val="right" w:pos="9071" w:leader="dot"/>
            </w:tabs>
            <w:rPr/>
          </w:pPr>
          <w:hyperlink w:anchor="__RefHeading___Toc791_3772085703">
            <w:r>
              <w:rPr>
                <w:webHidden/>
                <w:rStyle w:val="Vnculodendice"/>
              </w:rPr>
              <w:t>2.1 Objetivo Geral</w:t>
              <w:tab/>
              <w:t>3</w:t>
            </w:r>
          </w:hyperlink>
        </w:p>
        <w:p>
          <w:pPr>
            <w:pStyle w:val="Sumrio2"/>
            <w:tabs>
              <w:tab w:val="clear" w:pos="720"/>
              <w:tab w:val="right" w:pos="9071" w:leader="dot"/>
            </w:tabs>
            <w:rPr/>
          </w:pPr>
          <w:hyperlink w:anchor="__RefHeading___Toc793_3772085703">
            <w:r>
              <w:rPr>
                <w:webHidden/>
                <w:rStyle w:val="Vnculodendice"/>
              </w:rPr>
              <w:t>2.2 Objetivos Específicos</w:t>
              <w:tab/>
              <w:t>4</w:t>
            </w:r>
          </w:hyperlink>
        </w:p>
        <w:p>
          <w:pPr>
            <w:pStyle w:val="Sumrio3"/>
            <w:tabs>
              <w:tab w:val="clear" w:pos="720"/>
              <w:tab w:val="right" w:pos="9071" w:leader="dot"/>
            </w:tabs>
            <w:rPr/>
          </w:pPr>
          <w:hyperlink w:anchor="__RefHeading___Toc795_3772085703">
            <w:r>
              <w:rPr>
                <w:webHidden/>
                <w:rStyle w:val="Vnculodendice"/>
              </w:rPr>
              <w:t>2.2.1 Requisitos Funcionais.</w:t>
              <w:tab/>
              <w:t>5</w:t>
            </w:r>
          </w:hyperlink>
        </w:p>
        <w:p>
          <w:pPr>
            <w:pStyle w:val="Sumrio1"/>
            <w:tabs>
              <w:tab w:val="clear" w:pos="720"/>
              <w:tab w:val="right" w:pos="9071" w:leader="dot"/>
            </w:tabs>
            <w:rPr/>
          </w:pPr>
          <w:hyperlink w:anchor="__RefHeading___Toc797_3772085703">
            <w:r>
              <w:rPr>
                <w:webHidden/>
                <w:rStyle w:val="Vnculodendice"/>
              </w:rPr>
              <w:t>Capítulo 3: Metodologia</w:t>
              <w:tab/>
              <w:t>6</w:t>
            </w:r>
          </w:hyperlink>
        </w:p>
        <w:p>
          <w:pPr>
            <w:pStyle w:val="Sumrio2"/>
            <w:tabs>
              <w:tab w:val="clear" w:pos="720"/>
              <w:tab w:val="right" w:pos="9071" w:leader="dot"/>
            </w:tabs>
            <w:rPr/>
          </w:pPr>
          <w:hyperlink w:anchor="__RefHeading___Toc799_3772085703">
            <w:r>
              <w:rPr>
                <w:webHidden/>
                <w:rStyle w:val="Vnculodendice"/>
              </w:rPr>
              <w:t>3.1 Desenvolvimento do Software</w:t>
              <w:tab/>
              <w:t>6</w:t>
            </w:r>
          </w:hyperlink>
        </w:p>
        <w:p>
          <w:pPr>
            <w:pStyle w:val="Sumrio2"/>
            <w:tabs>
              <w:tab w:val="clear" w:pos="720"/>
              <w:tab w:val="right" w:pos="9071" w:leader="dot"/>
            </w:tabs>
            <w:rPr/>
          </w:pPr>
          <w:hyperlink w:anchor="__RefHeading___Toc550_3461207297">
            <w:r>
              <w:rPr>
                <w:webHidden/>
                <w:rStyle w:val="Vnculodendice"/>
              </w:rPr>
              <w:t>3.2 Validação</w:t>
              <w:tab/>
              <w:t>7</w:t>
            </w:r>
          </w:hyperlink>
        </w:p>
        <w:p>
          <w:pPr>
            <w:pStyle w:val="Sumrio1"/>
            <w:tabs>
              <w:tab w:val="clear" w:pos="720"/>
              <w:tab w:val="right" w:pos="9071" w:leader="dot"/>
            </w:tabs>
            <w:rPr/>
          </w:pPr>
          <w:hyperlink w:anchor="__RefHeading___Toc803_3772085703">
            <w:r>
              <w:rPr>
                <w:webHidden/>
                <w:rStyle w:val="Vnculodendice"/>
              </w:rPr>
              <w:t>Capítulo 4: Especificações</w:t>
              <w:tab/>
              <w:t>8</w:t>
            </w:r>
          </w:hyperlink>
        </w:p>
        <w:p>
          <w:pPr>
            <w:pStyle w:val="Sumrio2"/>
            <w:tabs>
              <w:tab w:val="clear" w:pos="720"/>
              <w:tab w:val="right" w:pos="9071" w:leader="dot"/>
            </w:tabs>
            <w:rPr/>
          </w:pPr>
          <w:hyperlink w:anchor="__RefHeading___Toc805_3772085703">
            <w:r>
              <w:rPr>
                <w:webHidden/>
                <w:rStyle w:val="Vnculodendice"/>
              </w:rPr>
              <w:t>4.1 Módulos e Ferramentas</w:t>
              <w:tab/>
              <w:t>8</w:t>
            </w:r>
          </w:hyperlink>
        </w:p>
        <w:p>
          <w:pPr>
            <w:pStyle w:val="Sumrio3"/>
            <w:tabs>
              <w:tab w:val="clear" w:pos="720"/>
              <w:tab w:val="right" w:pos="9071" w:leader="dot"/>
            </w:tabs>
            <w:rPr/>
          </w:pPr>
          <w:hyperlink w:anchor="__RefHeading___Toc807_3772085703">
            <w:r>
              <w:rPr>
                <w:webHidden/>
                <w:rStyle w:val="Vnculodendice"/>
              </w:rPr>
              <w:t>4.1.1 Ferramenta de Interface Visual</w:t>
              <w:tab/>
              <w:t>8</w:t>
            </w:r>
          </w:hyperlink>
        </w:p>
        <w:p>
          <w:pPr>
            <w:pStyle w:val="Sumrio3"/>
            <w:tabs>
              <w:tab w:val="clear" w:pos="720"/>
              <w:tab w:val="right" w:pos="9071" w:leader="dot"/>
            </w:tabs>
            <w:rPr/>
          </w:pPr>
          <w:hyperlink w:anchor="__RefHeading___Toc552_3461207297">
            <w:r>
              <w:rPr>
                <w:webHidden/>
                <w:rStyle w:val="Vnculodendice"/>
              </w:rPr>
              <w:t>4.1.2 Ferramentas Matemáticas</w:t>
              <w:tab/>
              <w:t>9</w:t>
            </w:r>
          </w:hyperlink>
        </w:p>
        <w:p>
          <w:pPr>
            <w:pStyle w:val="Sumrio3"/>
            <w:tabs>
              <w:tab w:val="clear" w:pos="720"/>
              <w:tab w:val="right" w:pos="9071" w:leader="dot"/>
            </w:tabs>
            <w:rPr/>
          </w:pPr>
          <w:hyperlink w:anchor="__RefHeading___Toc554_3461207297">
            <w:r>
              <w:rPr>
                <w:webHidden/>
                <w:rStyle w:val="Vnculodendice"/>
              </w:rPr>
              <w:t>4.1.3 Banco de Dados e Armazenamento</w:t>
              <w:tab/>
              <w:t>9</w:t>
            </w:r>
          </w:hyperlink>
        </w:p>
        <w:p>
          <w:pPr>
            <w:pStyle w:val="Sumrio2"/>
            <w:tabs>
              <w:tab w:val="clear" w:pos="720"/>
              <w:tab w:val="right" w:pos="9071" w:leader="dot"/>
            </w:tabs>
            <w:rPr/>
          </w:pPr>
          <w:hyperlink w:anchor="__RefHeading___Toc556_3461207297">
            <w:r>
              <w:rPr>
                <w:webHidden/>
                <w:rStyle w:val="Vnculodendice"/>
              </w:rPr>
              <w:t>4.2 Mapeamento de Dados</w:t>
              <w:tab/>
              <w:t>12</w:t>
            </w:r>
          </w:hyperlink>
        </w:p>
        <w:p>
          <w:pPr>
            <w:pStyle w:val="Sumrio2"/>
            <w:tabs>
              <w:tab w:val="clear" w:pos="720"/>
              <w:tab w:val="right" w:pos="9071" w:leader="dot"/>
            </w:tabs>
            <w:rPr/>
          </w:pPr>
          <w:hyperlink w:anchor="__RefHeading___Toc558_3461207297">
            <w:r>
              <w:rPr>
                <w:webHidden/>
                <w:rStyle w:val="Vnculodendice"/>
              </w:rPr>
              <w:t>4.3 Algoritmo de Aleatoriedade</w:t>
              <w:tab/>
              <w:t>13</w:t>
            </w:r>
          </w:hyperlink>
        </w:p>
        <w:p>
          <w:pPr>
            <w:pStyle w:val="Sumrio1"/>
            <w:tabs>
              <w:tab w:val="clear" w:pos="720"/>
              <w:tab w:val="right" w:pos="9071" w:leader="dot"/>
            </w:tabs>
            <w:rPr/>
          </w:pPr>
          <w:hyperlink w:anchor="__RefHeading___Toc809_3772085703">
            <w:r>
              <w:rPr>
                <w:webHidden/>
                <w:rStyle w:val="Vnculodendice"/>
              </w:rPr>
              <w:t>Capítulo 5: Estudo de Caso</w:t>
              <w:tab/>
              <w:t>16</w:t>
            </w:r>
          </w:hyperlink>
        </w:p>
        <w:p>
          <w:pPr>
            <w:pStyle w:val="Sumrio2"/>
            <w:tabs>
              <w:tab w:val="clear" w:pos="720"/>
              <w:tab w:val="right" w:pos="9071" w:leader="dot"/>
            </w:tabs>
            <w:rPr/>
          </w:pPr>
          <w:hyperlink w:anchor="__RefHeading___Toc811_3772085703">
            <w:r>
              <w:rPr>
                <w:webHidden/>
                <w:rStyle w:val="Vnculodendice"/>
              </w:rPr>
              <w:t>5.1 Simulando com outros Softwares</w:t>
              <w:tab/>
              <w:t>16</w:t>
            </w:r>
          </w:hyperlink>
        </w:p>
        <w:p>
          <w:pPr>
            <w:pStyle w:val="Sumrio2"/>
            <w:tabs>
              <w:tab w:val="clear" w:pos="720"/>
              <w:tab w:val="right" w:pos="9071" w:leader="dot"/>
            </w:tabs>
            <w:rPr/>
          </w:pPr>
          <w:hyperlink w:anchor="__RefHeading___Toc560_3461207297">
            <w:r>
              <w:rPr>
                <w:webHidden/>
                <w:rStyle w:val="Vnculodendice"/>
              </w:rPr>
              <w:t>5.2 Aplicação do Simuload</w:t>
              <w:tab/>
              <w:t>19</w:t>
            </w:r>
          </w:hyperlink>
        </w:p>
        <w:p>
          <w:pPr>
            <w:pStyle w:val="Sumrio2"/>
            <w:tabs>
              <w:tab w:val="clear" w:pos="720"/>
              <w:tab w:val="right" w:pos="9071" w:leader="dot"/>
            </w:tabs>
            <w:rPr/>
          </w:pPr>
          <w:hyperlink w:anchor="__RefHeading___Toc562_3461207297">
            <w:r>
              <w:rPr>
                <w:webHidden/>
                <w:rStyle w:val="Vnculodendice"/>
              </w:rPr>
              <w:t>5.3 Resultados e comparações</w:t>
              <w:tab/>
              <w:t>29</w:t>
            </w:r>
          </w:hyperlink>
        </w:p>
        <w:p>
          <w:pPr>
            <w:pStyle w:val="Sumrio1"/>
            <w:tabs>
              <w:tab w:val="clear" w:pos="720"/>
              <w:tab w:val="right" w:pos="9071" w:leader="dot"/>
            </w:tabs>
            <w:rPr/>
          </w:pPr>
          <w:hyperlink w:anchor="__RefHeading___Toc815_3772085703">
            <w:r>
              <w:rPr>
                <w:webHidden/>
                <w:rStyle w:val="Vnculodendice"/>
              </w:rPr>
              <w:t>Capítulo 6: Conclusão</w:t>
              <w:tab/>
              <w:t>31</w:t>
            </w:r>
          </w:hyperlink>
        </w:p>
        <w:p>
          <w:pPr>
            <w:pStyle w:val="Sumrio3"/>
            <w:tabs>
              <w:tab w:val="clear" w:pos="720"/>
              <w:tab w:val="right" w:pos="9071" w:leader="dot"/>
            </w:tabs>
            <w:rPr/>
          </w:pPr>
          <w:hyperlink w:anchor="__RefHeading___Toc817_3772085703">
            <w:r>
              <w:rPr>
                <w:webHidden/>
                <w:rStyle w:val="Vnculodendice"/>
              </w:rPr>
              <w:t>6.1.1 Título da primeira seção do sexto capítulo</w:t>
              <w:tab/>
              <w:t>31</w:t>
            </w:r>
          </w:hyperlink>
        </w:p>
        <w:p>
          <w:pPr>
            <w:pStyle w:val="Sumrio3"/>
            <w:tabs>
              <w:tab w:val="clear" w:pos="720"/>
              <w:tab w:val="right" w:pos="9071" w:leader="dot"/>
            </w:tabs>
            <w:rPr/>
          </w:pPr>
          <w:hyperlink w:anchor="__RefHeading___Toc819_3772085703">
            <w:r>
              <w:rPr>
                <w:webHidden/>
                <w:rStyle w:val="Vnculodendice"/>
              </w:rPr>
              <w:t>6.1.2 Título da subseção do sexto capítulo.</w:t>
              <w:tab/>
              <w:t>32</w:t>
            </w:r>
          </w:hyperlink>
        </w:p>
        <w:p>
          <w:pPr>
            <w:pStyle w:val="Sumrio1"/>
            <w:tabs>
              <w:tab w:val="clear" w:pos="720"/>
              <w:tab w:val="right" w:pos="9071" w:leader="dot"/>
            </w:tabs>
            <w:rPr/>
          </w:pPr>
          <w:hyperlink w:anchor="__RefHeading___Toc821_3772085703">
            <w:r>
              <w:rPr>
                <w:webHidden/>
                <w:rStyle w:val="Vnculodendice"/>
              </w:rPr>
              <w:t>Referências</w:t>
              <w:tab/>
              <w:t>33</w:t>
            </w:r>
          </w:hyperlink>
        </w:p>
        <w:p>
          <w:pPr>
            <w:pStyle w:val="Sumrio1"/>
            <w:tabs>
              <w:tab w:val="clear" w:pos="720"/>
              <w:tab w:val="right" w:pos="9071" w:leader="dot"/>
            </w:tabs>
            <w:rPr/>
          </w:pPr>
          <w:hyperlink w:anchor="__RefHeading___Toc823_3772085703">
            <w:r>
              <w:rPr>
                <w:webHidden/>
                <w:rStyle w:val="Vnculodendice"/>
              </w:rPr>
              <w:t>Apêndice A – Código do algoritmo de aleatoriedade</w:t>
              <w:tab/>
              <w:t>34</w:t>
            </w:r>
          </w:hyperlink>
          <w:r>
            <w:rPr>
              <w:rStyle w:val="Vnculodendice"/>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firstLine="737"/>
        <w:rPr>
          <w:b/>
          <w:b/>
          <w:bCs/>
          <w:sz w:val="36"/>
          <w:szCs w:val="36"/>
        </w:rPr>
      </w:pPr>
      <w:r>
        <w:rPr>
          <w:b/>
          <w:bCs/>
          <w:sz w:val="36"/>
          <w:szCs w:val="36"/>
          <w:lang w:val="pt-BR"/>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pt-BR" w:bidi="ar-SA"/>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 xml:space="preserve">Sabe-se que no atual cenário brasileiro no que diz respeito ao consumo de energia elétrica, há uma grande necessidade de estudar formas efetivas de aproveitamento dos recursos e suas distribuições. A população brasileira, de uma forma geral, não faz uso consciente da energia elétrica, pois presume que a capacidade e o potencial energético do país é abundante, sendo seu único freio a fator financeiro. As formas de coletar, mensurar, analisar e utilizar os dados referentes ao consumo de energia são de extrema importância para o país e portanto devem ser abordadas de forma crítica, sobretudo dentro da universidade no curso de engenharia elétrica.  </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rFonts w:ascii="Calibri Light" w:hAnsi="Calibri Light" w:eastAsia="" w:cs="" w:asciiTheme="majorHAnsi" w:cstheme="majorBidi" w:eastAsiaTheme="majorEastAsia" w:hAnsiTheme="majorHAnsi"/>
          <w:b/>
          <w:b/>
          <w:color w:val="auto"/>
          <w:kern w:val="0"/>
          <w:sz w:val="28"/>
          <w:szCs w:val="26"/>
          <w:lang w:val="pt-BR" w:eastAsia="pt-BR" w:bidi="ar-SA"/>
        </w:rPr>
      </w:pPr>
      <w:bookmarkStart w:id="2" w:name="__RefHeading___Toc785_3772085703"/>
      <w:bookmarkStart w:id="3" w:name="_Toc65702334"/>
      <w:bookmarkEnd w:id="2"/>
      <w:r>
        <w:rPr>
          <w:rFonts w:eastAsia="" w:cs="" w:cstheme="majorBidi" w:eastAsiaTheme="majorEastAsia"/>
          <w:b/>
          <w:color w:val="auto"/>
          <w:kern w:val="0"/>
          <w:sz w:val="28"/>
          <w:szCs w:val="26"/>
          <w:lang w:val="pt-BR" w:eastAsia="pt-BR" w:bidi="ar-SA"/>
        </w:rPr>
        <w:t>S</w:t>
      </w:r>
      <w:bookmarkEnd w:id="3"/>
      <w:r>
        <w:rPr>
          <w:rFonts w:eastAsia="" w:cs="" w:cstheme="majorBidi" w:eastAsiaTheme="majorEastAsia"/>
          <w:b/>
          <w:color w:val="auto"/>
          <w:kern w:val="0"/>
          <w:sz w:val="28"/>
          <w:szCs w:val="26"/>
          <w:lang w:val="pt-BR" w:eastAsia="pt-BR" w:bidi="ar-SA"/>
        </w:rPr>
        <w:t>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pt-BR"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4" w:name="__RefHeading___Toc789_3772085703"/>
      <w:bookmarkEnd w:id="4"/>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rFonts w:ascii="Calibri Light" w:hAnsi="Calibri Light" w:eastAsia="" w:cs="" w:asciiTheme="majorHAnsi" w:cstheme="majorBidi" w:eastAsiaTheme="majorEastAsia" w:hAnsiTheme="majorHAnsi"/>
          <w:b/>
          <w:b/>
          <w:color w:val="auto"/>
          <w:kern w:val="0"/>
          <w:sz w:val="28"/>
          <w:szCs w:val="26"/>
          <w:lang w:val="pt-BR" w:eastAsia="pt-BR" w:bidi="ar-SA"/>
        </w:rPr>
      </w:pPr>
      <w:bookmarkStart w:id="5" w:name="__RefHeading___Toc791_3772085703"/>
      <w:bookmarkStart w:id="6" w:name="_Toc65702337"/>
      <w:bookmarkEnd w:id="5"/>
      <w:r>
        <w:rPr>
          <w:rFonts w:eastAsia="" w:cs="" w:cstheme="majorBidi" w:eastAsiaTheme="majorEastAsia"/>
          <w:b/>
          <w:color w:val="auto"/>
          <w:kern w:val="0"/>
          <w:sz w:val="28"/>
          <w:szCs w:val="26"/>
          <w:lang w:val="pt-BR" w:eastAsia="pt-BR" w:bidi="ar-SA"/>
        </w:rPr>
        <w:t>O</w:t>
      </w:r>
      <w:bookmarkEnd w:id="6"/>
      <w:r>
        <w:rPr>
          <w:rFonts w:eastAsia="" w:cs="" w:cstheme="majorBidi" w:eastAsiaTheme="majorEastAsia"/>
          <w:b/>
          <w:color w:val="auto"/>
          <w:kern w:val="0"/>
          <w:sz w:val="28"/>
          <w:szCs w:val="26"/>
          <w:lang w:val="pt-BR" w:eastAsia="pt-BR" w:bidi="ar-SA"/>
        </w:rPr>
        <w:t>bjetivo Geral</w:t>
      </w:r>
    </w:p>
    <w:p>
      <w:pPr>
        <w:pStyle w:val="Normal"/>
        <w:rPr>
          <w:lang w:val="en-US" w:eastAsia="ar-SA"/>
        </w:rPr>
      </w:pPr>
      <w:bookmarkStart w:id="7" w:name="_Toc65700008"/>
      <w:bookmarkStart w:id="8" w:name="_Toc65700066"/>
      <w:bookmarkStart w:id="9" w:name="_Ref65699817"/>
      <w:bookmarkEnd w:id="7"/>
      <w:bookmarkEnd w:id="8"/>
      <w:bookmarkEnd w:id="9"/>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w:t>
      </w:r>
    </w:p>
    <w:p>
      <w:pPr>
        <w:pStyle w:val="Normal"/>
        <w:rPr>
          <w:lang w:val="en-US" w:eastAsia="ar-SA"/>
        </w:rPr>
      </w:pPr>
      <w:r>
        <w:rPr>
          <w:lang w:val="pt-BR" w:eastAsia="ar-SA"/>
        </w:rPr>
        <w:t xml:space="preserve">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10" w:name="__RefHeading___Toc793_3772085703"/>
      <w:bookmarkStart w:id="11" w:name="_Toc65702338"/>
      <w:bookmarkStart w:id="12" w:name="_Toc657023371"/>
      <w:bookmarkEnd w:id="10"/>
      <w:r>
        <w:rPr>
          <w:rFonts w:eastAsia="" w:cs="" w:cstheme="majorBidi" w:eastAsiaTheme="majorEastAsia"/>
          <w:b/>
          <w:bCs/>
          <w:color w:val="auto"/>
          <w:kern w:val="0"/>
          <w:sz w:val="36"/>
          <w:szCs w:val="36"/>
          <w:lang w:val="pt-BR" w:eastAsia="pt-BR" w:bidi="ar-SA"/>
        </w:rPr>
        <w:t>O</w:t>
      </w:r>
      <w:bookmarkEnd w:id="12"/>
      <w:r>
        <w:rPr>
          <w:rFonts w:eastAsia="" w:cs="" w:cstheme="majorBidi" w:eastAsiaTheme="majorEastAsia"/>
          <w:b/>
          <w:bCs/>
          <w:color w:val="auto"/>
          <w:kern w:val="0"/>
          <w:sz w:val="36"/>
          <w:szCs w:val="36"/>
          <w:lang w:val="pt-BR" w:eastAsia="pt-BR" w:bidi="ar-SA"/>
        </w:rPr>
        <w:t xml:space="preserve">bjetivos </w:t>
      </w:r>
      <w:bookmarkEnd w:id="11"/>
      <w:r>
        <w:rPr>
          <w:rFonts w:eastAsia="" w:cs="" w:cstheme="majorBidi" w:eastAsiaTheme="majorEastAsia"/>
          <w:b/>
          <w:bCs/>
          <w:color w:val="auto"/>
          <w:kern w:val="0"/>
          <w:sz w:val="36"/>
          <w:szCs w:val="36"/>
          <w:lang w:val="pt-BR" w:eastAsia="pt-BR" w:bidi="ar-SA"/>
        </w:rPr>
        <w:t>Específicos</w:t>
      </w:r>
    </w:p>
    <w:p>
      <w:pPr>
        <w:pStyle w:val="Normal"/>
        <w:rPr>
          <w:lang w:val="en-US" w:eastAsia="ar-SA"/>
        </w:rPr>
      </w:pPr>
      <w:r>
        <w:rPr>
          <w:lang w:val="pt-BR" w:eastAsia="ar-SA"/>
        </w:rPr>
        <w:t>Os objetivos específicos deste trabalho incluem:</w:t>
      </w:r>
    </w:p>
    <w:p>
      <w:pPr>
        <w:pStyle w:val="Normal"/>
        <w:rPr>
          <w:lang w:val="pt-BR"/>
        </w:rPr>
      </w:pPr>
      <w:r>
        <w:rPr>
          <w:lang w:val="pt-BR"/>
        </w:rPr>
      </w:r>
    </w:p>
    <w:p>
      <w:pPr>
        <w:pStyle w:val="Normal"/>
        <w:numPr>
          <w:ilvl w:val="0"/>
          <w:numId w:val="28"/>
        </w:numPr>
        <w:rPr>
          <w:lang w:val="pt-BR"/>
        </w:rPr>
      </w:pPr>
      <w:r>
        <w:rPr>
          <w:lang w:val="pt-BR" w:eastAsia="ar-SA"/>
        </w:rPr>
        <w:t xml:space="preserve">Avaliação da eficiência e usabilidade do software Simuload para a simulação de curvas de carga; </w:t>
      </w:r>
    </w:p>
    <w:p>
      <w:pPr>
        <w:pStyle w:val="Normal"/>
        <w:numPr>
          <w:ilvl w:val="0"/>
          <w:numId w:val="28"/>
        </w:numPr>
        <w:rPr>
          <w:lang w:val="pt-BR"/>
        </w:rPr>
      </w:pPr>
      <w:r>
        <w:rPr>
          <w:lang w:val="pt-BR" w:eastAsia="ar-SA"/>
        </w:rPr>
        <w:t>Identificação de possíveis limitações ou dificuldades no uso do software;</w:t>
      </w:r>
    </w:p>
    <w:p>
      <w:pPr>
        <w:pStyle w:val="Normal"/>
        <w:numPr>
          <w:ilvl w:val="0"/>
          <w:numId w:val="28"/>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3"/>
        <w:numPr>
          <w:ilvl w:val="2"/>
          <w:numId w:val="2"/>
        </w:numPr>
        <w:rPr>
          <w:b/>
          <w:b/>
          <w:bCs/>
          <w:sz w:val="36"/>
          <w:szCs w:val="36"/>
        </w:rPr>
      </w:pPr>
      <w:bookmarkStart w:id="13" w:name="__RefHeading___Toc795_3772085703"/>
      <w:bookmarkEnd w:id="13"/>
      <w:r>
        <w:rPr>
          <w:lang w:val="pt-BR"/>
        </w:rPr>
        <w:t>Requisitos Funcionais</w:t>
      </w:r>
      <w:bookmarkStart w:id="14" w:name="_Toc657023354"/>
      <w:r>
        <w:rPr>
          <w:lang w:val="pt-BR"/>
        </w:rPr>
        <w:t>.</w:t>
      </w:r>
      <w:bookmarkEnd w:id="14"/>
    </w:p>
    <w:p>
      <w:pPr>
        <w:pStyle w:val="Normal"/>
        <w:rPr>
          <w:b/>
          <w:b/>
          <w:bCs/>
          <w:sz w:val="36"/>
          <w:szCs w:val="36"/>
        </w:rPr>
      </w:pPr>
      <w:r>
        <w:rPr>
          <w:lang w:val="pt-BR"/>
        </w:rPr>
        <w:t>Os requisitos funcionais estabelecidos para o Simuload, os objetivos específicos deste trabalho sã</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15" w:name="__RefHeading___Toc797_3772085703"/>
      <w:bookmarkEnd w:id="15"/>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6" w:name="__RefHeading___Toc799_3772085703"/>
      <w:bookmarkStart w:id="17" w:name="_Toc65702340"/>
      <w:bookmarkEnd w:id="16"/>
      <w:r>
        <w:rPr>
          <w:lang w:val="pt-BR"/>
        </w:rPr>
        <w:t>D</w:t>
      </w:r>
      <w:bookmarkEnd w:id="17"/>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pt-BR"/>
        </w:rPr>
      </w:r>
    </w:p>
    <w:p>
      <w:pPr>
        <w:pStyle w:val="Normal"/>
        <w:numPr>
          <w:ilvl w:val="0"/>
          <w:numId w:val="29"/>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29"/>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29"/>
        </w:numPr>
        <w:rPr>
          <w:lang w:val="pt-BR"/>
        </w:rPr>
      </w:pPr>
      <w:r>
        <w:rPr>
          <w:lang w:val="pt-BR" w:eastAsia="ar-SA"/>
        </w:rPr>
        <w:t>Assegurar a integridade dos dados nas curvas de carga simuladas, verificando a precisão das simulações e a consistência dos resultados obtidos;</w:t>
      </w:r>
    </w:p>
    <w:p>
      <w:pPr>
        <w:pStyle w:val="Normal"/>
        <w:numPr>
          <w:ilvl w:val="0"/>
          <w:numId w:val="29"/>
        </w:numPr>
        <w:rPr>
          <w:lang w:val="pt-BR"/>
        </w:rPr>
      </w:pPr>
      <w:r>
        <w:rPr>
          <w:lang w:val="pt-BR" w:eastAsia="ar-SA"/>
        </w:rPr>
        <w:t>Incluir modelos de exemplo padrões mapeados do PPH 2019, relatório do Procel, que permitam ao usuário realizar simulações com dados reais e comparar os resultados obtidos com os dados já consolidados;</w:t>
      </w:r>
    </w:p>
    <w:p>
      <w:pPr>
        <w:pStyle w:val="Normal"/>
        <w:numPr>
          <w:ilvl w:val="0"/>
          <w:numId w:val="29"/>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29"/>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pt-BR"/>
        </w:rPr>
      </w:r>
    </w:p>
    <w:p>
      <w:pPr>
        <w:pStyle w:val="Normal"/>
        <w:rPr>
          <w:lang w:val="en-US" w:eastAsia="ar-SA"/>
        </w:rPr>
      </w:pPr>
      <w:r>
        <w:rPr>
          <w:lang w:val="pt-BR" w:eastAsia="ar-SA"/>
        </w:rPr>
        <w:t xml:space="preserve"> </w:t>
      </w:r>
      <w:r>
        <w:rPr>
          <w:lang w:val="pt-BR" w:eastAsia="ar-SA"/>
        </w:rPr>
        <w:t>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criação do Simuload.</w:t>
      </w:r>
    </w:p>
    <w:p>
      <w:pPr>
        <w:pStyle w:val="Ttulo2"/>
        <w:numPr>
          <w:ilvl w:val="1"/>
          <w:numId w:val="2"/>
        </w:numPr>
        <w:rPr>
          <w:rFonts w:ascii="Calibri Light" w:hAnsi="Calibri Light" w:eastAsia="" w:cs="" w:asciiTheme="majorHAnsi" w:cstheme="majorBidi" w:eastAsiaTheme="majorEastAsia" w:hAnsiTheme="majorHAnsi"/>
          <w:b/>
          <w:b/>
          <w:color w:val="auto"/>
          <w:kern w:val="0"/>
          <w:sz w:val="28"/>
          <w:szCs w:val="26"/>
          <w:lang w:val="pt-BR" w:eastAsia="ar-SA" w:bidi="ar-SA"/>
        </w:rPr>
      </w:pPr>
      <w:bookmarkStart w:id="18" w:name="__RefHeading___Toc550_3461207297"/>
      <w:bookmarkEnd w:id="18"/>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pt-BR"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19" w:name="__RefHeading___Toc803_3772085703"/>
      <w:bookmarkEnd w:id="19"/>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 xml:space="preserve">Video provides a powerful way to help you prove your point. When you click Online Video, you can paste in the embed code for the video you want to add. </w:t>
      </w:r>
    </w:p>
    <w:p>
      <w:pPr>
        <w:pStyle w:val="Ttulo2"/>
        <w:numPr>
          <w:ilvl w:val="1"/>
          <w:numId w:val="2"/>
        </w:numPr>
        <w:rPr>
          <w:rFonts w:ascii="Calibri Light" w:hAnsi="Calibri Light" w:eastAsia="" w:cs="" w:asciiTheme="majorHAnsi" w:cstheme="majorBidi" w:eastAsiaTheme="majorEastAsia" w:hAnsiTheme="majorHAnsi"/>
          <w:b/>
          <w:b/>
          <w:color w:val="auto"/>
          <w:kern w:val="0"/>
          <w:sz w:val="28"/>
          <w:szCs w:val="26"/>
          <w:lang w:val="pt-BR" w:eastAsia="pt-BR" w:bidi="ar-SA"/>
        </w:rPr>
      </w:pPr>
      <w:bookmarkStart w:id="20" w:name="__RefHeading___Toc805_3772085703"/>
      <w:bookmarkStart w:id="21" w:name="_Toc65702343"/>
      <w:bookmarkEnd w:id="20"/>
      <w:r>
        <w:rPr>
          <w:rFonts w:eastAsia="" w:cs="" w:cstheme="majorBidi" w:eastAsiaTheme="majorEastAsia"/>
          <w:b/>
          <w:color w:val="auto"/>
          <w:kern w:val="0"/>
          <w:sz w:val="28"/>
          <w:szCs w:val="26"/>
          <w:lang w:val="pt-BR" w:eastAsia="pt-BR" w:bidi="ar-SA"/>
        </w:rPr>
        <w:t>M</w:t>
      </w:r>
      <w:bookmarkEnd w:id="21"/>
      <w:r>
        <w:rPr>
          <w:rFonts w:eastAsia="" w:cs="" w:cstheme="majorBidi" w:eastAsiaTheme="majorEastAsia"/>
          <w:b/>
          <w:color w:val="auto"/>
          <w:kern w:val="0"/>
          <w:sz w:val="28"/>
          <w:szCs w:val="26"/>
          <w:lang w:val="pt-BR" w:eastAsia="pt-BR" w:bidi="ar-SA"/>
        </w:rPr>
        <w:t>ódulos e Ferramentas</w:t>
      </w:r>
    </w:p>
    <w:p>
      <w:pPr>
        <w:pStyle w:val="Normal"/>
        <w:rPr>
          <w:lang w:val="en-US" w:eastAsia="ar-SA"/>
        </w:rPr>
      </w:pPr>
      <w:r>
        <w:rPr>
          <w:lang w:val="pt-BR" w:eastAsia="ar-SA"/>
        </w:rPr>
        <w:t>Antes da elaboração do projeto em código, foi realizada uma pesquisa de módulos e ferramentas viáveis para suprir as necessidades do sistema. Foram levadas em consideração suas funcionalidades, facilidade no uso, popularidade e material de apoio disponível.</w:t>
      </w:r>
    </w:p>
    <w:p>
      <w:pPr>
        <w:pStyle w:val="Ttulo3"/>
        <w:numPr>
          <w:ilvl w:val="2"/>
          <w:numId w:val="2"/>
        </w:numPr>
        <w:rPr>
          <w:rFonts w:ascii="Calibri Light" w:hAnsi="Calibri Light" w:eastAsia="" w:cs="" w:asciiTheme="majorHAnsi" w:cstheme="majorBidi" w:eastAsiaTheme="majorEastAsia" w:hAnsiTheme="majorHAnsi"/>
          <w:i/>
          <w:i/>
          <w:color w:val="auto"/>
          <w:kern w:val="0"/>
          <w:sz w:val="24"/>
          <w:szCs w:val="24"/>
          <w:lang w:val="pt-BR" w:eastAsia="ar-SA" w:bidi="ar-SA"/>
        </w:rPr>
      </w:pPr>
      <w:bookmarkStart w:id="22" w:name="__RefHeading___Toc807_3772085703"/>
      <w:bookmarkStart w:id="23" w:name="_Toc65702344"/>
      <w:bookmarkEnd w:id="22"/>
      <w:r>
        <w:rPr>
          <w:rFonts w:eastAsia="" w:cs="" w:cstheme="majorBidi" w:eastAsiaTheme="majorEastAsia"/>
          <w:i/>
          <w:color w:val="auto"/>
          <w:kern w:val="0"/>
          <w:sz w:val="24"/>
          <w:szCs w:val="24"/>
          <w:lang w:val="pt-BR" w:eastAsia="ar-SA" w:bidi="ar-SA"/>
        </w:rPr>
        <w:t>F</w:t>
      </w:r>
      <w:bookmarkEnd w:id="23"/>
      <w:r>
        <w:rPr>
          <w:rFonts w:eastAsia="" w:cs="" w:cstheme="majorBidi" w:eastAsiaTheme="majorEastAsia"/>
          <w:i/>
          <w:color w:val="auto"/>
          <w:kern w:val="0"/>
          <w:sz w:val="24"/>
          <w:szCs w:val="24"/>
          <w:lang w:val="pt-BR" w:eastAsia="ar-SA" w:bidi="ar-SA"/>
        </w:rPr>
        <w:t>erramenta de Interface Visual</w:t>
      </w:r>
    </w:p>
    <w:p>
      <w:pPr>
        <w:pStyle w:val="Normal"/>
        <w:rPr>
          <w:lang w:val="en-US" w:eastAsia="ar-SA"/>
        </w:rPr>
      </w:pPr>
      <w:r>
        <w:rPr>
          <w:lang w:val="pt-BR" w:eastAsia="ar-SA"/>
        </w:rPr>
        <w:t>O processo de desenvolvimento do software Simuload envolveu diversas etapas, dentre as quais se destacam a escolha das ferramentas e tecnologias a serem utilizadas. Para a criação da interface gráfica, optou-se pela ferramenta PyQt 5, que oferece uma vasta gama de recursos para desenvolvimento de interfaces gráficas em Python, incluindo widgets,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Através do software Qt Designer, é possível desenhar as telas no formato .ui, definindo todas as suas estruturas e nome das variáveis onde serão inseridos os valores de texto. Com os arquivos .ui em mãos, o PyQt 5 é responsável por transformá-los em código Python, possibilitando a integração das telas com o sistema.</w:t>
      </w:r>
    </w:p>
    <w:p>
      <w:pPr>
        <w:pStyle w:val="Normal"/>
        <w:rPr>
          <w:lang w:val="en-US" w:eastAsia="ar-SA"/>
        </w:rPr>
      </w:pPr>
      <w:r>
        <w:rPr>
          <w:lang w:val="pt-BR"/>
        </w:rPr>
      </w:r>
    </w:p>
    <w:p>
      <w:pPr>
        <w:pStyle w:val="Normal"/>
        <w:ind w:hanging="0"/>
        <w:jc w:val="center"/>
        <w:rPr>
          <w:lang w:val="en-US" w:eastAsia="ar-SA"/>
        </w:rPr>
      </w:pPr>
      <w:bookmarkStart w:id="24" w:name="docs-internal-guid-a4bbfa75-7fff-e4ee-23"/>
      <w:bookmarkEnd w:id="24"/>
      <w:r>
        <w:rPr>
          <w:caps w:val="false"/>
          <w:smallCaps w:val="false"/>
          <w:strike w:val="false"/>
          <w:dstrike w:val="false"/>
          <w:color w:val="000000"/>
          <w:u w:val="none"/>
          <w:effect w:val="none"/>
          <w:shd w:fill="auto" w:val="clear"/>
          <w:lang w:val="pt-BR" w:eastAsia="ar-SA"/>
        </w:rPr>
        <w:drawing>
          <wp:inline distT="0" distB="0" distL="0" distR="0">
            <wp:extent cx="5734050" cy="4048125"/>
            <wp:effectExtent l="0" t="0" r="0" b="0"/>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15"/>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Ttulo3"/>
        <w:numPr>
          <w:ilvl w:val="2"/>
          <w:numId w:val="2"/>
        </w:numPr>
        <w:rPr>
          <w:rFonts w:ascii="Calibri Light" w:hAnsi="Calibri Light" w:eastAsia="" w:cs="" w:asciiTheme="majorHAnsi" w:cstheme="majorBidi" w:eastAsiaTheme="majorEastAsia" w:hAnsiTheme="majorHAnsi"/>
          <w:i/>
          <w:i/>
          <w:color w:val="auto"/>
          <w:kern w:val="0"/>
          <w:sz w:val="24"/>
          <w:szCs w:val="24"/>
          <w:lang w:val="pt-BR" w:eastAsia="ar-SA" w:bidi="ar-SA"/>
        </w:rPr>
      </w:pPr>
      <w:bookmarkStart w:id="25" w:name="__RefHeading___Toc552_3461207297"/>
      <w:bookmarkEnd w:id="25"/>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que oferece uma ampla variedade de gráficos e recursos de visualização de dados em Python, além de ser fácil de usar e ter uma boa documentação. O Matplotlib foi utilizado para a criação dos gráficos de curvas de carga simuladas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rFonts w:ascii="Calibri Light" w:hAnsi="Calibri Light" w:eastAsia="" w:cs="" w:asciiTheme="majorHAnsi" w:cstheme="majorBidi" w:eastAsiaTheme="majorEastAsia" w:hAnsiTheme="majorHAnsi"/>
          <w:i/>
          <w:i/>
          <w:color w:val="auto"/>
          <w:kern w:val="0"/>
          <w:sz w:val="24"/>
          <w:szCs w:val="24"/>
          <w:lang w:val="pt-BR" w:eastAsia="ar-SA" w:bidi="ar-SA"/>
        </w:rPr>
      </w:pPr>
      <w:bookmarkStart w:id="26" w:name="__RefHeading___Toc554_3461207297"/>
      <w:bookmarkEnd w:id="26"/>
      <w:r>
        <w:rPr>
          <w:rFonts w:eastAsia="" w:cs="" w:cstheme="majorBidi" w:eastAsiaTheme="majorEastAsia"/>
          <w:i/>
          <w:color w:val="auto"/>
          <w:kern w:val="0"/>
          <w:sz w:val="24"/>
          <w:szCs w:val="24"/>
          <w:lang w:val="pt-BR" w:eastAsia="ar-SA" w:bidi="ar-SA"/>
        </w:rPr>
        <w:t>Banco de Dados e Armazenamento</w:t>
      </w:r>
    </w:p>
    <w:p>
      <w:pPr>
        <w:pStyle w:val="Normal"/>
        <w:rPr>
          <w:lang w:val="en-US" w:eastAsia="ar-SA"/>
        </w:rPr>
      </w:pPr>
      <w:r>
        <w:rPr>
          <w:lang w:val="pt-BR" w:eastAsia="ar-SA"/>
        </w:rPr>
        <w:t>O Simuload utiliza um banco de dados relacional que inclui quatro entidades: Equipamento, Carga, Curva e Transformador. A entidade Equipamento representa os equipamentos que compõem uma carga em Watts [W]. Já a entidade Carga representa um estabelecimento consumidor em Watts [W], podendo ser uma casa, um galpão, um mercado, iluminação pública, entre outros. A entidade Curva representa a distribuição temporal do consumo de várias cargas e, consequentemente, o consumo de energia elétrica numa região atendida por um transformador. Por fim, a entidade Transformador representa o fornecimento na curva característica de um transformador que atende uma região.</w:t>
      </w:r>
    </w:p>
    <w:p>
      <w:pPr>
        <w:pStyle w:val="Normal"/>
        <w:rPr>
          <w:lang w:val="en-US" w:eastAsia="ar-SA"/>
        </w:rPr>
      </w:pPr>
      <w:r>
        <w:rPr>
          <w:lang w:val="pt-BR" w:eastAsia="ar-SA"/>
        </w:rPr>
        <w:t>As entidades no banco de dados são relacionadas entre si. A entidade Equipamento tem uma relação de muitos para muitos com a entidade Carga, e para isso existe uma tabela associativa CargaEquipamento que relaciona quais Equipamentos fazem parte de quais Cargas. A entidade Carga tem uma relação de muitos para muitos com a entidade Curva, e para isso também existe uma tabela associativa CurvaCarga que relaciona quais Curvas possuem quais Cargas. A entidade Transformador é independente e possui uma estrutura de demanda distribuída ao longo do tempo, assim como o equipamento. Essas relações permitem que os dados sejam organizados e recuperados de forma eficiente no Simuload.</w:t>
      </w:r>
    </w:p>
    <w:p>
      <w:pPr>
        <w:pStyle w:val="Normal"/>
        <w:rPr>
          <w:lang w:val="en-US" w:eastAsia="ar-SA"/>
        </w:rPr>
      </w:pPr>
      <w:r>
        <w:rPr>
          <w:lang w:val="pt-BR"/>
        </w:rPr>
      </w:r>
    </w:p>
    <w:p>
      <w:pPr>
        <w:pStyle w:val="Normal"/>
        <w:ind w:hanging="0"/>
        <w:jc w:val="center"/>
        <w:rPr>
          <w:lang w:val="en-US" w:eastAsia="ar-SA"/>
        </w:rPr>
      </w:pPr>
      <w:bookmarkStart w:id="27" w:name="docs-internal-guid-e3e84444-7fff-3a76-56"/>
      <w:bookmarkEnd w:id="27"/>
      <w:r>
        <w:rPr>
          <w:caps w:val="false"/>
          <w:smallCaps w:val="false"/>
          <w:strike w:val="false"/>
          <w:dstrike w:val="false"/>
          <w:color w:val="000000"/>
          <w:u w:val="none"/>
          <w:effect w:val="none"/>
          <w:shd w:fill="auto" w:val="clear"/>
          <w:lang w:val="pt-BR" w:eastAsia="ar-SA"/>
        </w:rPr>
        <w:drawing>
          <wp:inline distT="0" distB="0" distL="0" distR="0">
            <wp:extent cx="5734050" cy="2733675"/>
            <wp:effectExtent l="0" t="0" r="0" b="0"/>
            <wp:docPr id="4"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2" descr=""/>
                    <pic:cNvPicPr>
                      <a:picLocks noChangeAspect="1" noChangeArrowheads="1"/>
                    </pic:cNvPicPr>
                  </pic:nvPicPr>
                  <pic:blipFill>
                    <a:blip r:embed="rId16"/>
                    <a:stretch>
                      <a:fillRect/>
                    </a:stretch>
                  </pic:blipFill>
                  <pic:spPr bwMode="auto">
                    <a:xfrm>
                      <a:off x="0" y="0"/>
                      <a:ext cx="5734050" cy="2733675"/>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Normal"/>
        <w:rPr>
          <w:lang w:val="en-US" w:eastAsia="ar-SA"/>
        </w:rPr>
      </w:pPr>
      <w:r>
        <w:rPr>
          <w:lang w:val="pt-BR" w:eastAsia="ar-SA"/>
        </w:rPr>
        <w:t>Para armazenar os dados das simulações realizadas, foi utilizado o banco de dados em memória SQLite, que oferece uma solução simples e eficiente para armazenamento de dados estruturados em Python, além de ser compatível com diversos sistemas operacionais.</w:t>
      </w:r>
    </w:p>
    <w:p>
      <w:pPr>
        <w:pStyle w:val="Normal"/>
        <w:rPr>
          <w:lang w:val="en-US" w:eastAsia="ar-SA"/>
        </w:rPr>
      </w:pPr>
      <w:r>
        <w:rPr>
          <w:lang w:val="pt-BR"/>
        </w:rPr>
      </w:r>
    </w:p>
    <w:p>
      <w:pPr>
        <w:pStyle w:val="Normal"/>
        <w:ind w:hanging="0"/>
        <w:jc w:val="center"/>
        <w:rPr>
          <w:lang w:val="en-US" w:eastAsia="ar-SA"/>
        </w:rPr>
      </w:pPr>
      <w:bookmarkStart w:id="28" w:name="docs-internal-guid-89753960-7fff-80ea-61"/>
      <w:bookmarkEnd w:id="28"/>
      <w:r>
        <w:rPr>
          <w:caps w:val="false"/>
          <w:smallCaps w:val="false"/>
          <w:strike w:val="false"/>
          <w:dstrike w:val="false"/>
          <w:color w:val="000000"/>
          <w:u w:val="none"/>
          <w:effect w:val="none"/>
          <w:shd w:fill="auto" w:val="clear"/>
          <w:lang w:val="pt-BR" w:eastAsia="ar-SA"/>
        </w:rPr>
        <w:drawing>
          <wp:inline distT="0" distB="0" distL="0" distR="0">
            <wp:extent cx="5734050" cy="3200400"/>
            <wp:effectExtent l="0" t="0" r="0" b="0"/>
            <wp:docPr id="5"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descr=""/>
                    <pic:cNvPicPr>
                      <a:picLocks noChangeAspect="1" noChangeArrowheads="1"/>
                    </pic:cNvPicPr>
                  </pic:nvPicPr>
                  <pic:blipFill>
                    <a:blip r:embed="rId17"/>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Normal"/>
        <w:rPr>
          <w:lang w:val="en-US" w:eastAsia="ar-SA"/>
        </w:rPr>
      </w:pPr>
      <w:r>
        <w:rPr>
          <w:lang w:val="pt-BR" w:eastAsia="ar-SA"/>
        </w:rPr>
        <w:t xml:space="preserve">Para exportar os dados dos gráficos em formato CSV, foi utilizado o módulo csv nativo do Python, além dos próprios métodos utilitários do módulo os que permite a criação de pastas na máquina para organização dos arquivos CSV gerados. </w:t>
      </w:r>
    </w:p>
    <w:p>
      <w:pPr>
        <w:pStyle w:val="Normal"/>
        <w:rPr>
          <w:lang w:val="en-US" w:eastAsia="ar-SA"/>
        </w:rPr>
      </w:pPr>
      <w:r>
        <w:rPr>
          <w:lang w:val="pt-BR" w:eastAsia="ar-SA"/>
        </w:rPr>
        <w:t>Por fim, para gerar um executável do software, foi utilizada a ferramenta PyInstaller,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O executável é capaz de armazenar as curvas exportadas e reconhecer o arquivo do banco de dados na sua própria pasta, além das imagens de logo do software, sendo essa a estrutura dos arquivos compactados de distribuição para download.</w:t>
      </w:r>
    </w:p>
    <w:p>
      <w:pPr>
        <w:pStyle w:val="Normal"/>
        <w:rPr>
          <w:lang w:val="en-US" w:eastAsia="ar-SA"/>
        </w:rPr>
      </w:pPr>
      <w:r>
        <w:rPr>
          <w:lang w:val="pt-BR"/>
        </w:rPr>
      </w:r>
    </w:p>
    <w:p>
      <w:pPr>
        <w:pStyle w:val="Normal"/>
        <w:jc w:val="center"/>
        <w:rPr>
          <w:lang w:val="en-US" w:eastAsia="ar-SA"/>
        </w:rPr>
      </w:pPr>
      <w:bookmarkStart w:id="29" w:name="docs-internal-guid-ebc5e8ba-7fff-c754-06"/>
      <w:bookmarkEnd w:id="29"/>
      <w:r>
        <w:rPr>
          <w:caps w:val="false"/>
          <w:smallCaps w:val="false"/>
          <w:strike w:val="false"/>
          <w:dstrike w:val="false"/>
          <w:color w:val="000000"/>
          <w:u w:val="none"/>
          <w:effect w:val="none"/>
          <w:shd w:fill="auto" w:val="clear"/>
          <w:lang w:val="pt-BR" w:eastAsia="ar-SA"/>
        </w:rPr>
        <w:drawing>
          <wp:inline distT="0" distB="0" distL="0" distR="0">
            <wp:extent cx="4638675" cy="2809875"/>
            <wp:effectExtent l="0" t="0" r="0" b="0"/>
            <wp:docPr id="6"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pic:cNvPicPr>
                      <a:picLocks noChangeAspect="1" noChangeArrowheads="1"/>
                    </pic:cNvPicPr>
                  </pic:nvPicPr>
                  <pic:blipFill>
                    <a:blip r:embed="rId18"/>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Ttulo2"/>
        <w:numPr>
          <w:ilvl w:val="1"/>
          <w:numId w:val="2"/>
        </w:numPr>
        <w:rPr>
          <w:rFonts w:ascii="Calibri Light" w:hAnsi="Calibri Light" w:eastAsia="" w:cs="" w:asciiTheme="majorHAnsi" w:cstheme="majorBidi" w:eastAsiaTheme="majorEastAsia" w:hAnsiTheme="majorHAnsi"/>
          <w:b/>
          <w:b/>
          <w:color w:val="auto"/>
          <w:kern w:val="0"/>
          <w:sz w:val="28"/>
          <w:szCs w:val="26"/>
          <w:lang w:val="pt-BR" w:eastAsia="pt-BR" w:bidi="ar-SA"/>
        </w:rPr>
      </w:pPr>
      <w:bookmarkStart w:id="30" w:name="__RefHeading___Toc556_3461207297"/>
      <w:bookmarkStart w:id="31" w:name="_Toc657023431"/>
      <w:bookmarkEnd w:id="30"/>
      <w:r>
        <w:rPr>
          <w:rFonts w:eastAsia="" w:cs="" w:cstheme="majorBidi" w:eastAsiaTheme="majorEastAsia"/>
          <w:b/>
          <w:color w:val="auto"/>
          <w:kern w:val="0"/>
          <w:sz w:val="28"/>
          <w:szCs w:val="26"/>
          <w:lang w:val="pt-BR" w:eastAsia="pt-BR" w:bidi="ar-SA"/>
        </w:rPr>
        <w:t>M</w:t>
      </w:r>
      <w:bookmarkEnd w:id="31"/>
      <w:r>
        <w:rPr>
          <w:rFonts w:eastAsia="" w:cs="" w:cstheme="majorBidi" w:eastAsiaTheme="majorEastAsia"/>
          <w:b/>
          <w:color w:val="auto"/>
          <w:kern w:val="0"/>
          <w:sz w:val="28"/>
          <w:szCs w:val="26"/>
          <w:lang w:val="pt-BR" w:eastAsia="pt-BR" w:bidi="ar-SA"/>
        </w:rPr>
        <w:t>apeamento de Dados</w:t>
      </w:r>
    </w:p>
    <w:p>
      <w:pPr>
        <w:pStyle w:val="Normal"/>
        <w:rPr>
          <w:lang w:val="en-US" w:eastAsia="ar-SA"/>
        </w:rPr>
      </w:pPr>
      <w:r>
        <w:rPr>
          <w:lang w:val="pt-BR" w:eastAsia="ar-SA"/>
        </w:rPr>
        <w:t>Para a coleta de dados utilizados na simulação, foram utilizadas informações retiradas do PPH 2019 do Procel. O Procel é um programa de governo coordenado pelo Ministério de Minas e Energia - MME e executado pela Eletrobras, cujo objetivo é promover a conservação de energia elétrica. A Pesquisa de Posse e Hábitos de Consumo de Energia (PPH)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w:t>
      </w:r>
    </w:p>
    <w:p>
      <w:pPr>
        <w:pStyle w:val="Normal"/>
        <w:rPr>
          <w:lang w:val="en-US" w:eastAsia="ar-SA"/>
        </w:rPr>
      </w:pPr>
      <w:r>
        <w:rPr>
          <w:lang w:val="pt-BR"/>
        </w:rPr>
      </w:r>
    </w:p>
    <w:p>
      <w:pPr>
        <w:pStyle w:val="Normal"/>
        <w:ind w:hanging="0"/>
        <w:jc w:val="center"/>
        <w:rPr>
          <w:lang w:val="en-US" w:eastAsia="ar-SA"/>
        </w:rPr>
      </w:pPr>
      <w:bookmarkStart w:id="32" w:name="docs-internal-guid-fe47d6b5-7fff-9341-59"/>
      <w:bookmarkEnd w:id="32"/>
      <w:r>
        <w:rPr>
          <w:caps w:val="false"/>
          <w:smallCaps w:val="false"/>
          <w:strike w:val="false"/>
          <w:dstrike w:val="false"/>
          <w:color w:val="000000"/>
          <w:u w:val="none"/>
          <w:effect w:val="none"/>
          <w:shd w:fill="auto" w:val="clear"/>
          <w:lang w:val="pt-BR" w:eastAsia="ar-SA"/>
        </w:rPr>
        <w:drawing>
          <wp:inline distT="0" distB="0" distL="0" distR="0">
            <wp:extent cx="5734050" cy="3171825"/>
            <wp:effectExtent l="0" t="0" r="0" b="0"/>
            <wp:docPr id="7"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pic:cNvPicPr>
                      <a:picLocks noChangeAspect="1" noChangeArrowheads="1"/>
                    </pic:cNvPicPr>
                  </pic:nvPicPr>
                  <pic:blipFill>
                    <a:blip r:embed="rId19"/>
                    <a:stretch>
                      <a:fillRect/>
                    </a:stretch>
                  </pic:blipFill>
                  <pic:spPr bwMode="auto">
                    <a:xfrm>
                      <a:off x="0" y="0"/>
                      <a:ext cx="5734050" cy="3171825"/>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Ttulo2"/>
        <w:numPr>
          <w:ilvl w:val="1"/>
          <w:numId w:val="2"/>
        </w:numPr>
        <w:rPr>
          <w:rFonts w:ascii="Calibri Light" w:hAnsi="Calibri Light" w:eastAsia="" w:cs="" w:asciiTheme="majorHAnsi" w:cstheme="majorBidi" w:eastAsiaTheme="majorEastAsia" w:hAnsiTheme="majorHAnsi"/>
          <w:b/>
          <w:b/>
          <w:color w:val="auto"/>
          <w:kern w:val="0"/>
          <w:sz w:val="28"/>
          <w:szCs w:val="26"/>
          <w:lang w:val="pt-BR" w:eastAsia="pt-BR" w:bidi="ar-SA"/>
        </w:rPr>
      </w:pPr>
      <w:bookmarkStart w:id="33" w:name="__RefHeading___Toc558_3461207297"/>
      <w:bookmarkEnd w:id="33"/>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(TCC),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Dentro de um loop principal, percorre-se cada ponto do vetor de interpolação. Para cada ponto, são realizadas as seguintes etapas:</w:t>
      </w:r>
    </w:p>
    <w:p>
      <w:pPr>
        <w:pStyle w:val="Normal"/>
        <w:rPr>
          <w:lang w:val="en-US" w:eastAsia="ar-SA"/>
        </w:rPr>
      </w:pPr>
      <w:r>
        <w:rPr>
          <w:lang w:val="pt-BR"/>
        </w:rPr>
      </w:r>
    </w:p>
    <w:p>
      <w:pPr>
        <w:pStyle w:val="Normal"/>
        <w:numPr>
          <w:ilvl w:val="0"/>
          <w:numId w:val="30"/>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30"/>
        </w:numPr>
        <w:rPr>
          <w:lang w:val="pt-BR"/>
        </w:rPr>
      </w:pPr>
      <w:r>
        <w:rPr>
          <w:lang w:val="pt-BR" w:eastAsia="ar-SA"/>
        </w:rPr>
        <w:t>Se o intervalo de interpolação for menor do que 1 hora (por exemplo, 30 minutos), entra-se em um loop adicional para gerar os pontos aleatórios. Caso contrário, pula-se esta etapa.</w:t>
      </w:r>
    </w:p>
    <w:p>
      <w:pPr>
        <w:pStyle w:val="Normal"/>
        <w:numPr>
          <w:ilvl w:val="0"/>
          <w:numId w:val="30"/>
        </w:numPr>
        <w:rPr>
          <w:lang w:val="pt-BR"/>
        </w:rPr>
      </w:pPr>
      <w:r>
        <w:rPr>
          <w:lang w:val="pt-BR" w:eastAsia="ar-SA"/>
        </w:rPr>
        <w:t>Uma seed única é calculada com base na soma de todos os valores do vetor de consumo original. A seed é um número fixo que, quando definido, garante que os valores aleatórios gerados sejam os mesmos para todas as simulações de uma mesma curva.</w:t>
      </w:r>
    </w:p>
    <w:p>
      <w:pPr>
        <w:pStyle w:val="Normal"/>
        <w:numPr>
          <w:ilvl w:val="0"/>
          <w:numId w:val="30"/>
        </w:numPr>
        <w:rPr>
          <w:lang w:val="pt-BR"/>
        </w:rPr>
      </w:pPr>
      <w:r>
        <w:rPr>
          <w:lang w:val="pt-BR" w:eastAsia="ar-SA"/>
        </w:rPr>
        <w:t>Um número aleatório é gerado dentro de um intervalo predefinido, representando a variação percentual permitida em relação ao valor base. Neste caso, a variação é definida em até 40% do valor base, positiva ou negativa.</w:t>
      </w:r>
    </w:p>
    <w:p>
      <w:pPr>
        <w:pStyle w:val="Normal"/>
        <w:numPr>
          <w:ilvl w:val="0"/>
          <w:numId w:val="30"/>
        </w:numPr>
        <w:rPr>
          <w:lang w:val="pt-BR"/>
        </w:rPr>
      </w:pPr>
      <w:r>
        <w:rPr>
          <w:lang w:val="pt-BR" w:eastAsia="ar-SA"/>
        </w:rPr>
        <w:t>Dependendo do índice do ponto no loop, o sinal do valor aleatório gerado é invertido para alternar entre valores positivos e negativos.</w:t>
      </w:r>
    </w:p>
    <w:p>
      <w:pPr>
        <w:pStyle w:val="Normal"/>
        <w:numPr>
          <w:ilvl w:val="0"/>
          <w:numId w:val="30"/>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30"/>
        </w:numPr>
        <w:rPr>
          <w:lang w:val="pt-BR"/>
        </w:rPr>
      </w:pPr>
      <w:r>
        <w:rPr>
          <w:lang w:val="pt-BR" w:eastAsia="ar-SA"/>
        </w:rPr>
        <w:t>Um novo valor médio é acumulado a partir dos valores gerados, pois cada valor contribui para a média total do subintervalo.</w:t>
      </w:r>
    </w:p>
    <w:p>
      <w:pPr>
        <w:pStyle w:val="Normal"/>
        <w:numPr>
          <w:ilvl w:val="0"/>
          <w:numId w:val="30"/>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30"/>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30"/>
        </w:numPr>
        <w:rPr>
          <w:lang w:val="en-US" w:eastAsia="ar-SA"/>
        </w:rPr>
      </w:pPr>
      <w:r>
        <w:rPr>
          <w:lang w:val="pt-BR" w:eastAsia="ar-SA"/>
        </w:rPr>
        <w:t>O loop continua para o próximo subintervalo até que todos os pontos do vetor de interpolação sejam processados.</w:t>
      </w:r>
    </w:p>
    <w:p>
      <w:pPr>
        <w:pStyle w:val="Normal"/>
        <w:rPr>
          <w:lang w:val="en-US" w:eastAsia="ar-SA"/>
        </w:rPr>
      </w:pPr>
      <w:r>
        <w:rPr>
          <w:lang w:val="pt-BR"/>
        </w:rPr>
      </w:r>
    </w:p>
    <w:p>
      <w:pPr>
        <w:pStyle w:val="Normal"/>
        <w:rPr>
          <w:lang w:val="en-US" w:eastAsia="ar-SA"/>
        </w:rPr>
      </w:pPr>
      <w:r>
        <w:rPr>
          <w:lang w:val="pt-BR" w:eastAsia="ar-SA"/>
        </w:rPr>
        <w:t>Ao final do algoritmo, é retornado um vetor contendo os pontos interpolados da curva de carga, representados em quilowatts (kW). Esse vetor é utilizado para visualizar a curva de carga com maior resolução, refletindo o consumo detalhado dos equipamentos ao longo do tempo. Em algumas simulações, tem-se a impressão de que a curva de carga com intervalos menores tem 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4" w:name="__RefHeading___Toc809_3772085703"/>
      <w:bookmarkEnd w:id="34"/>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alunos em um estudo de caso real, visando mapear uma região com suas respectivas cargas e equipamentos elétricos. Essa atividade é realizada durante a matéria - Laboratório Integrado VI -, no sétimo semestre do curso de Engenharia Elétrica da UFBA. Tal atividade consiste em simular a curva de carga da região e escolher o transformador adequado para atender as condições de demanda de energia elétrica. Essa é uma atividade de suma importância na formação dos estudantes, pois a partir dela é possível ter insumos que irão nortear a necessidade elétrica de um determinado local. </w:t>
      </w:r>
    </w:p>
    <w:p>
      <w:pPr>
        <w:pStyle w:val="Ttulo2"/>
        <w:numPr>
          <w:ilvl w:val="1"/>
          <w:numId w:val="2"/>
        </w:numPr>
        <w:rPr>
          <w:rFonts w:ascii="Calibri Light" w:hAnsi="Calibri Light" w:eastAsia="" w:cs="" w:asciiTheme="majorHAnsi" w:cstheme="majorBidi" w:eastAsiaTheme="majorEastAsia" w:hAnsiTheme="majorHAnsi"/>
          <w:b/>
          <w:b/>
          <w:color w:val="auto"/>
          <w:kern w:val="0"/>
          <w:sz w:val="28"/>
          <w:szCs w:val="26"/>
          <w:lang w:val="pt-BR" w:eastAsia="pt-BR" w:bidi="ar-SA"/>
        </w:rPr>
      </w:pPr>
      <w:bookmarkStart w:id="35" w:name="__RefHeading___Toc811_3772085703"/>
      <w:bookmarkEnd w:id="35"/>
      <w:r>
        <w:rPr>
          <w:rFonts w:eastAsia="" w:cs="" w:cstheme="majorBidi" w:eastAsiaTheme="majorEastAsia"/>
          <w:b/>
          <w:color w:val="auto"/>
          <w:kern w:val="0"/>
          <w:sz w:val="28"/>
          <w:szCs w:val="26"/>
          <w:lang w:val="pt-BR" w:eastAsia="pt-BR" w:bidi="ar-SA"/>
        </w:rPr>
        <w:t xml:space="preserve">Simulando </w:t>
      </w:r>
      <w:r>
        <w:rPr>
          <w:rFonts w:eastAsia="" w:cs="" w:cstheme="majorBidi" w:eastAsiaTheme="majorEastAsia"/>
          <w:b/>
          <w:color w:val="auto"/>
          <w:kern w:val="0"/>
          <w:sz w:val="28"/>
          <w:szCs w:val="26"/>
          <w:lang w:val="pt-BR" w:eastAsia="pt-BR" w:bidi="ar-SA"/>
        </w:rPr>
        <w:t>com outros Softwares</w:t>
      </w:r>
    </w:p>
    <w:p>
      <w:pPr>
        <w:pStyle w:val="Normal"/>
        <w:rPr>
          <w:lang w:val="en-US" w:eastAsia="ar-SA"/>
        </w:rPr>
      </w:pPr>
      <w:r>
        <w:rPr>
          <w:lang w:val="pt-BR" w:eastAsia="ar-SA"/>
        </w:rPr>
        <w:t>Para simular os gráficos de curvas de cargas sem o Simuload, geralmente é utilizado um software de planilhas como Microsoft Excel ou Google Sheets.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O consumo dos estabelecimentos são calculados a partir desses valores e utilizados na simulação, comparando com as curvas do transformador conforme mostrado nas figuras abaixo.</w:t>
      </w:r>
    </w:p>
    <w:p>
      <w:pPr>
        <w:pStyle w:val="Normal"/>
        <w:rPr>
          <w:lang w:val="en-US" w:eastAsia="ar-SA"/>
        </w:rPr>
      </w:pPr>
      <w:r>
        <w:rPr>
          <w:lang w:val="pt-BR"/>
        </w:rPr>
      </w:r>
    </w:p>
    <w:p>
      <w:pPr>
        <w:pStyle w:val="Normal"/>
        <w:ind w:hanging="0"/>
        <w:jc w:val="center"/>
        <w:rPr>
          <w:lang w:val="en-US" w:eastAsia="ar-SA"/>
        </w:rPr>
      </w:pPr>
      <w:bookmarkStart w:id="36" w:name="docs-internal-guid-52770351-7fff-fbe0-19"/>
      <w:bookmarkEnd w:id="36"/>
      <w:r>
        <w:rPr>
          <w:caps w:val="false"/>
          <w:smallCaps w:val="false"/>
          <w:strike w:val="false"/>
          <w:dstrike w:val="false"/>
          <w:color w:val="000000"/>
          <w:u w:val="none"/>
          <w:effect w:val="none"/>
          <w:shd w:fill="auto" w:val="clear"/>
          <w:lang w:val="pt-BR" w:eastAsia="ar-SA"/>
        </w:rPr>
        <w:drawing>
          <wp:inline distT="0" distB="0" distL="0" distR="0">
            <wp:extent cx="5734050" cy="4829175"/>
            <wp:effectExtent l="0" t="0" r="0" b="0"/>
            <wp:docPr id="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 descr=""/>
                    <pic:cNvPicPr>
                      <a:picLocks noChangeAspect="1" noChangeArrowheads="1"/>
                    </pic:cNvPicPr>
                  </pic:nvPicPr>
                  <pic:blipFill>
                    <a:blip r:embed="rId20"/>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Normal"/>
        <w:ind w:hanging="0"/>
        <w:jc w:val="center"/>
        <w:rPr>
          <w:lang w:val="en-US" w:eastAsia="ar-SA"/>
        </w:rPr>
      </w:pPr>
      <w:bookmarkStart w:id="37" w:name="docs-internal-guid-87949f31-7fff-17c0-86"/>
      <w:bookmarkEnd w:id="37"/>
      <w:r>
        <w:rPr>
          <w:caps w:val="false"/>
          <w:smallCaps w:val="false"/>
          <w:strike w:val="false"/>
          <w:dstrike w:val="false"/>
          <w:color w:val="000000"/>
          <w:u w:val="none"/>
          <w:effect w:val="none"/>
          <w:shd w:fill="auto" w:val="clear"/>
          <w:lang w:val="pt-BR" w:eastAsia="ar-SA"/>
        </w:rPr>
        <w:drawing>
          <wp:inline distT="0" distB="0" distL="0" distR="0">
            <wp:extent cx="5734050" cy="3438525"/>
            <wp:effectExtent l="0" t="0" r="0" b="0"/>
            <wp:docPr id="9"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7" descr=""/>
                    <pic:cNvPicPr>
                      <a:picLocks noChangeAspect="1" noChangeArrowheads="1"/>
                    </pic:cNvPicPr>
                  </pic:nvPicPr>
                  <pic:blipFill>
                    <a:blip r:embed="rId21"/>
                    <a:stretch>
                      <a:fillRect/>
                    </a:stretch>
                  </pic:blipFill>
                  <pic:spPr bwMode="auto">
                    <a:xfrm>
                      <a:off x="0" y="0"/>
                      <a:ext cx="5734050" cy="3438525"/>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Normal"/>
        <w:ind w:hanging="0"/>
        <w:jc w:val="center"/>
        <w:rPr>
          <w:lang w:val="en-US" w:eastAsia="ar-SA"/>
        </w:rPr>
      </w:pPr>
      <w:bookmarkStart w:id="38" w:name="docs-internal-guid-6c0e6f9f-7fff-264e-72"/>
      <w:bookmarkEnd w:id="38"/>
      <w:r>
        <w:rPr>
          <w:caps w:val="false"/>
          <w:smallCaps w:val="false"/>
          <w:strike w:val="false"/>
          <w:dstrike w:val="false"/>
          <w:color w:val="000000"/>
          <w:u w:val="none"/>
          <w:effect w:val="none"/>
          <w:shd w:fill="auto" w:val="clear"/>
          <w:lang w:val="pt-BR" w:eastAsia="ar-SA"/>
        </w:rPr>
        <w:drawing>
          <wp:inline distT="0" distB="0" distL="0" distR="0">
            <wp:extent cx="5734050" cy="4124325"/>
            <wp:effectExtent l="0" t="0" r="0" b="0"/>
            <wp:docPr id="10"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8" descr=""/>
                    <pic:cNvPicPr>
                      <a:picLocks noChangeAspect="1" noChangeArrowheads="1"/>
                    </pic:cNvPicPr>
                  </pic:nvPicPr>
                  <pic:blipFill>
                    <a:blip r:embed="rId22"/>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Normal"/>
        <w:ind w:hanging="0"/>
        <w:jc w:val="center"/>
        <w:rPr>
          <w:lang w:val="en-US" w:eastAsia="ar-SA"/>
        </w:rPr>
      </w:pPr>
      <w:bookmarkStart w:id="39" w:name="docs-internal-guid-804cc231-7fff-3817-6a"/>
      <w:bookmarkEnd w:id="39"/>
      <w:r>
        <w:rPr>
          <w:caps w:val="false"/>
          <w:smallCaps w:val="false"/>
          <w:strike w:val="false"/>
          <w:dstrike w:val="false"/>
          <w:color w:val="000000"/>
          <w:u w:val="none"/>
          <w:effect w:val="none"/>
          <w:shd w:fill="auto" w:val="clear"/>
          <w:lang w:val="pt-BR" w:eastAsia="ar-SA"/>
        </w:rPr>
        <w:drawing>
          <wp:inline distT="0" distB="0" distL="0" distR="0">
            <wp:extent cx="5734050" cy="3543300"/>
            <wp:effectExtent l="0" t="0" r="0" b="0"/>
            <wp:docPr id="11"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9" descr=""/>
                    <pic:cNvPicPr>
                      <a:picLocks noChangeAspect="1" noChangeArrowheads="1"/>
                    </pic:cNvPicPr>
                  </pic:nvPicPr>
                  <pic:blipFill>
                    <a:blip r:embed="rId23"/>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Ttulo2"/>
        <w:numPr>
          <w:ilvl w:val="1"/>
          <w:numId w:val="2"/>
        </w:numPr>
        <w:rPr>
          <w:rFonts w:ascii="Calibri Light" w:hAnsi="Calibri Light" w:eastAsia="" w:cs="" w:asciiTheme="majorHAnsi" w:cstheme="majorBidi" w:eastAsiaTheme="majorEastAsia" w:hAnsiTheme="majorHAnsi"/>
          <w:b/>
          <w:b/>
          <w:color w:val="auto"/>
          <w:kern w:val="0"/>
          <w:sz w:val="28"/>
          <w:szCs w:val="26"/>
          <w:lang w:val="pt-BR" w:eastAsia="pt-BR" w:bidi="ar-SA"/>
        </w:rPr>
      </w:pPr>
      <w:bookmarkStart w:id="40" w:name="__RefHeading___Toc560_3461207297"/>
      <w:bookmarkStart w:id="41" w:name="_Toc657023461"/>
      <w:bookmarkEnd w:id="40"/>
      <w:r>
        <w:rPr>
          <w:rFonts w:eastAsia="" w:cs="" w:cstheme="majorBidi" w:eastAsiaTheme="majorEastAsia"/>
          <w:b/>
          <w:color w:val="auto"/>
          <w:kern w:val="0"/>
          <w:sz w:val="28"/>
          <w:szCs w:val="26"/>
          <w:lang w:val="pt-BR" w:eastAsia="pt-BR" w:bidi="ar-SA"/>
        </w:rPr>
        <w:t>A</w:t>
      </w:r>
      <w:bookmarkEnd w:id="41"/>
      <w:r>
        <w:rPr>
          <w:rFonts w:eastAsia="" w:cs="" w:cstheme="majorBidi" w:eastAsiaTheme="majorEastAsia"/>
          <w:b/>
          <w:color w:val="auto"/>
          <w:kern w:val="0"/>
          <w:sz w:val="28"/>
          <w:szCs w:val="26"/>
          <w:lang w:val="pt-BR" w:eastAsia="pt-BR" w:bidi="ar-SA"/>
        </w:rPr>
        <w:t xml:space="preserve">plicação do </w:t>
      </w:r>
      <w:r>
        <w:rPr>
          <w:rFonts w:eastAsia="" w:cs="" w:cstheme="majorBidi" w:eastAsiaTheme="majorEastAsia"/>
          <w:b/>
          <w:color w:val="auto"/>
          <w:kern w:val="0"/>
          <w:sz w:val="28"/>
          <w:szCs w:val="26"/>
          <w:lang w:val="pt-BR" w:eastAsia="pt-BR" w:bidi="ar-SA"/>
        </w:rPr>
        <w:t>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com uso diário mapeados pelo PPH 2019 do Procel e potência mapeadas pela norma SM04.14-01.001 12ª edição da Neoenergia. Na tela principal é possível visualizar os comandos de criação de componentes ou simulações de curvas.</w:t>
      </w:r>
    </w:p>
    <w:p>
      <w:pPr>
        <w:pStyle w:val="Normal"/>
        <w:rPr>
          <w:lang w:val="en-US" w:eastAsia="ar-SA"/>
        </w:rPr>
      </w:pPr>
      <w:r>
        <w:rPr>
          <w:lang w:val="pt-BR"/>
        </w:rPr>
      </w:r>
    </w:p>
    <w:p>
      <w:pPr>
        <w:pStyle w:val="Normal"/>
        <w:ind w:hanging="0"/>
        <w:jc w:val="center"/>
        <w:rPr>
          <w:lang w:val="en-US" w:eastAsia="ar-SA"/>
        </w:rPr>
      </w:pPr>
      <w:bookmarkStart w:id="42" w:name="docs-internal-guid-27b534f7-7fff-1768-3f"/>
      <w:bookmarkEnd w:id="42"/>
      <w:r>
        <w:rPr>
          <w:caps w:val="false"/>
          <w:smallCaps w:val="false"/>
          <w:strike w:val="false"/>
          <w:dstrike w:val="false"/>
          <w:color w:val="1F2328"/>
          <w:u w:val="none"/>
          <w:effect w:val="none"/>
          <w:shd w:fill="FFFFFF" w:val="clear"/>
          <w:lang w:val="pt-BR" w:eastAsia="ar-SA"/>
        </w:rPr>
        <w:drawing>
          <wp:inline distT="0" distB="0" distL="0" distR="0">
            <wp:extent cx="5734050" cy="4543425"/>
            <wp:effectExtent l="0" t="0" r="0" b="0"/>
            <wp:docPr id="12"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0" descr=""/>
                    <pic:cNvPicPr>
                      <a:picLocks noChangeAspect="1" noChangeArrowheads="1"/>
                    </pic:cNvPicPr>
                  </pic:nvPicPr>
                  <pic:blipFill>
                    <a:blip r:embed="rId24"/>
                    <a:stretch>
                      <a:fillRect/>
                    </a:stretch>
                  </pic:blipFill>
                  <pic:spPr bwMode="auto">
                    <a:xfrm>
                      <a:off x="0" y="0"/>
                      <a:ext cx="5734050" cy="4543425"/>
                    </a:xfrm>
                    <a:prstGeom prst="rect">
                      <a:avLst/>
                    </a:prstGeom>
                  </pic:spPr>
                </pic:pic>
              </a:graphicData>
            </a:graphic>
          </wp:inline>
        </w:drawing>
      </w:r>
    </w:p>
    <w:p>
      <w:pPr>
        <w:pStyle w:val="Normal"/>
        <w:ind w:hanging="0"/>
        <w:rPr>
          <w:lang w:val="en-US" w:eastAsia="ar-SA"/>
        </w:rPr>
      </w:pPr>
      <w:r>
        <w:rPr>
          <w:lang w:val="pt-BR"/>
        </w:rPr>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Adicionar, editar ou excluir um equipamento são tarefas possíveis no menu equipamentos. No campo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podemos definir a distribuição de uso em 24 horas do equipamento seguindo o padrão de números entre 0 e 1 nos colchetes: [1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Após adicionar os equipamentos, foram definidas a potência, o fator de potência e a distribuição horária de uso de cada equipamento. No campo </w:t>
      </w:r>
      <w:r>
        <w:rPr>
          <w:caps w:val="false"/>
          <w:smallCaps w:val="false"/>
          <w:strike w:val="false"/>
          <w:dstrike w:val="false"/>
          <w:color w:val="1F2328"/>
          <w:u w:val="none"/>
          <w:effect w:val="none"/>
          <w:shd w:fill="FFFFFF" w:val="clear"/>
          <w:lang w:val="pt-BR" w:eastAsia="ar-SA"/>
        </w:rPr>
        <w:t>P</w:t>
      </w:r>
      <w:r>
        <w:rPr>
          <w:caps w:val="false"/>
          <w:smallCaps w:val="false"/>
          <w:strike w:val="false"/>
          <w:dstrike w:val="false"/>
          <w:color w:val="1F2328"/>
          <w:u w:val="none"/>
          <w:effect w:val="none"/>
          <w:shd w:fill="FFFFFF" w:val="clear"/>
          <w:lang w:val="pt-BR" w:eastAsia="ar-SA"/>
        </w:rPr>
        <w:t xml:space="preserve">otência [W] deve ser inserido um valor numérico que pode ser decimal utilizando um ponto no lugar da vírgula. O </w:t>
      </w:r>
      <w:r>
        <w:rPr>
          <w:caps w:val="false"/>
          <w:smallCaps w:val="false"/>
          <w:strike w:val="false"/>
          <w:dstrike w:val="false"/>
          <w:color w:val="1F2328"/>
          <w:u w:val="none"/>
          <w:effect w:val="none"/>
          <w:shd w:fill="FFFFFF" w:val="clear"/>
          <w:lang w:val="pt-BR" w:eastAsia="ar-SA"/>
        </w:rPr>
        <w:t>F</w:t>
      </w:r>
      <w:r>
        <w:rPr>
          <w:caps w:val="false"/>
          <w:smallCaps w:val="false"/>
          <w:strike w:val="false"/>
          <w:dstrike w:val="false"/>
          <w:color w:val="1F2328"/>
          <w:u w:val="none"/>
          <w:effect w:val="none"/>
          <w:shd w:fill="FFFFFF" w:val="clear"/>
          <w:lang w:val="pt-BR" w:eastAsia="ar-SA"/>
        </w:rPr>
        <w:t xml:space="preserve">ator de </w:t>
      </w:r>
      <w:r>
        <w:rPr>
          <w:caps w:val="false"/>
          <w:smallCaps w:val="false"/>
          <w:strike w:val="false"/>
          <w:dstrike w:val="false"/>
          <w:color w:val="1F2328"/>
          <w:u w:val="none"/>
          <w:effect w:val="none"/>
          <w:shd w:fill="FFFFFF" w:val="clear"/>
          <w:lang w:val="pt-BR" w:eastAsia="ar-SA"/>
        </w:rPr>
        <w:t>P</w:t>
      </w:r>
      <w:r>
        <w:rPr>
          <w:caps w:val="false"/>
          <w:smallCaps w:val="false"/>
          <w:strike w:val="false"/>
          <w:dstrike w:val="false"/>
          <w:color w:val="1F2328"/>
          <w:u w:val="none"/>
          <w:effect w:val="none"/>
          <w:shd w:fill="FFFFFF" w:val="clear"/>
          <w:lang w:val="pt-BR" w:eastAsia="ar-SA"/>
        </w:rPr>
        <w:t>otência também pode ser decimal mas deve variar entre 0 e 1.</w:t>
      </w:r>
    </w:p>
    <w:p>
      <w:pPr>
        <w:pStyle w:val="Normal"/>
        <w:ind w:hanging="0"/>
        <w:rPr>
          <w:lang w:val="en-US" w:eastAsia="ar-SA"/>
        </w:rPr>
      </w:pPr>
      <w:r>
        <w:rPr>
          <w:lang w:val="pt-BR"/>
        </w:rPr>
      </w:r>
    </w:p>
    <w:p>
      <w:pPr>
        <w:pStyle w:val="Normal"/>
        <w:ind w:hanging="0"/>
        <w:jc w:val="center"/>
        <w:rPr>
          <w:lang w:val="en-US" w:eastAsia="ar-SA"/>
        </w:rPr>
      </w:pPr>
      <w:bookmarkStart w:id="43" w:name="docs-internal-guid-4ce76456-7fff-5d9e-c0"/>
      <w:bookmarkEnd w:id="43"/>
      <w:r>
        <w:rPr>
          <w:caps w:val="false"/>
          <w:smallCaps w:val="false"/>
          <w:strike w:val="false"/>
          <w:dstrike w:val="false"/>
          <w:color w:val="000000"/>
          <w:u w:val="none"/>
          <w:effect w:val="none"/>
          <w:shd w:fill="auto" w:val="clear"/>
          <w:lang w:val="pt-BR" w:eastAsia="ar-SA"/>
        </w:rPr>
        <w:drawing>
          <wp:inline distT="0" distB="0" distL="0" distR="0">
            <wp:extent cx="5648325" cy="5076825"/>
            <wp:effectExtent l="0" t="0" r="0" b="0"/>
            <wp:docPr id="1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1" descr=""/>
                    <pic:cNvPicPr>
                      <a:picLocks noChangeAspect="1" noChangeArrowheads="1"/>
                    </pic:cNvPicPr>
                  </pic:nvPicPr>
                  <pic:blipFill>
                    <a:blip r:embed="rId25"/>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rPr>
          <w:lang w:val="en-US" w:eastAsia="ar-SA"/>
        </w:rPr>
      </w:pPr>
      <w:r>
        <w:rPr>
          <w:lang w:val="pt-BR" w:eastAsia="ar-SA"/>
        </w:rPr>
        <w:t xml:space="preserve"> </w:t>
      </w:r>
    </w:p>
    <w:p>
      <w:pPr>
        <w:pStyle w:val="Normal"/>
        <w:jc w:val="center"/>
        <w:rPr>
          <w:lang w:val="en-US" w:eastAsia="ar-SA"/>
        </w:rPr>
      </w:pPr>
      <w:bookmarkStart w:id="44" w:name="docs-internal-guid-3e17a1fe-7fff-8bad-79"/>
      <w:bookmarkEnd w:id="44"/>
      <w:r>
        <w:rPr>
          <w:caps w:val="false"/>
          <w:smallCaps w:val="false"/>
          <w:strike w:val="false"/>
          <w:dstrike w:val="false"/>
          <w:color w:val="000000"/>
          <w:u w:val="none"/>
          <w:effect w:val="none"/>
          <w:shd w:fill="auto" w:val="clear"/>
          <w:lang w:val="pt-BR" w:eastAsia="ar-SA"/>
        </w:rPr>
        <w:drawing>
          <wp:inline distT="0" distB="0" distL="0" distR="0">
            <wp:extent cx="3733800" cy="2990850"/>
            <wp:effectExtent l="0" t="0" r="0" b="0"/>
            <wp:docPr id="14"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2" descr=""/>
                    <pic:cNvPicPr>
                      <a:picLocks noChangeAspect="1" noChangeArrowheads="1"/>
                    </pic:cNvPicPr>
                  </pic:nvPicPr>
                  <pic:blipFill>
                    <a:blip r:embed="rId26"/>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Normal"/>
        <w:rPr>
          <w:lang w:val="en-US"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pt-BR"/>
        </w:rPr>
      </w:r>
    </w:p>
    <w:p>
      <w:pPr>
        <w:pStyle w:val="Normal"/>
        <w:ind w:hanging="0"/>
        <w:jc w:val="center"/>
        <w:rPr>
          <w:lang w:val="en-US" w:eastAsia="ar-SA"/>
        </w:rPr>
      </w:pPr>
      <w:bookmarkStart w:id="45" w:name="docs-internal-guid-e89ba4f0-7fff-d31f-27"/>
      <w:bookmarkEnd w:id="45"/>
      <w:r>
        <w:rPr>
          <w:caps w:val="false"/>
          <w:smallCaps w:val="false"/>
          <w:strike w:val="false"/>
          <w:dstrike w:val="false"/>
          <w:color w:val="1F2328"/>
          <w:u w:val="none"/>
          <w:effect w:val="none"/>
          <w:shd w:fill="FFFFFF" w:val="clear"/>
          <w:lang w:val="pt-BR" w:eastAsia="ar-SA"/>
        </w:rPr>
        <w:drawing>
          <wp:inline distT="0" distB="0" distL="0" distR="0">
            <wp:extent cx="5648325" cy="5057775"/>
            <wp:effectExtent l="0" t="0" r="0" b="0"/>
            <wp:docPr id="15"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3" descr=""/>
                    <pic:cNvPicPr>
                      <a:picLocks noChangeAspect="1" noChangeArrowheads="1"/>
                    </pic:cNvPicPr>
                  </pic:nvPicPr>
                  <pic:blipFill>
                    <a:blip r:embed="rId27"/>
                    <a:stretch>
                      <a:fillRect/>
                    </a:stretch>
                  </pic:blipFill>
                  <pic:spPr bwMode="auto">
                    <a:xfrm>
                      <a:off x="0" y="0"/>
                      <a:ext cx="5648325" cy="5057775"/>
                    </a:xfrm>
                    <a:prstGeom prst="rect">
                      <a:avLst/>
                    </a:prstGeom>
                  </pic:spPr>
                </pic:pic>
              </a:graphicData>
            </a:graphic>
          </wp:inline>
        </w:drawing>
      </w:r>
      <w:r>
        <w:rPr>
          <w:lang w:val="pt-BR" w:eastAsia="ar-SA"/>
        </w:rPr>
        <w:t xml:space="preserve"> </w:t>
      </w:r>
    </w:p>
    <w:p>
      <w:pPr>
        <w:pStyle w:val="Normal"/>
        <w:ind w:hanging="0"/>
        <w:rPr>
          <w:lang w:val="pt-BR"/>
        </w:rPr>
      </w:pPr>
      <w:r>
        <w:rPr>
          <w:lang w:val="pt-BR"/>
        </w:rPr>
      </w:r>
    </w:p>
    <w:p>
      <w:pPr>
        <w:pStyle w:val="Normal"/>
        <w:ind w:hanging="0"/>
        <w:jc w:val="center"/>
        <w:rPr>
          <w:lang w:val="en-US" w:eastAsia="ar-SA"/>
        </w:rPr>
      </w:pPr>
      <w:bookmarkStart w:id="46" w:name="docs-internal-guid-061a417f-7fff-e7d9-32"/>
      <w:bookmarkEnd w:id="46"/>
      <w:r>
        <w:rPr>
          <w:caps w:val="false"/>
          <w:smallCaps w:val="false"/>
          <w:strike w:val="false"/>
          <w:dstrike w:val="false"/>
          <w:color w:val="1F2328"/>
          <w:u w:val="none"/>
          <w:effect w:val="none"/>
          <w:shd w:fill="FFFFFF" w:val="clear"/>
          <w:lang w:val="pt-BR" w:eastAsia="ar-SA"/>
        </w:rPr>
        <w:drawing>
          <wp:inline distT="0" distB="0" distL="0" distR="0">
            <wp:extent cx="5286375" cy="3857625"/>
            <wp:effectExtent l="0" t="0" r="0" b="0"/>
            <wp:docPr id="16"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4" descr=""/>
                    <pic:cNvPicPr>
                      <a:picLocks noChangeAspect="1" noChangeArrowheads="1"/>
                    </pic:cNvPicPr>
                  </pic:nvPicPr>
                  <pic:blipFill>
                    <a:blip r:embed="rId28"/>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rPr>
          <w:lang w:val="en-US" w:eastAsia="ar-SA"/>
        </w:rPr>
      </w:pPr>
      <w:r>
        <w:rPr>
          <w:lang w:val="pt-BR"/>
        </w:rPr>
      </w:r>
    </w:p>
    <w:p>
      <w:pPr>
        <w:pStyle w:val="Normal"/>
        <w:ind w:hanging="0"/>
        <w:jc w:val="center"/>
        <w:rPr>
          <w:lang w:val="en-US" w:eastAsia="ar-SA"/>
        </w:rPr>
      </w:pPr>
      <w:bookmarkStart w:id="47" w:name="docs-internal-guid-a964d7c8-7fff-14dc-cb"/>
      <w:bookmarkEnd w:id="47"/>
      <w:r>
        <w:rPr>
          <w:caps w:val="false"/>
          <w:smallCaps w:val="false"/>
          <w:strike w:val="false"/>
          <w:dstrike w:val="false"/>
          <w:color w:val="1F2328"/>
          <w:u w:val="none"/>
          <w:effect w:val="none"/>
          <w:shd w:fill="FFFFFF" w:val="clear"/>
          <w:lang w:val="pt-BR" w:eastAsia="ar-SA"/>
        </w:rPr>
        <w:drawing>
          <wp:inline distT="0" distB="0" distL="0" distR="0">
            <wp:extent cx="5734050" cy="4962525"/>
            <wp:effectExtent l="0" t="0" r="0" b="0"/>
            <wp:docPr id="17"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5" descr=""/>
                    <pic:cNvPicPr>
                      <a:picLocks noChangeAspect="1" noChangeArrowheads="1"/>
                    </pic:cNvPicPr>
                  </pic:nvPicPr>
                  <pic:blipFill>
                    <a:blip r:embed="rId29"/>
                    <a:stretch>
                      <a:fillRect/>
                    </a:stretch>
                  </pic:blipFill>
                  <pic:spPr bwMode="auto">
                    <a:xfrm>
                      <a:off x="0" y="0"/>
                      <a:ext cx="5734050" cy="496252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8" w:name="docs-internal-guid-ac012ce8-7fff-4250-26"/>
      <w:bookmarkEnd w:id="48"/>
      <w:r>
        <w:rPr>
          <w:caps w:val="false"/>
          <w:smallCaps w:val="false"/>
          <w:strike w:val="false"/>
          <w:dstrike w:val="false"/>
          <w:color w:val="1F2328"/>
          <w:u w:val="none"/>
          <w:effect w:val="none"/>
          <w:shd w:fill="FFFFFF" w:val="clear"/>
          <w:lang w:val="pt-BR" w:eastAsia="ar-SA"/>
        </w:rPr>
        <w:drawing>
          <wp:inline distT="0" distB="0" distL="0" distR="0">
            <wp:extent cx="5276850" cy="3838575"/>
            <wp:effectExtent l="0" t="0" r="0" b="0"/>
            <wp:docPr id="18"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6" descr=""/>
                    <pic:cNvPicPr>
                      <a:picLocks noChangeAspect="1" noChangeArrowheads="1"/>
                    </pic:cNvPicPr>
                  </pic:nvPicPr>
                  <pic:blipFill>
                    <a:blip r:embed="rId30"/>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rPr>
      </w:r>
    </w:p>
    <w:p>
      <w:pPr>
        <w:pStyle w:val="Normal"/>
        <w:rPr>
          <w:lang w:val="en-US" w:eastAsia="ar-SA"/>
        </w:rPr>
      </w:pPr>
      <w:r>
        <w:rPr>
          <w:lang w:val="pt-BR" w:eastAsia="ar-SA"/>
        </w:rPr>
        <w:t xml:space="preserve">Por fim, os alunos criaram um transformador, com </w:t>
      </w:r>
      <w:r>
        <w:rPr>
          <w:rFonts w:eastAsia="Times New Roman" w:cs="Times New Roman"/>
          <w:color w:val="auto"/>
          <w:kern w:val="0"/>
          <w:sz w:val="24"/>
          <w:szCs w:val="20"/>
          <w:lang w:val="pt-BR" w:eastAsia="ar-SA" w:bidi="ar-SA"/>
        </w:rPr>
        <w:t>Potência Nominal</w:t>
      </w:r>
      <w:r>
        <w:rPr>
          <w:lang w:val="pt-BR" w:eastAsia="ar-SA"/>
        </w:rPr>
        <w:t xml:space="preserve"> e </w:t>
      </w:r>
      <w:r>
        <w:rPr>
          <w:rFonts w:eastAsia="Times New Roman" w:cs="Times New Roman"/>
          <w:color w:val="auto"/>
          <w:kern w:val="0"/>
          <w:sz w:val="24"/>
          <w:szCs w:val="20"/>
          <w:lang w:val="pt-BR" w:eastAsia="ar-SA" w:bidi="ar-SA"/>
        </w:rPr>
        <w:t>Curva de Carga Horária</w:t>
      </w:r>
      <w:r>
        <w:rPr>
          <w:lang w:val="pt-BR" w:eastAsia="ar-SA"/>
        </w:rPr>
        <w:t xml:space="preserve">, equivalente à </w:t>
      </w:r>
      <w:r>
        <w:rPr>
          <w:rFonts w:eastAsia="Times New Roman" w:cs="Times New Roman"/>
          <w:color w:val="auto"/>
          <w:kern w:val="0"/>
          <w:sz w:val="24"/>
          <w:szCs w:val="20"/>
          <w:lang w:val="pt-BR" w:eastAsia="ar-SA" w:bidi="ar-SA"/>
        </w:rPr>
        <w:t>curva</w:t>
      </w:r>
      <w:r>
        <w:rPr>
          <w:lang w:val="pt-BR" w:eastAsia="ar-SA"/>
        </w:rPr>
        <w:t xml:space="preserve"> do equipamento. No menu transformadores é possível criar e configurar transformadores com a mesma estrutura de distribuição de 24 horas dos equipamentos no campo Curva de Carga Horária: [1 1 1 1 1 1 1 1 1 1 0.5 0.5 0.5 0.5 0.5 0.5 0.5 0.5 0.5 0.5 0.2 0.2 0.2 0.2]. A Potência Nominal é representada em Volt-Ampère [VA].</w:t>
      </w:r>
    </w:p>
    <w:p>
      <w:pPr>
        <w:pStyle w:val="Normal"/>
        <w:rPr>
          <w:lang w:val="en-US" w:eastAsia="ar-SA"/>
        </w:rPr>
      </w:pPr>
      <w:r>
        <w:rPr>
          <w:lang w:val="pt-BR"/>
        </w:rPr>
      </w:r>
    </w:p>
    <w:p>
      <w:pPr>
        <w:pStyle w:val="Normal"/>
        <w:ind w:hanging="0"/>
        <w:jc w:val="center"/>
        <w:rPr>
          <w:lang w:val="en-US" w:eastAsia="ar-SA"/>
        </w:rPr>
      </w:pPr>
      <w:bookmarkStart w:id="49" w:name="docs-internal-guid-4569b5be-7fff-665b-57"/>
      <w:bookmarkEnd w:id="49"/>
      <w:r>
        <w:rPr>
          <w:caps w:val="false"/>
          <w:smallCaps w:val="false"/>
          <w:strike w:val="false"/>
          <w:dstrike w:val="false"/>
          <w:color w:val="1F2328"/>
          <w:u w:val="none"/>
          <w:effect w:val="none"/>
          <w:shd w:fill="auto" w:val="clear"/>
          <w:lang w:val="pt-BR" w:eastAsia="ar-SA"/>
        </w:rPr>
        <w:drawing>
          <wp:inline distT="0" distB="0" distL="0" distR="0">
            <wp:extent cx="5648325" cy="5057775"/>
            <wp:effectExtent l="0" t="0" r="0" b="0"/>
            <wp:docPr id="19"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7" descr=""/>
                    <pic:cNvPicPr>
                      <a:picLocks noChangeAspect="1" noChangeArrowheads="1"/>
                    </pic:cNvPicPr>
                  </pic:nvPicPr>
                  <pic:blipFill>
                    <a:blip r:embed="rId31"/>
                    <a:stretch>
                      <a:fillRect/>
                    </a:stretch>
                  </pic:blipFill>
                  <pic:spPr bwMode="auto">
                    <a:xfrm>
                      <a:off x="0" y="0"/>
                      <a:ext cx="5648325" cy="5057775"/>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Normal"/>
        <w:rPr>
          <w:lang w:val="en-US" w:eastAsia="ar-SA"/>
        </w:rPr>
      </w:pPr>
      <w:r>
        <w:rPr>
          <w:lang w:val="pt-BR"/>
        </w:rPr>
      </w:r>
    </w:p>
    <w:p>
      <w:pPr>
        <w:pStyle w:val="Normal"/>
        <w:ind w:hanging="0"/>
        <w:jc w:val="center"/>
        <w:rPr>
          <w:lang w:val="en-US" w:eastAsia="ar-SA"/>
        </w:rPr>
      </w:pPr>
      <w:bookmarkStart w:id="50" w:name="docs-internal-guid-0097c217-7fff-75b7-18"/>
      <w:bookmarkEnd w:id="50"/>
      <w:r>
        <w:rPr>
          <w:caps w:val="false"/>
          <w:smallCaps w:val="false"/>
          <w:strike w:val="false"/>
          <w:dstrike w:val="false"/>
          <w:color w:val="1F2328"/>
          <w:u w:val="none"/>
          <w:effect w:val="none"/>
          <w:shd w:fill="auto" w:val="clear"/>
          <w:lang w:val="pt-BR" w:eastAsia="ar-SA"/>
        </w:rPr>
        <w:drawing>
          <wp:inline distT="0" distB="0" distL="0" distR="0">
            <wp:extent cx="3762375" cy="2990850"/>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32"/>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lang w:val="en-US" w:eastAsia="ar-SA"/>
        </w:rPr>
      </w:pPr>
      <w:r>
        <w:rPr>
          <w:lang w:val="pt-BR"/>
        </w:rPr>
      </w:r>
    </w:p>
    <w:p>
      <w:pPr>
        <w:pStyle w:val="Normal"/>
        <w:rPr>
          <w:lang w:val="en-US" w:eastAsia="ar-SA"/>
        </w:rPr>
      </w:pPr>
      <w:r>
        <w:rPr>
          <w:lang w:val="pt-BR" w:eastAsia="ar-SA"/>
        </w:rPr>
        <w:t xml:space="preserve">Para fazer a simulação e exportação dos dados, basta clicar na janela principal na opção "Configurações" acima, é possível escolher qual divisão em minutos será utilizada para a simulação e exportação de curvas e transformadores. Importante: É necessário </w:t>
      </w:r>
      <w:r>
        <w:rPr>
          <w:lang w:val="pt-BR" w:eastAsia="ar-SA" w:bidi="ar-SA"/>
        </w:rPr>
        <w:t>selecionar</w:t>
      </w:r>
      <w:r>
        <w:rPr>
          <w:lang w:val="pt-BR" w:eastAsia="ar-SA"/>
        </w:rPr>
        <w:t xml:space="preserve"> uma curva e um transformador para utilizar essas funcionalidades. Caso a simulação ou exportação não funcione mesmo com ambos selecionados, provavelmente algum</w:t>
      </w:r>
      <w:r>
        <w:rPr>
          <w:lang w:val="pt-BR" w:eastAsia="ar-SA"/>
        </w:rPr>
        <w:t>a Curva de Carga Horária</w:t>
      </w:r>
      <w:r>
        <w:rPr>
          <w:lang w:val="pt-BR" w:eastAsia="ar-SA"/>
        </w:rPr>
        <w:t xml:space="preserve"> de </w:t>
      </w:r>
      <w:r>
        <w:rPr>
          <w:lang w:val="pt-BR" w:eastAsia="ar-SA"/>
        </w:rPr>
        <w:t xml:space="preserve">um </w:t>
      </w:r>
      <w:r>
        <w:rPr>
          <w:lang w:val="pt-BR" w:eastAsia="ar-SA"/>
        </w:rPr>
        <w:t>equipamento ou transformador foi escrit</w:t>
      </w:r>
      <w:r>
        <w:rPr>
          <w:lang w:val="pt-BR" w:eastAsia="ar-SA"/>
        </w:rPr>
        <w:t>a</w:t>
      </w:r>
      <w:r>
        <w:rPr>
          <w:lang w:val="pt-BR" w:eastAsia="ar-SA"/>
        </w:rPr>
        <w:t xml:space="preserve"> no formato errado. A partir da simulação da curva e do transformador, eles compararam o gráfico dos dois e escolheram o transformador mais apropriado para atender às condições da região mapeada.</w:t>
      </w:r>
    </w:p>
    <w:p>
      <w:pPr>
        <w:pStyle w:val="Normal"/>
        <w:rPr>
          <w:lang w:val="en-US" w:eastAsia="ar-SA"/>
        </w:rPr>
      </w:pPr>
      <w:r>
        <w:rPr>
          <w:lang w:val="pt-BR" w:eastAsia="ar-SA"/>
        </w:rPr>
        <w:t>Sobre a exportação é importante ressaltar que ao clicar em "Exportar Curva", na mesma pasta do Simuload terá uma pasta “curvas”. Cada simulação cria uma pasta com o nome da curva e do transformador utilizado contendo um arquivo .CSV com os dados de simulação. O nome do arquivo contém a data e horário que foi exportado.</w:t>
      </w:r>
    </w:p>
    <w:p>
      <w:pPr>
        <w:pStyle w:val="Normal"/>
        <w:rPr>
          <w:lang w:val="en-US" w:eastAsia="ar-SA"/>
        </w:rPr>
      </w:pPr>
      <w:r>
        <w:rPr>
          <w:lang w:val="pt-BR" w:eastAsia="ar-SA"/>
        </w:rPr>
        <w:t>Por fim, na simulação, a linha da curva é representada em azul e a do transformador em laranja. A simulação contém diversas opções utilitárias padrões do pacote Matplotlib, podendo mover a curva, zoom, voltar as visualizações, editar bordas e espaçamentos, configurar as características da curva e salvá-la como imagem. O eixo Y representa o Consumo/Fornecimento da curva e transformador em Kilowatt-hora [kWh] e o eixo X representa as horas [h]. Além disso, é possível selecionar o intervalo de simulação desejado entre as opções de 1 hora, 30 minutos, 15 minutos e 5 minutos, sendo a simulação de 1 hora a padrão. Abaixo temos as simulações de 30, 15 e 5 minutos, respectivamente.</w:t>
      </w:r>
    </w:p>
    <w:p>
      <w:pPr>
        <w:pStyle w:val="Normal"/>
        <w:ind w:hanging="0"/>
        <w:jc w:val="center"/>
        <w:rPr>
          <w:lang w:val="en-US" w:eastAsia="ar-SA"/>
        </w:rPr>
      </w:pPr>
      <w:bookmarkStart w:id="51" w:name="docs-internal-guid-c9f5d3e3-7fff-827f-41"/>
      <w:bookmarkEnd w:id="51"/>
      <w:r>
        <w:rPr>
          <w:caps w:val="false"/>
          <w:smallCaps w:val="false"/>
          <w:strike w:val="false"/>
          <w:dstrike w:val="false"/>
          <w:color w:val="000000"/>
          <w:u w:val="none"/>
          <w:effect w:val="none"/>
          <w:shd w:fill="auto" w:val="clear"/>
          <w:lang w:val="pt-BR" w:eastAsia="ar-SA"/>
        </w:rPr>
        <w:drawing>
          <wp:inline distT="0" distB="0" distL="0" distR="0">
            <wp:extent cx="5734050" cy="4981575"/>
            <wp:effectExtent l="0" t="0" r="0" b="0"/>
            <wp:docPr id="21"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9" descr=""/>
                    <pic:cNvPicPr>
                      <a:picLocks noChangeAspect="1" noChangeArrowheads="1"/>
                    </pic:cNvPicPr>
                  </pic:nvPicPr>
                  <pic:blipFill>
                    <a:blip r:embed="rId33"/>
                    <a:stretch>
                      <a:fillRect/>
                    </a:stretch>
                  </pic:blipFill>
                  <pic:spPr bwMode="auto">
                    <a:xfrm>
                      <a:off x="0" y="0"/>
                      <a:ext cx="5734050" cy="49815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rPr>
      </w:r>
    </w:p>
    <w:p>
      <w:pPr>
        <w:pStyle w:val="Normal"/>
        <w:ind w:hanging="0"/>
        <w:jc w:val="center"/>
        <w:rPr>
          <w:lang w:val="en-US" w:eastAsia="ar-SA"/>
        </w:rPr>
      </w:pPr>
      <w:bookmarkStart w:id="52" w:name="docs-internal-guid-ea990649-7fff-b3ce-30"/>
      <w:bookmarkEnd w:id="52"/>
      <w:r>
        <w:rPr>
          <w:caps w:val="false"/>
          <w:smallCaps w:val="false"/>
          <w:strike w:val="false"/>
          <w:dstrike w:val="false"/>
          <w:color w:val="000000"/>
          <w:u w:val="none"/>
          <w:effect w:val="none"/>
          <w:shd w:fill="auto" w:val="clear"/>
          <w:lang w:val="pt-BR" w:eastAsia="ar-SA"/>
        </w:rPr>
        <w:drawing>
          <wp:inline distT="0" distB="0" distL="0" distR="0">
            <wp:extent cx="5734050" cy="5000625"/>
            <wp:effectExtent l="0" t="0" r="0" b="0"/>
            <wp:docPr id="22"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0" descr=""/>
                    <pic:cNvPicPr>
                      <a:picLocks noChangeAspect="1" noChangeArrowheads="1"/>
                    </pic:cNvPicPr>
                  </pic:nvPicPr>
                  <pic:blipFill>
                    <a:blip r:embed="rId34"/>
                    <a:stretch>
                      <a:fillRect/>
                    </a:stretch>
                  </pic:blipFill>
                  <pic:spPr bwMode="auto">
                    <a:xfrm>
                      <a:off x="0" y="0"/>
                      <a:ext cx="5734050" cy="50006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rPr>
      </w:r>
    </w:p>
    <w:p>
      <w:pPr>
        <w:pStyle w:val="Normal"/>
        <w:ind w:hanging="0"/>
        <w:jc w:val="center"/>
        <w:rPr>
          <w:lang w:val="en-US" w:eastAsia="ar-SA"/>
        </w:rPr>
      </w:pPr>
      <w:bookmarkStart w:id="53" w:name="docs-internal-guid-8496a475-7fff-d5d6-2d"/>
      <w:bookmarkEnd w:id="53"/>
      <w:r>
        <w:rPr>
          <w:caps w:val="false"/>
          <w:smallCaps w:val="false"/>
          <w:strike w:val="false"/>
          <w:dstrike w:val="false"/>
          <w:color w:val="000000"/>
          <w:u w:val="none"/>
          <w:effect w:val="none"/>
          <w:shd w:fill="auto" w:val="clear"/>
          <w:lang w:val="pt-BR" w:eastAsia="ar-SA"/>
        </w:rPr>
        <w:drawing>
          <wp:inline distT="0" distB="0" distL="0" distR="0">
            <wp:extent cx="5734050" cy="4981575"/>
            <wp:effectExtent l="0" t="0" r="0" b="0"/>
            <wp:docPr id="23"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 descr=""/>
                    <pic:cNvPicPr>
                      <a:picLocks noChangeAspect="1" noChangeArrowheads="1"/>
                    </pic:cNvPicPr>
                  </pic:nvPicPr>
                  <pic:blipFill>
                    <a:blip r:embed="rId35"/>
                    <a:stretch>
                      <a:fillRect/>
                    </a:stretch>
                  </pic:blipFill>
                  <pic:spPr bwMode="auto">
                    <a:xfrm>
                      <a:off x="0" y="0"/>
                      <a:ext cx="5734050" cy="49815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rPr>
      </w:r>
    </w:p>
    <w:p>
      <w:pPr>
        <w:pStyle w:val="Normal"/>
        <w:ind w:hanging="0"/>
        <w:jc w:val="center"/>
        <w:rPr>
          <w:lang w:val="en-US" w:eastAsia="ar-SA"/>
        </w:rPr>
      </w:pPr>
      <w:r>
        <w:rPr>
          <w:lang w:val="pt-BR"/>
        </w:rPr>
      </w:r>
    </w:p>
    <w:p>
      <w:pPr>
        <w:pStyle w:val="Ttulo2"/>
        <w:numPr>
          <w:ilvl w:val="1"/>
          <w:numId w:val="2"/>
        </w:numPr>
        <w:rPr>
          <w:rFonts w:ascii="Calibri Light" w:hAnsi="Calibri Light" w:eastAsia="" w:cs="" w:asciiTheme="majorHAnsi" w:cstheme="majorBidi" w:eastAsiaTheme="majorEastAsia" w:hAnsiTheme="majorHAnsi"/>
          <w:b/>
          <w:b/>
          <w:color w:val="auto"/>
          <w:kern w:val="0"/>
          <w:sz w:val="28"/>
          <w:szCs w:val="26"/>
          <w:lang w:val="pt-BR" w:eastAsia="pt-BR" w:bidi="ar-SA"/>
        </w:rPr>
      </w:pPr>
      <w:bookmarkStart w:id="54" w:name="__RefHeading___Toc562_3461207297"/>
      <w:bookmarkEnd w:id="54"/>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 xml:space="preserve">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w:t>
      </w:r>
    </w:p>
    <w:p>
      <w:pPr>
        <w:pStyle w:val="Normal"/>
        <w:rPr>
          <w:lang w:val="en-US" w:eastAsia="ar-SA"/>
        </w:rPr>
      </w:pPr>
      <w:r>
        <w:rPr>
          <w:lang w:val="pt-BR"/>
        </w:rPr>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3"/>
        <w:numPr>
          <w:ilvl w:val="0"/>
          <w:numId w:val="0"/>
        </w:numPr>
        <w:ind w:left="0" w:hanging="0"/>
        <w:rPr>
          <w:lang w:val="pt-BR"/>
        </w:rPr>
      </w:pPr>
      <w:r>
        <w:rPr>
          <w:lang w:val="pt-BR"/>
        </w:rPr>
      </w:r>
    </w:p>
    <w:p>
      <w:pPr>
        <w:pStyle w:val="Normal"/>
        <w:rPr>
          <w:lang w:val="en-US" w:eastAsia="ar-SA"/>
        </w:rPr>
      </w:pPr>
      <w:r>
        <w:rPr>
          <w:lang w:val="pt-BR" w:eastAsia="ar-SA"/>
        </w:rPr>
      </w:r>
    </w:p>
    <w:p>
      <w:pPr>
        <w:pStyle w:val="Ttulo1"/>
        <w:numPr>
          <w:ilvl w:val="0"/>
          <w:numId w:val="2"/>
        </w:numPr>
        <w:rPr>
          <w:lang w:eastAsia="ar-SA"/>
        </w:rPr>
      </w:pPr>
      <w:bookmarkStart w:id="55" w:name="__RefHeading___Toc815_3772085703"/>
      <w:bookmarkStart w:id="56" w:name="_Toc65702348"/>
      <w:bookmarkEnd w:id="55"/>
      <w:r>
        <w:rPr>
          <w:rFonts w:eastAsia="" w:cs="" w:cstheme="majorBidi" w:eastAsiaTheme="majorEastAsia"/>
          <w:b/>
          <w:color w:val="auto"/>
          <w:kern w:val="0"/>
          <w:sz w:val="44"/>
          <w:szCs w:val="32"/>
          <w:lang w:val="pt-BR" w:eastAsia="ar-SA" w:bidi="ar-SA"/>
        </w:rPr>
        <w:t>C</w:t>
      </w:r>
      <w:bookmarkEnd w:id="56"/>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lang w:val="en-US"/>
        </w:rPr>
      </w:pPr>
      <w:r>
        <w:rPr>
          <w:lang w:val="pt-B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Ttulo3"/>
        <w:numPr>
          <w:ilvl w:val="2"/>
          <w:numId w:val="2"/>
        </w:numPr>
        <w:rPr>
          <w:lang w:eastAsia="ar-SA"/>
        </w:rPr>
      </w:pPr>
      <w:bookmarkStart w:id="57" w:name="__RefHeading___Toc817_3772085703"/>
      <w:bookmarkStart w:id="58" w:name="_Toc65702349"/>
      <w:bookmarkEnd w:id="57"/>
      <w:r>
        <w:rPr>
          <w:lang w:val="pt-BR" w:eastAsia="ar-SA"/>
        </w:rPr>
        <w:t>Título da primeira seção do sexto capítulo</w:t>
      </w:r>
      <w:bookmarkEnd w:id="58"/>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eastAsia="ar-SA"/>
        </w:rPr>
      </w:pPr>
      <w:r>
        <w:rPr>
          <w:lang w:val="pt-BR" w:eastAsia="ar-SA"/>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eastAsia="ar-SA"/>
        </w:rPr>
      </w:pPr>
      <w:r>
        <w:rPr>
          <w:lang w:val="pt-BR" w:eastAsia="ar-SA"/>
        </w:rPr>
        <w:t>Themes and styles also help keep your document coordinated. When you click Design and choose a new Theme, the pictures, charts, and SmartArt graphics change to match your new theme. When you apply styles, your headings change to match the new theme.</w:t>
      </w:r>
    </w:p>
    <w:p>
      <w:pPr>
        <w:pStyle w:val="Normal"/>
        <w:rPr>
          <w:lang w:val="en-US" w:eastAsia="ar-SA"/>
        </w:rPr>
      </w:pPr>
      <w:r>
        <w:rPr>
          <w:lang w:val="pt-BR" w:eastAsia="ar-SA"/>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pPr>
        <w:pStyle w:val="Normal"/>
        <w:rPr>
          <w:lang w:val="en-US" w:eastAsia="ar-SA"/>
        </w:rPr>
      </w:pPr>
      <w:r>
        <w:rPr>
          <w:lang w:val="pt-BR" w:eastAsia="ar-SA"/>
        </w:rPr>
        <w:t>Reading is easier, too, in the new Reading view. You can collapse parts of the document and focus on the text you want. If you need to stop reading before you reach the end, Word remembers where you left off - even on another device.</w:t>
      </w:r>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eastAsia="ar-SA"/>
        </w:rPr>
      </w:pPr>
      <w:r>
        <w:rPr>
          <w:lang w:val="pt-BR" w:eastAsia="ar-SA"/>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eastAsia="ar-SA"/>
        </w:rPr>
      </w:pPr>
      <w:r>
        <w:rPr>
          <w:lang w:val="pt-BR" w:eastAsia="ar-SA"/>
        </w:rPr>
        <w:t>Themes and styles also help keep your document coordinated. When you click Design and choose a new Theme, the pictures, charts, and SmartArt graphics change to match your new theme. When you apply styles, your headings change to match the new theme.</w:t>
      </w:r>
    </w:p>
    <w:p>
      <w:pPr>
        <w:pStyle w:val="Ttulo3"/>
        <w:numPr>
          <w:ilvl w:val="2"/>
          <w:numId w:val="2"/>
        </w:numPr>
        <w:rPr>
          <w:lang w:eastAsia="ar-SA"/>
        </w:rPr>
      </w:pPr>
      <w:bookmarkStart w:id="59" w:name="__RefHeading___Toc819_3772085703"/>
      <w:bookmarkStart w:id="60" w:name="_Toc65702350"/>
      <w:bookmarkEnd w:id="59"/>
      <w:r>
        <w:rPr>
          <w:lang w:val="pt-BR" w:eastAsia="ar-SA"/>
        </w:rPr>
        <w:t>Título da subseção do sexto capítulo.</w:t>
      </w:r>
      <w:bookmarkEnd w:id="60"/>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pPr>
        <w:pStyle w:val="Normal"/>
        <w:spacing w:lineRule="auto" w:line="259" w:before="0" w:after="160"/>
        <w:ind w:hanging="0"/>
        <w:jc w:val="left"/>
        <w:rPr>
          <w:lang w:val="en-US" w:eastAsia="ar-SA"/>
        </w:rPr>
      </w:pPr>
      <w:r>
        <w:rPr>
          <w:lang w:val="pt-BR" w:eastAsia="ar-SA"/>
        </w:rPr>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61" w:name="__RefHeading___Toc821_3772085703"/>
      <w:bookmarkStart w:id="62" w:name="_Toc65702351"/>
      <w:bookmarkEnd w:id="61"/>
      <w:r>
        <w:rPr>
          <w:rFonts w:cs="Calibri" w:ascii="Calibri" w:hAnsi="Calibri" w:asciiTheme="minorHAnsi" w:cstheme="minorHAnsi" w:hAnsiTheme="minorHAnsi"/>
          <w:sz w:val="36"/>
          <w:szCs w:val="36"/>
          <w:lang w:val="pt-BR" w:eastAsia="ar-SA"/>
        </w:rPr>
        <w:t>Referências</w:t>
      </w:r>
      <w:bookmarkEnd w:id="62"/>
    </w:p>
    <w:p>
      <w:pPr>
        <w:pStyle w:val="Normal"/>
        <w:rPr>
          <w:lang w:val="en-US" w:eastAsia="ar-SA"/>
        </w:rPr>
      </w:pPr>
      <w:r>
        <w:rPr>
          <w:lang w:val="pt-BR" w:eastAsia="ar-SA"/>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ERICKSON, Robert W.; MAKSIMOVIC, Dragan. </w:t>
      </w:r>
      <w:r>
        <w:rPr>
          <w:rFonts w:cs="Arial" w:ascii="Arial" w:hAnsi="Arial"/>
          <w:b/>
          <w:bCs/>
          <w:color w:val="222222"/>
          <w:sz w:val="20"/>
          <w:shd w:fill="FFFFFF" w:val="clear"/>
          <w:lang w:val="pt-BR"/>
        </w:rPr>
        <w:t>Fundamentals of power electronics</w:t>
      </w:r>
      <w:r>
        <w:rPr>
          <w:rFonts w:cs="Arial" w:ascii="Arial" w:hAnsi="Arial"/>
          <w:color w:val="222222"/>
          <w:sz w:val="20"/>
          <w:shd w:fill="FFFFFF" w:val="clear"/>
          <w:lang w:val="pt-BR"/>
        </w:rPr>
        <w:t>. Springer Science &amp; Business Media, 2007.</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pt-BR"/>
        </w:rPr>
      </w:r>
    </w:p>
    <w:p>
      <w:pPr>
        <w:pStyle w:val="Normal"/>
        <w:ind w:hanging="0"/>
        <w:rPr>
          <w:rFonts w:ascii="Arial" w:hAnsi="Arial" w:cs="Arial"/>
          <w:color w:val="222222"/>
          <w:sz w:val="20"/>
          <w:highlight w:val="white"/>
        </w:rPr>
      </w:pPr>
      <w:r>
        <w:rPr>
          <w:rFonts w:cs="Arial" w:ascii="Arial" w:hAnsi="Arial"/>
          <w:color w:val="222222"/>
          <w:sz w:val="20"/>
          <w:shd w:fill="FFFFFF" w:val="clear"/>
          <w:lang w:val="pt-BR"/>
        </w:rPr>
        <w:t>CHEN, Jingquan; MAKSIMOVIC, Dragan; ERICKSON, Robert W. Analysis and design of a low-stress buck-boost converter in universal-input PFC applications. </w:t>
      </w:r>
      <w:r>
        <w:rPr>
          <w:rFonts w:cs="Arial" w:ascii="Arial" w:hAnsi="Arial"/>
          <w:b/>
          <w:bCs/>
          <w:color w:val="222222"/>
          <w:sz w:val="20"/>
          <w:shd w:fill="FFFFFF" w:val="clear"/>
          <w:lang w:val="pt-BR"/>
        </w:rPr>
        <w:t>IEEE Transactions on Power Electronics</w:t>
      </w:r>
      <w:r>
        <w:rPr>
          <w:rFonts w:cs="Arial" w:ascii="Arial" w:hAnsi="Arial"/>
          <w:color w:val="222222"/>
          <w:sz w:val="20"/>
          <w:shd w:fill="FFFFFF" w:val="clear"/>
          <w:lang w:val="pt-BR"/>
        </w:rPr>
        <w:t>, v. 21, n. 2, p. 320-329, 2006.</w:t>
      </w:r>
    </w:p>
    <w:p>
      <w:pPr>
        <w:pStyle w:val="Normal"/>
        <w:ind w:hanging="0"/>
        <w:rPr>
          <w:rFonts w:ascii="Arial" w:hAnsi="Arial" w:cs="Arial"/>
          <w:color w:val="222222"/>
          <w:sz w:val="20"/>
          <w:highlight w:val="white"/>
        </w:rPr>
      </w:pPr>
      <w:r>
        <w:rPr>
          <w:rFonts w:cs="Arial" w:ascii="Arial" w:hAnsi="Arial"/>
          <w:color w:val="222222"/>
          <w:sz w:val="20"/>
          <w:highlight w:val="white"/>
          <w:lang w:val="pt-BR"/>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lang w:val="pt-BR"/>
        </w:rPr>
      </w:r>
      <w:r>
        <w:br w:type="page"/>
      </w:r>
    </w:p>
    <w:p>
      <w:pPr>
        <w:pStyle w:val="Ttulo1"/>
        <w:numPr>
          <w:ilvl w:val="0"/>
          <w:numId w:val="0"/>
        </w:numPr>
        <w:ind w:left="0" w:hanging="0"/>
        <w:rPr>
          <w:lang w:eastAsia="ar-SA"/>
        </w:rPr>
      </w:pPr>
      <w:bookmarkStart w:id="63" w:name="__RefHeading___Toc823_3772085703"/>
      <w:bookmarkStart w:id="64" w:name="_Toc65702352"/>
      <w:bookmarkEnd w:id="63"/>
      <w:r>
        <w:rPr>
          <w:lang w:val="pt-BR" w:eastAsia="ar-SA"/>
        </w:rPr>
        <w:t xml:space="preserve">Apêndice A – </w:t>
      </w:r>
      <w:bookmarkEnd w:id="64"/>
      <w:r>
        <w:rPr>
          <w:rFonts w:eastAsia="" w:cs="" w:cstheme="majorBidi" w:eastAsiaTheme="majorEastAsia"/>
          <w:b/>
          <w:color w:val="auto"/>
          <w:kern w:val="0"/>
          <w:sz w:val="44"/>
          <w:szCs w:val="32"/>
          <w:lang w:val="pt-BR" w:eastAsia="ar-SA" w:bidi="ar-SA"/>
        </w:rPr>
        <w:t>Código do algoritmo de aleatoriedade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def interpolador_curva(self, consumo_curva, intervalo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values = int(24 * (60/intervalo))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intervalo_interp = np.linspace(0, 23,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cria um vetor vazio com a quantidade de valores e define o subintervalo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subintervalo por ser de 5, 15 ou 30 minutos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 = [None] *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sub_intervalo = int(values/24)</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count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fixa uma seed para que o resultado seja o mesmo em todas as simulações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seed = int(np.sum(consumo_curva))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percentual_var = 40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base_avg = 100 - percentual_var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while (count &lt;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valor no vetor de 24h é a média do sub 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 = consumo_curva[int(count/sub_intervalo)]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avg = consumo_curva_interp[count]</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if(values &gt; 24):</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new_avg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for i in range(sub_intervalo):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setar uma seed única e gerar um valor de 0% a 40%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np.random.seed(seed + count + i)</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rgen = np.random.randint(0, percentual_var)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comutar o sinal do valor gerado rgen</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(count + i) % 2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rgen = rgen*(-1)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soma o valor gerado a partir de meia média e acumula uma nova média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consumo_curva_interp[count+i] = avg*(base_avg+rgen)*0.01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new_avg += consumo_curva_interp[count+i]</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calcular fator do que falta para a média original</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normalization = 100/base_avg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fator = avg/(normalization*new_avg/sub_intervalo)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multiplicar todos os valores do sub intervalo pelo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while (j &lt; 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o valor exceder a média: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 o ponto será igual à média e salvar o valor excedente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(consumo_curva_interp[count+j] * fator) &gt;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consumo_curva_interp[count+j] =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exceed = consumo_curva_interp[count+j] * fator -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ainda houver próximo valor, adicionar o excedente ao próximo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e contar duas iterações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(j + 1) &lt; 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b/>
        <w:tab/>
        <w:tab/>
        <w:tab/>
        <w:t>consumo_curva_interp[count+j+1] = consumo_curva_interp[count+j+1] * fator + exceed</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2</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não, adicionar ao anterior e contar uma iteração só (fim do laço)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else: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b/>
        <w:tab/>
        <w:tab/>
        <w:t>consumo_curva_interp[count+j-1] = consumo_curva_interp[count+j-1] * fator + exceed</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não exceder a média, seguir a fórmula do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else: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ab/>
        <w:tab/>
        <w:tab/>
        <w:tab/>
        <w:t>consumo_curva_interp[count+j] = consumo_curva_interp[count+j] *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a iteração acontece pra cada sub intervalo entre uma hora e outra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count += sub_intervalo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 retorna valor em kW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return intervalo_interp, np.array(consumo_curva_interp)/1000</w:t>
      </w:r>
    </w:p>
    <w:p>
      <w:pPr>
        <w:pStyle w:val="Normal"/>
        <w:rPr>
          <w:lang w:eastAsia="ar-SA"/>
        </w:rPr>
      </w:pPr>
      <w:r>
        <w:rPr>
          <w:lang w:val="pt-BR" w:eastAsia="ar-SA"/>
        </w:rPr>
      </w:r>
    </w:p>
    <w:p>
      <w:pPr>
        <w:pStyle w:val="Normal"/>
        <w:rPr>
          <w:lang w:eastAsia="ar-SA"/>
        </w:rPr>
      </w:pPr>
      <w:r>
        <w:rPr>
          <w:lang w:val="pt-BR"/>
        </w:rPr>
      </w:r>
    </w:p>
    <w:sectPr>
      <w:headerReference w:type="default" r:id="rId36"/>
      <w:headerReference w:type="first" r:id="rId37"/>
      <w:footerReference w:type="default" r:id="rId38"/>
      <w:footerReference w:type="first" r:id="rId39"/>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Arial">
    <w:charset w:val="00"/>
    <w:family w:val="roman"/>
    <w:pitch w:val="variable"/>
  </w:font>
  <w:font w:name="Consolas">
    <w:charset w:val="01"/>
    <w:family w:val="modern"/>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47676581"/>
    </w:sdtPr>
    <w:sdtContent>
      <w:p>
        <w:pPr>
          <w:pStyle w:val="Rodap"/>
          <w:jc w:val="right"/>
          <w:rPr>
            <w:lang w:val="pt-BR"/>
          </w:rPr>
        </w:pPr>
        <w:r>
          <w:rPr>
            <w:lang w:val="pt-BR"/>
          </w:rPr>
          <w:fldChar w:fldCharType="begin"/>
        </w:r>
        <w:r>
          <w:rPr>
            <w:lang w:val="pt-BR"/>
          </w:rPr>
          <w:instrText> PAGE </w:instrText>
        </w:r>
        <w:r>
          <w:rPr>
            <w:lang w:val="pt-BR"/>
          </w:rPr>
          <w:fldChar w:fldCharType="separate"/>
        </w:r>
        <w:r>
          <w:rPr>
            <w:lang w:val="pt-BR"/>
          </w:rPr>
          <w:t>35</w:t>
        </w:r>
        <w:r>
          <w:rPr>
            <w:lang w:val="pt-BR"/>
          </w:rPr>
          <w:fldChar w:fldCharType="end"/>
        </w:r>
      </w:p>
    </w:sdtContent>
  </w:sdt>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1462739"/>
    </w:sdtPr>
    <w:sdtContent>
      <w:p>
        <w:pPr>
          <w:pStyle w:val="Rodap"/>
          <w:jc w:val="right"/>
          <w:rPr>
            <w:lang w:val="pt-BR"/>
          </w:rPr>
        </w:pPr>
        <w:r>
          <w:rPr>
            <w:lang w:val="pt-BR"/>
          </w:rPr>
          <w:fldChar w:fldCharType="begin"/>
        </w:r>
        <w:r>
          <w:rPr>
            <w:lang w:val="pt-BR"/>
          </w:rPr>
          <w:instrText> PAGE </w:instrText>
        </w:r>
        <w:r>
          <w:rPr>
            <w:lang w:val="pt-BR"/>
          </w:rPr>
          <w:fldChar w:fldCharType="separate"/>
        </w:r>
        <w:r>
          <w:rPr>
            <w:lang w:val="pt-BR"/>
          </w:rPr>
          <w:t>1</w:t>
        </w:r>
        <w:r>
          <w:rPr>
            <w:lang w:val="pt-B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24"/>
        <w:sz w:val="24"/>
        <w:spacing w:val="0"/>
        <w:i w:val="false"/>
        <w:shadow w:val="false"/>
        <w:u w:val="none"/>
        <w:b w:val="false"/>
        <w:kern w:val="0"/>
        <w:effect w:val="none"/>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
    <w:lvlOverride w:ilvl="0">
      <w:startOverride w:val="1"/>
    </w:lvlOverride>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 w:numId="47">
    <w:abstractNumId w:val="3"/>
  </w:num>
  <w:num w:numId="48">
    <w:abstractNumId w:val="3"/>
  </w:num>
  <w:num w:numId="49">
    <w:abstractNumId w:val="3"/>
  </w:num>
  <w:num w:numId="50">
    <w:abstractNumId w:val="3"/>
  </w:num>
  <w:num w:numId="51">
    <w:abstractNumId w:val="3"/>
  </w:num>
  <w:num w:numId="52">
    <w:abstractNumId w:val="3"/>
  </w:num>
  <w:num w:numId="53">
    <w:abstractNumId w:val="3"/>
  </w:num>
  <w:num w:numId="54">
    <w:abstractNumId w:val="3"/>
  </w:num>
  <w:num w:numId="55">
    <w:abstractNumId w:val="3"/>
  </w:num>
</w:numbering>
</file>

<file path=word/settings.xml><?xml version="1.0" encoding="utf-8"?>
<w:settings xmlns:w="http://schemas.openxmlformats.org/wordprocessingml/2006/main">
  <w:zoom w:percent="90"/>
  <w:mirrorMargi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eastAsia="pt-BR" w:bidi="ar-SA" w:val="pt-BR"/>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eader" Target="header6.xml"/><Relationship Id="rId37" Type="http://schemas.openxmlformats.org/officeDocument/2006/relationships/header" Target="header7.xml"/><Relationship Id="rId38" Type="http://schemas.openxmlformats.org/officeDocument/2006/relationships/footer" Target="footer7.xml"/><Relationship Id="rId39" Type="http://schemas.openxmlformats.org/officeDocument/2006/relationships/footer" Target="footer8.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Application>LibreOffice/7.1.0.3$Windows_X86_64 LibreOffice_project/f6099ecf3d29644b5008cc8f48f42f4a40986e4c</Application>
  <AppVersion>15.0000</AppVersion>
  <DocSecurity>0</DocSecurity>
  <Pages>59</Pages>
  <Words>6149</Words>
  <Characters>33048</Characters>
  <CharactersWithSpaces>39977</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2023-06-28T22:53:59Z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