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before="2400"/>
        <w:jc w:val="center"/>
      </w:pPr>
      <w:r>
        <w:rPr>
          <w:rFonts w:ascii="Arial" w:cs="Arial" w:eastAsia="Arial" w:hAnsi="Arial"/>
          <w:b/>
          <w:bCs/>
          <w:color w:val="1B365D"/>
          <w:sz w:val="56"/>
          <w:szCs w:val="56"/>
        </w:rPr>
        <w:t xml:space="preserve">AUDIT ENERGY</w:t>
      </w:r>
    </w:p>
    <w:p>
      <w:pPr>
        <w:spacing w:after="2400" w:before="120"/>
        <w:jc w:val="center"/>
      </w:pPr>
      <w:r>
        <w:rPr>
          <w:rFonts w:ascii="Arial" w:cs="Arial" w:eastAsia="Arial" w:hAnsi="Arial"/>
          <w:color w:val="5C768D"/>
          <w:sz w:val="32"/>
          <w:szCs w:val="32"/>
        </w:rPr>
        <w:t xml:space="preserve">Especificação e Documentação Técnica do Sistema</w:t>
      </w:r>
    </w:p>
    <w:p>
      <w:pPr>
        <w:spacing w:after="100" w:before="100"/>
        <w:jc w:val="center"/>
      </w:pPr>
      <w:r>
        <w:rPr>
          <w:rFonts w:ascii="Arial" w:cs="Arial" w:eastAsia="Arial" w:hAnsi="Arial"/>
          <w:b/>
          <w:bCs/>
          <w:color w:val="2F3E46"/>
          <w:sz w:val="20"/>
          <w:szCs w:val="20"/>
        </w:rPr>
        <w:t xml:space="preserve">Projeto: </w:t>
      </w:r>
      <w:r>
        <w:rPr>
          <w:rFonts w:ascii="Arial" w:cs="Arial" w:eastAsia="Arial" w:hAnsi="Arial"/>
          <w:color w:val="2F3E46"/>
          <w:sz w:val="20"/>
          <w:szCs w:val="20"/>
        </w:rPr>
        <w:t xml:space="preserve">Plataforma de Auditoria e Eficiência Energética</w:t>
      </w:r>
    </w:p>
    <w:p>
      <w:pPr>
        <w:spacing w:after="100" w:before="100"/>
        <w:jc w:val="center"/>
      </w:pPr>
      <w:r>
        <w:rPr>
          <w:rFonts w:ascii="Arial" w:cs="Arial" w:eastAsia="Arial" w:hAnsi="Arial"/>
          <w:b/>
          <w:bCs/>
          <w:color w:val="2F3E46"/>
          <w:sz w:val="20"/>
          <w:szCs w:val="20"/>
        </w:rPr>
        <w:t xml:space="preserve">Autor: </w:t>
      </w:r>
      <w:r>
        <w:rPr>
          <w:rFonts w:ascii="Arial" w:cs="Arial" w:eastAsia="Arial" w:hAnsi="Arial"/>
          <w:color w:val="2F3E46"/>
          <w:sz w:val="20"/>
          <w:szCs w:val="20"/>
        </w:rPr>
        <w:t xml:space="preserve">Equipe de Engenharia de Software</w:t>
      </w:r>
    </w:p>
    <w:p>
      <w:pPr>
        <w:spacing w:after="100" w:before="100"/>
        <w:jc w:val="center"/>
      </w:pPr>
      <w:r>
        <w:rPr>
          <w:rFonts w:ascii="Arial" w:cs="Arial" w:eastAsia="Arial" w:hAnsi="Arial"/>
          <w:b/>
          <w:bCs/>
          <w:color w:val="2F3E46"/>
          <w:sz w:val="20"/>
          <w:szCs w:val="20"/>
        </w:rPr>
        <w:t xml:space="preserve">Versão: </w:t>
      </w:r>
      <w:r>
        <w:rPr>
          <w:rFonts w:ascii="Arial" w:cs="Arial" w:eastAsia="Arial" w:hAnsi="Arial"/>
          <w:color w:val="2F3E46"/>
          <w:sz w:val="20"/>
          <w:szCs w:val="20"/>
        </w:rPr>
        <w:t xml:space="preserve">1.0.0</w:t>
      </w:r>
    </w:p>
    <w:p>
      <w:pPr>
        <w:spacing w:after="100" w:before="100"/>
        <w:jc w:val="center"/>
      </w:pPr>
      <w:r>
        <w:rPr>
          <w:rFonts w:ascii="Arial" w:cs="Arial" w:eastAsia="Arial" w:hAnsi="Arial"/>
          <w:b/>
          <w:bCs/>
          <w:color w:val="2F3E46"/>
          <w:sz w:val="20"/>
          <w:szCs w:val="20"/>
        </w:rPr>
        <w:t xml:space="preserve">Data de Geração: </w:t>
      </w:r>
      <w:r>
        <w:rPr>
          <w:rFonts w:ascii="Arial" w:cs="Arial" w:eastAsia="Arial" w:hAnsi="Arial"/>
          <w:color w:val="2F3E46"/>
          <w:sz w:val="20"/>
          <w:szCs w:val="20"/>
        </w:rPr>
        <w:t xml:space="preserve">20/05/2026</w:t>
      </w:r>
    </w:p>
    <w:p>
      <w:pPr>
        <w:spacing w:after="100" w:before="100"/>
        <w:jc w:val="center"/>
      </w:pPr>
      <w:r>
        <w:rPr>
          <w:rFonts w:ascii="Arial" w:cs="Arial" w:eastAsia="Arial" w:hAnsi="Arial"/>
          <w:b/>
          <w:bCs/>
          <w:color w:val="2F3E46"/>
          <w:sz w:val="20"/>
          <w:szCs w:val="20"/>
        </w:rPr>
        <w:t xml:space="preserve">Status: </w:t>
      </w:r>
      <w:r>
        <w:rPr>
          <w:rFonts w:ascii="Arial" w:cs="Arial" w:eastAsia="Arial" w:hAnsi="Arial"/>
          <w:color w:val="2F3E46"/>
          <w:sz w:val="20"/>
          <w:szCs w:val="20"/>
        </w:rPr>
        <w:t xml:space="preserve">Documento Homologado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65D"/>
          <w:sz w:val="36"/>
          <w:szCs w:val="36"/>
        </w:rPr>
        <w:t xml:space="preserve">1. Visão Geral do Sistema</w:t>
      </w:r>
    </w:p>
    <w:p>
      <w:pPr>
        <w:spacing w:after="120" w:before="120" w:line="276"/>
      </w:pPr>
      <w:r>
        <w:rPr>
          <w:rFonts w:ascii="Arial" w:cs="Arial" w:eastAsia="Arial" w:hAnsi="Arial"/>
          <w:b w:val="false"/>
          <w:bCs w:val="false"/>
          <w:color w:val="2F3E46"/>
          <w:sz w:val="22"/>
          <w:szCs w:val="22"/>
        </w:rPr>
        <w:t xml:space="preserve">O Audit Energy é uma solução corporativa robusta desenvolvida para a centralização, controle e gestão estratégica de faturas de energia elétrica. O objetivo central da plataforma é automatizar a consolidação de dados de faturamento de Unidades Consumidoras (UCs), fornecendo a gestores e consultores um painel analítico para acompanhar o histórico de consumo, auditar custos tributários e tarifas aplicadas pelas distribuidoras de energia, e gerar relatórios gerenciais personalizados em formato PDF de alto padrão para envio e acompanhamento direto com seus respectivos clientes.</w:t>
      </w:r>
    </w:p>
    <w:p>
      <w:pPr>
        <w:spacing w:after="120" w:before="120" w:line="276"/>
      </w:pPr>
      <w:r>
        <w:rPr>
          <w:rFonts w:ascii="Arial" w:cs="Arial" w:eastAsia="Arial" w:hAnsi="Arial"/>
          <w:b w:val="false"/>
          <w:bCs w:val="false"/>
          <w:color w:val="2F3E46"/>
          <w:sz w:val="22"/>
          <w:szCs w:val="22"/>
        </w:rPr>
        <w:t xml:space="preserve">Como recurso complementar, caso exista o levantamento técnico de inventário de carga (potência e operação de equipamentos em campo), o sistema integra e confronta essa simulação teórica com o faturamento real para estimar distorções e sugerir oportunidades de eficientização.</w:t>
      </w:r>
    </w:p>
    <w:p>
      <w:pPr>
        <w:spacing w:after="120" w:before="120" w:line="276"/>
      </w:pPr>
      <w:r>
        <w:rPr>
          <w:rFonts w:ascii="Arial" w:cs="Arial" w:eastAsia="Arial" w:hAnsi="Arial"/>
          <w:b w:val="false"/>
          <w:bCs w:val="false"/>
          <w:color w:val="2F3E46"/>
          <w:sz w:val="22"/>
          <w:szCs w:val="22"/>
        </w:rPr>
        <w:t xml:space="preserve">Os principais recursos e dores de negócio solucionados pela plataforma incluem: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Controle de Faturas &amp; Importação: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Consolidação automática e manual de faturas nos formatos de planilha eletrônica (XLSX, XLS e CSV) ou sincronização programada direta com APIs do mercado.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Gestão Analítica de Despesas: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Painel de consolidação para monitorar evolução de consumo (kWh), despesas acumuladas, taxas tributárias e tarifas contratuais de forma integrada por cliente ou de forma global.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Geração e Compartilhamento de PDFs: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Geração automatizada de relatórios em PDF com gráficos consolidados de consumo e faturamento para os clientes finais da consultoria.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Simulação de Carga e Distorções: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Integração opcional do consumo real faturado contra a estimativa de consumo de equipamentos elétricos (motores, iluminação, condicionamento ambiental) cadastrados na Unidade Consumidora, se mapeados.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Insights Inteligentes via IA: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Emprego de inteligência artificial de ponta (Groq LLM) para analisar dados do faturamento e sugerir melhorias operacionais, ações preventivas e otimizações tributárias diretamente nos relatórios.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Disparo Automático por E-mail: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Disparo ágil e direto de relatórios gerados em PDF para os endereços de e-mail dos gestores dos respectivos clientes via SMTP integrado.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65D"/>
          <w:sz w:val="36"/>
          <w:szCs w:val="36"/>
        </w:rPr>
        <w:t xml:space="preserve">2. Arquitetura e Tecnologias Utilizadas</w:t>
      </w:r>
    </w:p>
    <w:p>
      <w:pPr>
        <w:spacing w:after="120" w:before="120" w:line="276"/>
      </w:pPr>
      <w:r>
        <w:rPr>
          <w:rFonts w:ascii="Arial" w:cs="Arial" w:eastAsia="Arial" w:hAnsi="Arial"/>
          <w:b w:val="false"/>
          <w:bCs w:val="false"/>
          <w:color w:val="2F3E46"/>
          <w:sz w:val="22"/>
          <w:szCs w:val="22"/>
        </w:rPr>
        <w:t xml:space="preserve">A aplicação é desenvolvida sob o modelo de Single Page Application (SPA) no frontend e uma API RESTful no backend. A arquitetura privilegia o desacoplamento de responsabilidades, facilidade de manutenção e segurança por meio de autenticação baseada em JWT (JSON Web Tokens).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5C768D"/>
          <w:sz w:val="28"/>
          <w:szCs w:val="28"/>
        </w:rPr>
        <w:t xml:space="preserve">2.1 Tecnologias do Backend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Node.js (v24.15):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Runtime moderno e performático para o desenvolvimento backend.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Express.js: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Framework minimalista e eficiente para construção das rotas e controladores HTTP.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TypeScript (v5.8.2):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Linguagem tipada que eleva a robustez e previne erros comuns durante a codificação.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PostgreSQL: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Banco de dados relacional que suporta alta carga de transações e consultas complexas.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tsx (watch mode):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Ferramenta de execução e transpilação rápida de arquivos TypeScript para desenvolvimento.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Bcrypt.js: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Criptografia de senhas usando hashing SHA-256 salteado.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Integração Groq: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Integração com a API de LLM da Groq (Llama-3.3-70b-versatile) para a geração automatizada de insights.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5C768D"/>
          <w:sz w:val="28"/>
          <w:szCs w:val="28"/>
        </w:rPr>
        <w:t xml:space="preserve">2.2 Tecnologias do Frontend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React (v19.0):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Biblioteca declarativa para renderização de interfaces reativas baseadas em componentes.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Vite: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Ferramenta de build ultra-rápida baseada em ESBuild.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TanStack React Router: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Roteador com segurança de tipos (Type-safe router) que facilita o gerenciamento de rotas complexas.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TanStack React Query: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Gerenciamento de estado assíncrono e cacheamento de requisições de API.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TailwindCSS (v4.0):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Framework de estilos em CSS utilitário para layouts limpos e responsivos.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Shadcn UI: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Componentes visuais acessíveis e consistentes baseados no Radix UI e estilizados via Tailwind.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@react-pdf/renderer: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Geração de PDFs complexos diretamente no navegador a partir de componentes React JSX.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65D"/>
          <w:sz w:val="36"/>
          <w:szCs w:val="36"/>
        </w:rPr>
        <w:t xml:space="preserve">3. Modelagem do Banco de Dados</w:t>
      </w:r>
    </w:p>
    <w:p>
      <w:pPr>
        <w:spacing w:after="120" w:before="120" w:line="276"/>
      </w:pPr>
      <w:r>
        <w:rPr>
          <w:rFonts w:ascii="Arial" w:cs="Arial" w:eastAsia="Arial" w:hAnsi="Arial"/>
          <w:b w:val="false"/>
          <w:bCs w:val="false"/>
          <w:color w:val="2F3E46"/>
          <w:sz w:val="22"/>
          <w:szCs w:val="22"/>
        </w:rPr>
        <w:t xml:space="preserve">O banco de dados PostgreSQL armazena as entidades de usuários, clientes (unidades consumidoras), equipamentos físicos (inventário de carga) e faturas elétricas. A seguir são detalhados os esquemas de cada tabela.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5C768D"/>
          <w:sz w:val="28"/>
          <w:szCs w:val="28"/>
        </w:rPr>
        <w:t xml:space="preserve">3.1 Tabela: users</w:t>
      </w:r>
    </w:p>
    <w:p>
      <w:pPr>
        <w:spacing w:after="120" w:before="120" w:line="276"/>
      </w:pPr>
      <w:r>
        <w:rPr>
          <w:rFonts w:ascii="Arial" w:cs="Arial" w:eastAsia="Arial" w:hAnsi="Arial"/>
          <w:b w:val="false"/>
          <w:bCs w:val="false"/>
          <w:color w:val="2F3E46"/>
          <w:sz w:val="22"/>
          <w:szCs w:val="22"/>
        </w:rPr>
        <w:t xml:space="preserve">Armazena as credenciais de acesso dos usuários à plataforma Audit Energy.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shd w:fill="1B365D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Coluna</w:t>
            </w:r>
          </w:p>
        </w:tc>
        <w:tc>
          <w:tcPr>
            <w:tcW w:type="pct" w:w="25%"/>
            <w:shd w:fill="1B365D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 de Dados</w:t>
            </w:r>
          </w:p>
        </w:tc>
        <w:tc>
          <w:tcPr>
            <w:tcW w:type="pct" w:w="15%"/>
            <w:shd w:fill="1B365D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Nulidade</w:t>
            </w:r>
          </w:p>
        </w:tc>
        <w:tc>
          <w:tcPr>
            <w:tcW w:type="pct" w:w="40%"/>
            <w:shd w:fill="1B365D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 / Restrições</w:t>
            </w:r>
          </w:p>
        </w:tc>
      </w:tr>
      <w:tr>
        <w:tc>
          <w:tcPr>
            <w:tcW w:type="pct" w:w="2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F3E46"/>
                <w:sz w:val="18"/>
                <w:szCs w:val="18"/>
              </w:rPr>
              <w:t xml:space="preserve">id</w:t>
            </w:r>
          </w:p>
        </w:tc>
        <w:tc>
          <w:tcPr>
            <w:tcW w:type="pct" w:w="2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SERIAL</w:t>
            </w:r>
          </w:p>
        </w:tc>
        <w:tc>
          <w:tcPr>
            <w:tcW w:type="pct" w:w="1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NOT NULL</w:t>
            </w:r>
          </w:p>
        </w:tc>
        <w:tc>
          <w:tcPr>
            <w:tcW w:type="pct" w:w="4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Chave primária autoincrementada</w:t>
            </w:r>
          </w:p>
        </w:tc>
      </w:tr>
      <w:tr>
        <w:tc>
          <w:tcPr>
            <w:tcW w:type="pct" w:w="2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F3E46"/>
                <w:sz w:val="18"/>
                <w:szCs w:val="18"/>
              </w:rPr>
              <w:t xml:space="preserve">name</w:t>
            </w:r>
          </w:p>
        </w:tc>
        <w:tc>
          <w:tcPr>
            <w:tcW w:type="pct" w:w="2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TEXT</w:t>
            </w:r>
          </w:p>
        </w:tc>
        <w:tc>
          <w:tcPr>
            <w:tcW w:type="pct" w:w="1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NOT NULL</w:t>
            </w:r>
          </w:p>
        </w:tc>
        <w:tc>
          <w:tcPr>
            <w:tcW w:type="pct" w:w="4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Nome completo do usuário</w:t>
            </w:r>
          </w:p>
        </w:tc>
      </w:tr>
      <w:tr>
        <w:tc>
          <w:tcPr>
            <w:tcW w:type="pct" w:w="2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F3E46"/>
                <w:sz w:val="18"/>
                <w:szCs w:val="18"/>
              </w:rPr>
              <w:t xml:space="preserve">email</w:t>
            </w:r>
          </w:p>
        </w:tc>
        <w:tc>
          <w:tcPr>
            <w:tcW w:type="pct" w:w="2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TEXT</w:t>
            </w:r>
          </w:p>
        </w:tc>
        <w:tc>
          <w:tcPr>
            <w:tcW w:type="pct" w:w="1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NOT NULL</w:t>
            </w:r>
          </w:p>
        </w:tc>
        <w:tc>
          <w:tcPr>
            <w:tcW w:type="pct" w:w="4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E-mail único utilizado para autenticação</w:t>
            </w:r>
          </w:p>
        </w:tc>
      </w:tr>
      <w:tr>
        <w:tc>
          <w:tcPr>
            <w:tcW w:type="pct" w:w="2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F3E46"/>
                <w:sz w:val="18"/>
                <w:szCs w:val="18"/>
              </w:rPr>
              <w:t xml:space="preserve">password</w:t>
            </w:r>
          </w:p>
        </w:tc>
        <w:tc>
          <w:tcPr>
            <w:tcW w:type="pct" w:w="2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TEXT</w:t>
            </w:r>
          </w:p>
        </w:tc>
        <w:tc>
          <w:tcPr>
            <w:tcW w:type="pct" w:w="1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NOT NULL</w:t>
            </w:r>
          </w:p>
        </w:tc>
        <w:tc>
          <w:tcPr>
            <w:tcW w:type="pct" w:w="4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Hash da senha (bcrypt)</w:t>
            </w:r>
          </w:p>
        </w:tc>
      </w:tr>
      <w:tr>
        <w:tc>
          <w:tcPr>
            <w:tcW w:type="pct" w:w="2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F3E46"/>
                <w:sz w:val="18"/>
                <w:szCs w:val="18"/>
              </w:rPr>
              <w:t xml:space="preserve">role</w:t>
            </w:r>
          </w:p>
        </w:tc>
        <w:tc>
          <w:tcPr>
            <w:tcW w:type="pct" w:w="2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TEXT</w:t>
            </w:r>
          </w:p>
        </w:tc>
        <w:tc>
          <w:tcPr>
            <w:tcW w:type="pct" w:w="1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DEFAULT 'user'</w:t>
            </w:r>
          </w:p>
        </w:tc>
        <w:tc>
          <w:tcPr>
            <w:tcW w:type="pct" w:w="4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Papel de autorização ('admin' ou 'user')</w:t>
            </w:r>
          </w:p>
        </w:tc>
      </w:tr>
      <w:tr>
        <w:tc>
          <w:tcPr>
            <w:tcW w:type="pct" w:w="2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F3E46"/>
                <w:sz w:val="18"/>
                <w:szCs w:val="18"/>
              </w:rPr>
              <w:t xml:space="preserve">active</w:t>
            </w:r>
          </w:p>
        </w:tc>
        <w:tc>
          <w:tcPr>
            <w:tcW w:type="pct" w:w="2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BOOLEAN</w:t>
            </w:r>
          </w:p>
        </w:tc>
        <w:tc>
          <w:tcPr>
            <w:tcW w:type="pct" w:w="1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DEFAULT true</w:t>
            </w:r>
          </w:p>
        </w:tc>
        <w:tc>
          <w:tcPr>
            <w:tcW w:type="pct" w:w="4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Indica se o cadastro está ativo no sistema</w:t>
            </w:r>
          </w:p>
        </w:tc>
      </w:tr>
      <w:tr>
        <w:tc>
          <w:tcPr>
            <w:tcW w:type="pct" w:w="2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F3E46"/>
                <w:sz w:val="18"/>
                <w:szCs w:val="18"/>
              </w:rPr>
              <w:t xml:space="preserve">created_at</w:t>
            </w:r>
          </w:p>
        </w:tc>
        <w:tc>
          <w:tcPr>
            <w:tcW w:type="pct" w:w="2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TIMESTAMP</w:t>
            </w:r>
          </w:p>
        </w:tc>
        <w:tc>
          <w:tcPr>
            <w:tcW w:type="pct" w:w="1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DEFAULT NOW()</w:t>
            </w:r>
          </w:p>
        </w:tc>
        <w:tc>
          <w:tcPr>
            <w:tcW w:type="pct" w:w="4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Data e hora de criação do usuário</w:t>
            </w:r>
          </w:p>
        </w:tc>
      </w:tr>
    </w:tbl>
    <w:p>
      <w:pPr>
        <w:spacing w:after="100" w:before="1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5C768D"/>
          <w:sz w:val="28"/>
          <w:szCs w:val="28"/>
        </w:rPr>
        <w:t xml:space="preserve">3.2 Tabela: clients</w:t>
      </w:r>
    </w:p>
    <w:p>
      <w:pPr>
        <w:spacing w:after="120" w:before="120" w:line="276"/>
      </w:pPr>
      <w:r>
        <w:rPr>
          <w:rFonts w:ascii="Arial" w:cs="Arial" w:eastAsia="Arial" w:hAnsi="Arial"/>
          <w:b w:val="false"/>
          <w:bCs w:val="false"/>
          <w:color w:val="2F3E46"/>
          <w:sz w:val="22"/>
          <w:szCs w:val="22"/>
        </w:rPr>
        <w:t xml:space="preserve">Armazena as Unidades Consumidoras de energia. Cada registro representa um local de auditoria.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shd w:fill="1B365D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Coluna</w:t>
            </w:r>
          </w:p>
        </w:tc>
        <w:tc>
          <w:tcPr>
            <w:tcW w:type="pct" w:w="25%"/>
            <w:shd w:fill="1B365D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 de Dados</w:t>
            </w:r>
          </w:p>
        </w:tc>
        <w:tc>
          <w:tcPr>
            <w:tcW w:type="pct" w:w="15%"/>
            <w:shd w:fill="1B365D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Nulidade</w:t>
            </w:r>
          </w:p>
        </w:tc>
        <w:tc>
          <w:tcPr>
            <w:tcW w:type="pct" w:w="40%"/>
            <w:shd w:fill="1B365D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pct" w:w="2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F3E46"/>
                <w:sz w:val="18"/>
                <w:szCs w:val="18"/>
              </w:rPr>
              <w:t xml:space="preserve">id</w:t>
            </w:r>
          </w:p>
        </w:tc>
        <w:tc>
          <w:tcPr>
            <w:tcW w:type="pct" w:w="2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SERIAL</w:t>
            </w:r>
          </w:p>
        </w:tc>
        <w:tc>
          <w:tcPr>
            <w:tcW w:type="pct" w:w="1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NOT NULL</w:t>
            </w:r>
          </w:p>
        </w:tc>
        <w:tc>
          <w:tcPr>
            <w:tcW w:type="pct" w:w="4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Chave primária autoincrementada</w:t>
            </w:r>
          </w:p>
        </w:tc>
      </w:tr>
      <w:tr>
        <w:tc>
          <w:tcPr>
            <w:tcW w:type="pct" w:w="2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F3E46"/>
                <w:sz w:val="18"/>
                <w:szCs w:val="18"/>
              </w:rPr>
              <w:t xml:space="preserve">uc_number</w:t>
            </w:r>
          </w:p>
        </w:tc>
        <w:tc>
          <w:tcPr>
            <w:tcW w:type="pct" w:w="2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TEXT</w:t>
            </w:r>
          </w:p>
        </w:tc>
        <w:tc>
          <w:tcPr>
            <w:tcW w:type="pct" w:w="1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NULL</w:t>
            </w:r>
          </w:p>
        </w:tc>
        <w:tc>
          <w:tcPr>
            <w:tcW w:type="pct" w:w="4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Número da Unidade Consumidora (Identificador Único)</w:t>
            </w:r>
          </w:p>
        </w:tc>
      </w:tr>
      <w:tr>
        <w:tc>
          <w:tcPr>
            <w:tcW w:type="pct" w:w="2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F3E46"/>
                <w:sz w:val="18"/>
                <w:szCs w:val="18"/>
              </w:rPr>
              <w:t xml:space="preserve">name</w:t>
            </w:r>
          </w:p>
        </w:tc>
        <w:tc>
          <w:tcPr>
            <w:tcW w:type="pct" w:w="2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TEXT</w:t>
            </w:r>
          </w:p>
        </w:tc>
        <w:tc>
          <w:tcPr>
            <w:tcW w:type="pct" w:w="1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NOT NULL</w:t>
            </w:r>
          </w:p>
        </w:tc>
        <w:tc>
          <w:tcPr>
            <w:tcW w:type="pct" w:w="4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Razão Social ou Nome do Site do Cliente</w:t>
            </w:r>
          </w:p>
        </w:tc>
      </w:tr>
      <w:tr>
        <w:tc>
          <w:tcPr>
            <w:tcW w:type="pct" w:w="2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F3E46"/>
                <w:sz w:val="18"/>
                <w:szCs w:val="18"/>
              </w:rPr>
              <w:t xml:space="preserve">distributor</w:t>
            </w:r>
          </w:p>
        </w:tc>
        <w:tc>
          <w:tcPr>
            <w:tcW w:type="pct" w:w="2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TEXT</w:t>
            </w:r>
          </w:p>
        </w:tc>
        <w:tc>
          <w:tcPr>
            <w:tcW w:type="pct" w:w="1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NULL</w:t>
            </w:r>
          </w:p>
        </w:tc>
        <w:tc>
          <w:tcPr>
            <w:tcW w:type="pct" w:w="4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Distribuidora de energia (ex: Light, Enel)</w:t>
            </w:r>
          </w:p>
        </w:tc>
      </w:tr>
      <w:tr>
        <w:tc>
          <w:tcPr>
            <w:tcW w:type="pct" w:w="2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F3E46"/>
                <w:sz w:val="18"/>
                <w:szCs w:val="18"/>
              </w:rPr>
              <w:t xml:space="preserve">subgroup</w:t>
            </w:r>
          </w:p>
        </w:tc>
        <w:tc>
          <w:tcPr>
            <w:tcW w:type="pct" w:w="2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TEXT</w:t>
            </w:r>
          </w:p>
        </w:tc>
        <w:tc>
          <w:tcPr>
            <w:tcW w:type="pct" w:w="1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NULL</w:t>
            </w:r>
          </w:p>
        </w:tc>
        <w:tc>
          <w:tcPr>
            <w:tcW w:type="pct" w:w="4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Subgrupo de tensão tarifária (ex: A4, B3)</w:t>
            </w:r>
          </w:p>
        </w:tc>
      </w:tr>
      <w:tr>
        <w:tc>
          <w:tcPr>
            <w:tcW w:type="pct" w:w="2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F3E46"/>
                <w:sz w:val="18"/>
                <w:szCs w:val="18"/>
              </w:rPr>
              <w:t xml:space="preserve">cnpj</w:t>
            </w:r>
          </w:p>
        </w:tc>
        <w:tc>
          <w:tcPr>
            <w:tcW w:type="pct" w:w="2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TEXT</w:t>
            </w:r>
          </w:p>
        </w:tc>
        <w:tc>
          <w:tcPr>
            <w:tcW w:type="pct" w:w="1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NULL</w:t>
            </w:r>
          </w:p>
        </w:tc>
        <w:tc>
          <w:tcPr>
            <w:tcW w:type="pct" w:w="4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CNPJ da Unidade Consumidora</w:t>
            </w:r>
          </w:p>
        </w:tc>
      </w:tr>
      <w:tr>
        <w:tc>
          <w:tcPr>
            <w:tcW w:type="pct" w:w="2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F3E46"/>
                <w:sz w:val="18"/>
                <w:szCs w:val="18"/>
              </w:rPr>
              <w:t xml:space="preserve">contact_email</w:t>
            </w:r>
          </w:p>
        </w:tc>
        <w:tc>
          <w:tcPr>
            <w:tcW w:type="pct" w:w="2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TEXT</w:t>
            </w:r>
          </w:p>
        </w:tc>
        <w:tc>
          <w:tcPr>
            <w:tcW w:type="pct" w:w="1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NULL</w:t>
            </w:r>
          </w:p>
        </w:tc>
        <w:tc>
          <w:tcPr>
            <w:tcW w:type="pct" w:w="4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E-mail de contato para envio do relatório PDF</w:t>
            </w:r>
          </w:p>
        </w:tc>
      </w:tr>
      <w:tr>
        <w:tc>
          <w:tcPr>
            <w:tcW w:type="pct" w:w="2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F3E46"/>
                <w:sz w:val="18"/>
                <w:szCs w:val="18"/>
              </w:rPr>
              <w:t xml:space="preserve">cep / uf / city</w:t>
            </w:r>
          </w:p>
        </w:tc>
        <w:tc>
          <w:tcPr>
            <w:tcW w:type="pct" w:w="2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TEXT</w:t>
            </w:r>
          </w:p>
        </w:tc>
        <w:tc>
          <w:tcPr>
            <w:tcW w:type="pct" w:w="1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NULL</w:t>
            </w:r>
          </w:p>
        </w:tc>
        <w:tc>
          <w:tcPr>
            <w:tcW w:type="pct" w:w="4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Dados de localização e endereço do site</w:t>
            </w:r>
          </w:p>
        </w:tc>
      </w:tr>
    </w:tbl>
    <w:p>
      <w:pPr>
        <w:spacing w:after="100" w:before="1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5C768D"/>
          <w:sz w:val="28"/>
          <w:szCs w:val="28"/>
        </w:rPr>
        <w:t xml:space="preserve">3.3 Tabela: equipment</w:t>
      </w:r>
    </w:p>
    <w:p>
      <w:pPr>
        <w:spacing w:after="120" w:before="120" w:line="276"/>
      </w:pPr>
      <w:r>
        <w:rPr>
          <w:rFonts w:ascii="Arial" w:cs="Arial" w:eastAsia="Arial" w:hAnsi="Arial"/>
          <w:b w:val="false"/>
          <w:bCs w:val="false"/>
          <w:color w:val="2F3E46"/>
          <w:sz w:val="22"/>
          <w:szCs w:val="22"/>
        </w:rPr>
        <w:t xml:space="preserve">Contém o inventário de dispositivos elétricos de campo associados a um determinado cliente/UC.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shd w:fill="1B365D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Coluna</w:t>
            </w:r>
          </w:p>
        </w:tc>
        <w:tc>
          <w:tcPr>
            <w:tcW w:type="pct" w:w="25%"/>
            <w:shd w:fill="1B365D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 de Dados</w:t>
            </w:r>
          </w:p>
        </w:tc>
        <w:tc>
          <w:tcPr>
            <w:tcW w:type="pct" w:w="15%"/>
            <w:shd w:fill="1B365D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Nulidade</w:t>
            </w:r>
          </w:p>
        </w:tc>
        <w:tc>
          <w:tcPr>
            <w:tcW w:type="pct" w:w="40%"/>
            <w:shd w:fill="1B365D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 / Relacionamento</w:t>
            </w:r>
          </w:p>
        </w:tc>
      </w:tr>
      <w:tr>
        <w:tc>
          <w:tcPr>
            <w:tcW w:type="pct" w:w="2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F3E46"/>
                <w:sz w:val="18"/>
                <w:szCs w:val="18"/>
              </w:rPr>
              <w:t xml:space="preserve">id</w:t>
            </w:r>
          </w:p>
        </w:tc>
        <w:tc>
          <w:tcPr>
            <w:tcW w:type="pct" w:w="2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SERIAL</w:t>
            </w:r>
          </w:p>
        </w:tc>
        <w:tc>
          <w:tcPr>
            <w:tcW w:type="pct" w:w="1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NOT NULL</w:t>
            </w:r>
          </w:p>
        </w:tc>
        <w:tc>
          <w:tcPr>
            <w:tcW w:type="pct" w:w="4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Chave primária</w:t>
            </w:r>
          </w:p>
        </w:tc>
      </w:tr>
      <w:tr>
        <w:tc>
          <w:tcPr>
            <w:tcW w:type="pct" w:w="2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F3E46"/>
                <w:sz w:val="18"/>
                <w:szCs w:val="18"/>
              </w:rPr>
              <w:t xml:space="preserve">client_id</w:t>
            </w:r>
          </w:p>
        </w:tc>
        <w:tc>
          <w:tcPr>
            <w:tcW w:type="pct" w:w="2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NOT NULL</w:t>
            </w:r>
          </w:p>
        </w:tc>
        <w:tc>
          <w:tcPr>
            <w:tcW w:type="pct" w:w="4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Chave estrangeira referenciando clients(id)</w:t>
            </w:r>
          </w:p>
        </w:tc>
      </w:tr>
      <w:tr>
        <w:tc>
          <w:tcPr>
            <w:tcW w:type="pct" w:w="2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F3E46"/>
                <w:sz w:val="18"/>
                <w:szCs w:val="18"/>
              </w:rPr>
              <w:t xml:space="preserve">name</w:t>
            </w:r>
          </w:p>
        </w:tc>
        <w:tc>
          <w:tcPr>
            <w:tcW w:type="pct" w:w="2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TEXT</w:t>
            </w:r>
          </w:p>
        </w:tc>
        <w:tc>
          <w:tcPr>
            <w:tcW w:type="pct" w:w="1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NOT NULL</w:t>
            </w:r>
          </w:p>
        </w:tc>
        <w:tc>
          <w:tcPr>
            <w:tcW w:type="pct" w:w="4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Nome do equipamento (ex: Motor 15 CV)</w:t>
            </w:r>
          </w:p>
        </w:tc>
      </w:tr>
      <w:tr>
        <w:tc>
          <w:tcPr>
            <w:tcW w:type="pct" w:w="2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F3E46"/>
                <w:sz w:val="18"/>
                <w:szCs w:val="18"/>
              </w:rPr>
              <w:t xml:space="preserve">power_w</w:t>
            </w:r>
          </w:p>
        </w:tc>
        <w:tc>
          <w:tcPr>
            <w:tcW w:type="pct" w:w="2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NUMERIC</w:t>
            </w:r>
          </w:p>
        </w:tc>
        <w:tc>
          <w:tcPr>
            <w:tcW w:type="pct" w:w="1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DEFAULT 0</w:t>
            </w:r>
          </w:p>
        </w:tc>
        <w:tc>
          <w:tcPr>
            <w:tcW w:type="pct" w:w="4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Potência nominal do dispositivo em Watts</w:t>
            </w:r>
          </w:p>
        </w:tc>
      </w:tr>
      <w:tr>
        <w:tc>
          <w:tcPr>
            <w:tcW w:type="pct" w:w="2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F3E46"/>
                <w:sz w:val="18"/>
                <w:szCs w:val="18"/>
              </w:rPr>
              <w:t xml:space="preserve">hours_per_day</w:t>
            </w:r>
          </w:p>
        </w:tc>
        <w:tc>
          <w:tcPr>
            <w:tcW w:type="pct" w:w="2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NUMERIC</w:t>
            </w:r>
          </w:p>
        </w:tc>
        <w:tc>
          <w:tcPr>
            <w:tcW w:type="pct" w:w="1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DEFAULT 0</w:t>
            </w:r>
          </w:p>
        </w:tc>
        <w:tc>
          <w:tcPr>
            <w:tcW w:type="pct" w:w="4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Estimativa de uso diário em horas</w:t>
            </w:r>
          </w:p>
        </w:tc>
      </w:tr>
      <w:tr>
        <w:tc>
          <w:tcPr>
            <w:tcW w:type="pct" w:w="2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F3E46"/>
                <w:sz w:val="18"/>
                <w:szCs w:val="18"/>
              </w:rPr>
              <w:t xml:space="preserve">quantity</w:t>
            </w:r>
          </w:p>
        </w:tc>
        <w:tc>
          <w:tcPr>
            <w:tcW w:type="pct" w:w="2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DEFAULT 1</w:t>
            </w:r>
          </w:p>
        </w:tc>
        <w:tc>
          <w:tcPr>
            <w:tcW w:type="pct" w:w="4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Quantidade de unidades idênticas do equipamento</w:t>
            </w:r>
          </w:p>
        </w:tc>
      </w:tr>
      <w:tr>
        <w:tc>
          <w:tcPr>
            <w:tcW w:type="pct" w:w="2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F3E46"/>
                <w:sz w:val="18"/>
                <w:szCs w:val="18"/>
              </w:rPr>
              <w:t xml:space="preserve">tariff</w:t>
            </w:r>
          </w:p>
        </w:tc>
        <w:tc>
          <w:tcPr>
            <w:tcW w:type="pct" w:w="2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NUMERIC</w:t>
            </w:r>
          </w:p>
        </w:tc>
        <w:tc>
          <w:tcPr>
            <w:tcW w:type="pct" w:w="1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DEFAULT 0</w:t>
            </w:r>
          </w:p>
        </w:tc>
        <w:tc>
          <w:tcPr>
            <w:tcW w:type="pct" w:w="4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Custo tarifário aplicado por kWh (R$)</w:t>
            </w:r>
          </w:p>
        </w:tc>
      </w:tr>
    </w:tbl>
    <w:p>
      <w:pPr>
        <w:spacing w:after="100" w:before="1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5C768D"/>
          <w:sz w:val="28"/>
          <w:szCs w:val="28"/>
        </w:rPr>
        <w:t xml:space="preserve">3.4 Tabela: faturas</w:t>
      </w:r>
    </w:p>
    <w:p>
      <w:pPr>
        <w:spacing w:after="120" w:before="120" w:line="276"/>
      </w:pPr>
      <w:r>
        <w:rPr>
          <w:rFonts w:ascii="Arial" w:cs="Arial" w:eastAsia="Arial" w:hAnsi="Arial"/>
          <w:b w:val="false"/>
          <w:bCs w:val="false"/>
          <w:color w:val="2F3E46"/>
          <w:sz w:val="22"/>
          <w:szCs w:val="22"/>
        </w:rPr>
        <w:t xml:space="preserve">Esta tabela possui grande dimensionalidade de colunas para suportar todos os campos que podem ser extraídos de planilhas complexas de auditoria energética ou da API PowerHub da Way2.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shd w:fill="1B365D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Coluna</w:t>
            </w:r>
          </w:p>
        </w:tc>
        <w:tc>
          <w:tcPr>
            <w:tcW w:type="pct" w:w="20%"/>
            <w:shd w:fill="1B365D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pct" w:w="15%"/>
            <w:shd w:fill="1B365D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Nulidade</w:t>
            </w:r>
          </w:p>
        </w:tc>
        <w:tc>
          <w:tcPr>
            <w:tcW w:type="pct" w:w="45%"/>
            <w:shd w:fill="1B365D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Detalhamento do Campo</w:t>
            </w:r>
          </w:p>
        </w:tc>
      </w:tr>
      <w:tr>
        <w:tc>
          <w:tcPr>
            <w:tcW w:type="pct" w:w="2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F3E46"/>
                <w:sz w:val="18"/>
                <w:szCs w:val="18"/>
              </w:rPr>
              <w:t xml:space="preserve">id</w:t>
            </w:r>
          </w:p>
        </w:tc>
        <w:tc>
          <w:tcPr>
            <w:tcW w:type="pct" w:w="2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SERIAL</w:t>
            </w:r>
          </w:p>
        </w:tc>
        <w:tc>
          <w:tcPr>
            <w:tcW w:type="pct" w:w="1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NOT NULL</w:t>
            </w:r>
          </w:p>
        </w:tc>
        <w:tc>
          <w:tcPr>
            <w:tcW w:type="pct" w:w="4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Chave primária do sistema</w:t>
            </w:r>
          </w:p>
        </w:tc>
      </w:tr>
      <w:tr>
        <w:tc>
          <w:tcPr>
            <w:tcW w:type="pct" w:w="2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F3E46"/>
                <w:sz w:val="18"/>
                <w:szCs w:val="18"/>
              </w:rPr>
              <w:t xml:space="preserve">nome_do_site</w:t>
            </w:r>
          </w:p>
        </w:tc>
        <w:tc>
          <w:tcPr>
            <w:tcW w:type="pct" w:w="2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TEXT</w:t>
            </w:r>
          </w:p>
        </w:tc>
        <w:tc>
          <w:tcPr>
            <w:tcW w:type="pct" w:w="1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NULL</w:t>
            </w:r>
          </w:p>
        </w:tc>
        <w:tc>
          <w:tcPr>
            <w:tcW w:type="pct" w:w="4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Nome identificador da planta/instalação</w:t>
            </w:r>
          </w:p>
        </w:tc>
      </w:tr>
      <w:tr>
        <w:tc>
          <w:tcPr>
            <w:tcW w:type="pct" w:w="2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F3E46"/>
                <w:sz w:val="18"/>
                <w:szCs w:val="18"/>
              </w:rPr>
              <w:t xml:space="preserve">nome_do_cliente</w:t>
            </w:r>
          </w:p>
        </w:tc>
        <w:tc>
          <w:tcPr>
            <w:tcW w:type="pct" w:w="2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TEXT</w:t>
            </w:r>
          </w:p>
        </w:tc>
        <w:tc>
          <w:tcPr>
            <w:tcW w:type="pct" w:w="1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NULL</w:t>
            </w:r>
          </w:p>
        </w:tc>
        <w:tc>
          <w:tcPr>
            <w:tcW w:type="pct" w:w="4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Razão social do cliente associado</w:t>
            </w:r>
          </w:p>
        </w:tc>
      </w:tr>
      <w:tr>
        <w:tc>
          <w:tcPr>
            <w:tcW w:type="pct" w:w="2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F3E46"/>
                <w:sz w:val="18"/>
                <w:szCs w:val="18"/>
              </w:rPr>
              <w:t xml:space="preserve">fonte</w:t>
            </w:r>
          </w:p>
        </w:tc>
        <w:tc>
          <w:tcPr>
            <w:tcW w:type="pct" w:w="2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TEXT</w:t>
            </w:r>
          </w:p>
        </w:tc>
        <w:tc>
          <w:tcPr>
            <w:tcW w:type="pct" w:w="1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NULL</w:t>
            </w:r>
          </w:p>
        </w:tc>
        <w:tc>
          <w:tcPr>
            <w:tcW w:type="pct" w:w="4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Origem da fatura ('Excel', 'CSV', 'PowerHUB')</w:t>
            </w:r>
          </w:p>
        </w:tc>
      </w:tr>
      <w:tr>
        <w:tc>
          <w:tcPr>
            <w:tcW w:type="pct" w:w="2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F3E46"/>
                <w:sz w:val="18"/>
                <w:szCs w:val="18"/>
              </w:rPr>
              <w:t xml:space="preserve">instalacao</w:t>
            </w:r>
          </w:p>
        </w:tc>
        <w:tc>
          <w:tcPr>
            <w:tcW w:type="pct" w:w="2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TEXT</w:t>
            </w:r>
          </w:p>
        </w:tc>
        <w:tc>
          <w:tcPr>
            <w:tcW w:type="pct" w:w="1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NULL</w:t>
            </w:r>
          </w:p>
        </w:tc>
        <w:tc>
          <w:tcPr>
            <w:tcW w:type="pct" w:w="4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Número de instalação físico (referência com uc_number)</w:t>
            </w:r>
          </w:p>
        </w:tc>
      </w:tr>
      <w:tr>
        <w:tc>
          <w:tcPr>
            <w:tcW w:type="pct" w:w="2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F3E46"/>
                <w:sz w:val="18"/>
                <w:szCs w:val="18"/>
              </w:rPr>
              <w:t xml:space="preserve">mes_referencia</w:t>
            </w:r>
          </w:p>
        </w:tc>
        <w:tc>
          <w:tcPr>
            <w:tcW w:type="pct" w:w="2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TEXT</w:t>
            </w:r>
          </w:p>
        </w:tc>
        <w:tc>
          <w:tcPr>
            <w:tcW w:type="pct" w:w="1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NULL</w:t>
            </w:r>
          </w:p>
        </w:tc>
        <w:tc>
          <w:tcPr>
            <w:tcW w:type="pct" w:w="4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Mês de faturamento (ex: '03/2026')</w:t>
            </w:r>
          </w:p>
        </w:tc>
      </w:tr>
      <w:tr>
        <w:tc>
          <w:tcPr>
            <w:tcW w:type="pct" w:w="2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F3E46"/>
                <w:sz w:val="18"/>
                <w:szCs w:val="18"/>
              </w:rPr>
              <w:t xml:space="preserve">valor_total_rs</w:t>
            </w:r>
          </w:p>
        </w:tc>
        <w:tc>
          <w:tcPr>
            <w:tcW w:type="pct" w:w="2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NUMERIC</w:t>
            </w:r>
          </w:p>
        </w:tc>
        <w:tc>
          <w:tcPr>
            <w:tcW w:type="pct" w:w="1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NULL</w:t>
            </w:r>
          </w:p>
        </w:tc>
        <w:tc>
          <w:tcPr>
            <w:tcW w:type="pct" w:w="4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Custo financeiro consolidado da fatura (R$)</w:t>
            </w:r>
          </w:p>
        </w:tc>
      </w:tr>
      <w:tr>
        <w:tc>
          <w:tcPr>
            <w:tcW w:type="pct" w:w="2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F3E46"/>
                <w:sz w:val="18"/>
                <w:szCs w:val="18"/>
              </w:rPr>
              <w:t xml:space="preserve">medida_consumo_tusd_fora_ponta</w:t>
            </w:r>
          </w:p>
        </w:tc>
        <w:tc>
          <w:tcPr>
            <w:tcW w:type="pct" w:w="2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NUMERIC</w:t>
            </w:r>
          </w:p>
        </w:tc>
        <w:tc>
          <w:tcPr>
            <w:tcW w:type="pct" w:w="1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NULL</w:t>
            </w:r>
          </w:p>
        </w:tc>
        <w:tc>
          <w:tcPr>
            <w:tcW w:type="pct" w:w="4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Consumo medido em kWh do componente TUSD Fora Ponta</w:t>
            </w:r>
          </w:p>
        </w:tc>
      </w:tr>
      <w:tr>
        <w:tc>
          <w:tcPr>
            <w:tcW w:type="pct" w:w="2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F3E46"/>
                <w:sz w:val="18"/>
                <w:szCs w:val="18"/>
              </w:rPr>
              <w:t xml:space="preserve">medida_consumo_te_fora_ponta</w:t>
            </w:r>
          </w:p>
        </w:tc>
        <w:tc>
          <w:tcPr>
            <w:tcW w:type="pct" w:w="2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NUMERIC</w:t>
            </w:r>
          </w:p>
        </w:tc>
        <w:tc>
          <w:tcPr>
            <w:tcW w:type="pct" w:w="1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NULL</w:t>
            </w:r>
          </w:p>
        </w:tc>
        <w:tc>
          <w:tcPr>
            <w:tcW w:type="pct" w:w="4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Consumo medido em kWh do componente TE Fora Ponta</w:t>
            </w:r>
          </w:p>
        </w:tc>
      </w:tr>
      <w:tr>
        <w:tc>
          <w:tcPr>
            <w:tcW w:type="pct" w:w="2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F3E46"/>
                <w:sz w:val="18"/>
                <w:szCs w:val="18"/>
              </w:rPr>
              <w:t xml:space="preserve">custo_icms_rs / cofins_rs / pis_pasep_rs</w:t>
            </w:r>
          </w:p>
        </w:tc>
        <w:tc>
          <w:tcPr>
            <w:tcW w:type="pct" w:w="2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NUMERIC</w:t>
            </w:r>
          </w:p>
        </w:tc>
        <w:tc>
          <w:tcPr>
            <w:tcW w:type="pct" w:w="1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NULL</w:t>
            </w:r>
          </w:p>
        </w:tc>
        <w:tc>
          <w:tcPr>
            <w:tcW w:type="pct" w:w="4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Detalhamento de tributos e tarifas de impostos da fatura</w:t>
            </w:r>
          </w:p>
        </w:tc>
      </w:tr>
      <w:tr>
        <w:tc>
          <w:tcPr>
            <w:tcW w:type="pct" w:w="2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F3E46"/>
                <w:sz w:val="18"/>
                <w:szCs w:val="18"/>
              </w:rPr>
              <w:t xml:space="preserve">D_E_L_E_T_</w:t>
            </w:r>
          </w:p>
        </w:tc>
        <w:tc>
          <w:tcPr>
            <w:tcW w:type="pct" w:w="2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BOOLEAN</w:t>
            </w:r>
          </w:p>
        </w:tc>
        <w:tc>
          <w:tcPr>
            <w:tcW w:type="pct" w:w="1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DEFAULT FALSE</w:t>
            </w:r>
          </w:p>
        </w:tc>
        <w:tc>
          <w:tcPr>
            <w:tcW w:type="pct" w:w="4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Campo de exclusão lógica (soft delete) para reimportações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65D"/>
          <w:sz w:val="36"/>
          <w:szCs w:val="36"/>
        </w:rPr>
        <w:t xml:space="preserve">4. Estrutura do Backend (Endpoints &amp; Serviços)</w:t>
      </w:r>
    </w:p>
    <w:p>
      <w:pPr>
        <w:spacing w:after="120" w:before="120" w:line="276"/>
      </w:pPr>
      <w:r>
        <w:rPr>
          <w:rFonts w:ascii="Arial" w:cs="Arial" w:eastAsia="Arial" w:hAnsi="Arial"/>
          <w:b w:val="false"/>
          <w:bCs w:val="false"/>
          <w:color w:val="2F3E46"/>
          <w:sz w:val="22"/>
          <w:szCs w:val="22"/>
        </w:rPr>
        <w:t xml:space="preserve">A API REST do Audit Energy é estruturada em rotas públicas (como autenticação) e protegidas por autenticação JWT (JSON Web Tokens). O middleware de autorização valida o token contido no cabeçalho HTTP Authorization de cada chamada protegida.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5C768D"/>
          <w:sz w:val="28"/>
          <w:szCs w:val="28"/>
        </w:rPr>
        <w:t xml:space="preserve">4.1 Tabela de Rotas da API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shd w:fill="1B365D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pct" w:w="30%"/>
            <w:shd w:fill="1B365D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15%"/>
            <w:shd w:fill="1B365D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Proteção</w:t>
            </w:r>
          </w:p>
        </w:tc>
        <w:tc>
          <w:tcPr>
            <w:tcW w:type="pct" w:w="43%"/>
            <w:shd w:fill="1B365D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Ação Realizada</w:t>
            </w:r>
          </w:p>
        </w:tc>
      </w:tr>
      <w:tr>
        <w:tc>
          <w:tcPr>
            <w:tcW w:type="pct" w:w="12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F3E46"/>
                <w:sz w:val="18"/>
                <w:szCs w:val="18"/>
              </w:rPr>
              <w:t xml:space="preserve">POST</w:t>
            </w:r>
          </w:p>
        </w:tc>
        <w:tc>
          <w:tcPr>
            <w:tcW w:type="pct" w:w="3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/api/auth/register</w:t>
            </w:r>
          </w:p>
        </w:tc>
        <w:tc>
          <w:tcPr>
            <w:tcW w:type="pct" w:w="1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Público</w:t>
            </w:r>
          </w:p>
        </w:tc>
        <w:tc>
          <w:tcPr>
            <w:tcW w:type="pct" w:w="43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Cadastra um novo usuário no banco de dados.</w:t>
            </w:r>
          </w:p>
        </w:tc>
      </w:tr>
      <w:tr>
        <w:tc>
          <w:tcPr>
            <w:tcW w:type="pct" w:w="12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F3E46"/>
                <w:sz w:val="18"/>
                <w:szCs w:val="18"/>
              </w:rPr>
              <w:t xml:space="preserve">POST</w:t>
            </w:r>
          </w:p>
        </w:tc>
        <w:tc>
          <w:tcPr>
            <w:tcW w:type="pct" w:w="3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/api/auth/login</w:t>
            </w:r>
          </w:p>
        </w:tc>
        <w:tc>
          <w:tcPr>
            <w:tcW w:type="pct" w:w="1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Público</w:t>
            </w:r>
          </w:p>
        </w:tc>
        <w:tc>
          <w:tcPr>
            <w:tcW w:type="pct" w:w="43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Autentica credenciais e gera o Token JWT para a sessão.</w:t>
            </w:r>
          </w:p>
        </w:tc>
      </w:tr>
      <w:tr>
        <w:tc>
          <w:tcPr>
            <w:tcW w:type="pct" w:w="12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F3E46"/>
                <w:sz w:val="18"/>
                <w:szCs w:val="18"/>
              </w:rPr>
              <w:t xml:space="preserve">GET</w:t>
            </w:r>
          </w:p>
        </w:tc>
        <w:tc>
          <w:tcPr>
            <w:tcW w:type="pct" w:w="3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/api/clients</w:t>
            </w:r>
          </w:p>
        </w:tc>
        <w:tc>
          <w:tcPr>
            <w:tcW w:type="pct" w:w="1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JWT Required</w:t>
            </w:r>
          </w:p>
        </w:tc>
        <w:tc>
          <w:tcPr>
            <w:tcW w:type="pct" w:w="43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Recupera a lista completa de clientes cadastrados.</w:t>
            </w:r>
          </w:p>
        </w:tc>
      </w:tr>
      <w:tr>
        <w:tc>
          <w:tcPr>
            <w:tcW w:type="pct" w:w="12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F3E46"/>
                <w:sz w:val="18"/>
                <w:szCs w:val="18"/>
              </w:rPr>
              <w:t xml:space="preserve">POST</w:t>
            </w:r>
          </w:p>
        </w:tc>
        <w:tc>
          <w:tcPr>
            <w:tcW w:type="pct" w:w="3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/api/clients</w:t>
            </w:r>
          </w:p>
        </w:tc>
        <w:tc>
          <w:tcPr>
            <w:tcW w:type="pct" w:w="1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JWT Required</w:t>
            </w:r>
          </w:p>
        </w:tc>
        <w:tc>
          <w:tcPr>
            <w:tcW w:type="pct" w:w="43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Cria ou atualiza um cliente em lote.</w:t>
            </w:r>
          </w:p>
        </w:tc>
      </w:tr>
      <w:tr>
        <w:tc>
          <w:tcPr>
            <w:tcW w:type="pct" w:w="12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F3E46"/>
                <w:sz w:val="18"/>
                <w:szCs w:val="18"/>
              </w:rPr>
              <w:t xml:space="preserve">POST</w:t>
            </w:r>
          </w:p>
        </w:tc>
        <w:tc>
          <w:tcPr>
            <w:tcW w:type="pct" w:w="3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/api/equipment</w:t>
            </w:r>
          </w:p>
        </w:tc>
        <w:tc>
          <w:tcPr>
            <w:tcW w:type="pct" w:w="1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JWT Required</w:t>
            </w:r>
          </w:p>
        </w:tc>
        <w:tc>
          <w:tcPr>
            <w:tcW w:type="pct" w:w="43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Cadastra ou atualiza equipamento no inventário de um cliente.</w:t>
            </w:r>
          </w:p>
        </w:tc>
      </w:tr>
      <w:tr>
        <w:tc>
          <w:tcPr>
            <w:tcW w:type="pct" w:w="12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F3E46"/>
                <w:sz w:val="18"/>
                <w:szCs w:val="18"/>
              </w:rPr>
              <w:t xml:space="preserve">POST</w:t>
            </w:r>
          </w:p>
        </w:tc>
        <w:tc>
          <w:tcPr>
            <w:tcW w:type="pct" w:w="3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/api/faturas/upload</w:t>
            </w:r>
          </w:p>
        </w:tc>
        <w:tc>
          <w:tcPr>
            <w:tcW w:type="pct" w:w="1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JWT Required</w:t>
            </w:r>
          </w:p>
        </w:tc>
        <w:tc>
          <w:tcPr>
            <w:tcW w:type="pct" w:w="43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Faz upload físico e parseia planilhas de faturas (XLSX, CSV).</w:t>
            </w:r>
          </w:p>
        </w:tc>
      </w:tr>
      <w:tr>
        <w:tc>
          <w:tcPr>
            <w:tcW w:type="pct" w:w="12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F3E46"/>
                <w:sz w:val="18"/>
                <w:szCs w:val="18"/>
              </w:rPr>
              <w:t xml:space="preserve">POST</w:t>
            </w:r>
          </w:p>
        </w:tc>
        <w:tc>
          <w:tcPr>
            <w:tcW w:type="pct" w:w="3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/api/faturas/sync</w:t>
            </w:r>
          </w:p>
        </w:tc>
        <w:tc>
          <w:tcPr>
            <w:tcW w:type="pct" w:w="1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JWT Required</w:t>
            </w:r>
          </w:p>
        </w:tc>
        <w:tc>
          <w:tcPr>
            <w:tcW w:type="pct" w:w="43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Sincroniza faturas diretamente a partir da API PowerHub.</w:t>
            </w:r>
          </w:p>
        </w:tc>
      </w:tr>
      <w:tr>
        <w:tc>
          <w:tcPr>
            <w:tcW w:type="pct" w:w="12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F3E46"/>
                <w:sz w:val="18"/>
                <w:szCs w:val="18"/>
              </w:rPr>
              <w:t xml:space="preserve">POST</w:t>
            </w:r>
          </w:p>
        </w:tc>
        <w:tc>
          <w:tcPr>
            <w:tcW w:type="pct" w:w="3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/api/ai/optimize</w:t>
            </w:r>
          </w:p>
        </w:tc>
        <w:tc>
          <w:tcPr>
            <w:tcW w:type="pct" w:w="1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JWT Required</w:t>
            </w:r>
          </w:p>
        </w:tc>
        <w:tc>
          <w:tcPr>
            <w:tcW w:type="pct" w:w="43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Envia dados de consumo para Groq LLM e retorna conselhos de eficiência.</w:t>
            </w:r>
          </w:p>
        </w:tc>
      </w:tr>
      <w:tr>
        <w:tc>
          <w:tcPr>
            <w:tcW w:type="pct" w:w="12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F3E46"/>
                <w:sz w:val="18"/>
                <w:szCs w:val="18"/>
              </w:rPr>
              <w:t xml:space="preserve">POST</w:t>
            </w:r>
          </w:p>
        </w:tc>
        <w:tc>
          <w:tcPr>
            <w:tcW w:type="pct" w:w="30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/api/email/send-pdf</w:t>
            </w:r>
          </w:p>
        </w:tc>
        <w:tc>
          <w:tcPr>
            <w:tcW w:type="pct" w:w="15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Público</w:t>
            </w:r>
          </w:p>
        </w:tc>
        <w:tc>
          <w:tcPr>
            <w:tcW w:type="pct" w:w="43%"/>
            <w:shd w:fill="FFFFFF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F3E46"/>
                <w:sz w:val="18"/>
                <w:szCs w:val="18"/>
              </w:rPr>
              <w:t xml:space="preserve">Recebe o arquivo PDF em binário (Multipart) e envia via Nodemailer.</w:t>
            </w:r>
          </w:p>
        </w:tc>
      </w:tr>
    </w:tbl>
    <w:p>
      <w:pPr>
        <w:spacing w:after="100" w:before="1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5C768D"/>
          <w:sz w:val="28"/>
          <w:szCs w:val="28"/>
        </w:rPr>
        <w:t xml:space="preserve">4.2 Detalhes dos Serviços de Negócio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FaturaService</w:t>
      </w:r>
    </w:p>
    <w:p>
      <w:pPr>
        <w:spacing w:after="120" w:before="120" w:line="276"/>
      </w:pPr>
      <w:r>
        <w:rPr>
          <w:rFonts w:ascii="Arial" w:cs="Arial" w:eastAsia="Arial" w:hAnsi="Arial"/>
          <w:b w:val="false"/>
          <w:bCs w:val="false"/>
          <w:color w:val="2F3E46"/>
          <w:sz w:val="22"/>
          <w:szCs w:val="22"/>
        </w:rPr>
        <w:t xml:space="preserve">Centraliza a leitura lógica de arquivos binários utilizando bibliotecas XLSX para planilhas e PapaParse para arquivos de texto CSV. Ele mapeia os cabeçalhos literais ('Valor Total R$', 'Impostos R$', 'Instalação') para os campos equivalentes do PostgreSQL, limpando caracteres especiais, convertendo datas em padrões adequados e aplicando normalizações antes da persistência.</w:t>
      </w:r>
    </w:p>
    <w:p>
      <w:pPr>
        <w:spacing w:after="120" w:before="120" w:line="276"/>
      </w:pPr>
      <w:r>
        <w:rPr>
          <w:rFonts w:ascii="Arial" w:cs="Arial" w:eastAsia="Arial" w:hAnsi="Arial"/>
          <w:b w:val="false"/>
          <w:bCs w:val="false"/>
          <w:color w:val="2F3E46"/>
          <w:sz w:val="22"/>
          <w:szCs w:val="22"/>
        </w:rPr>
        <w:t xml:space="preserve">Também gerencia o comportamento de conflitos de faturas repetidas através do método saveOrUpdateFatura: se a fatura importada possuir exatamente os mesmos dados da existente, ela é ignorada; se possuir dados divergentes no mesmo período de instalação, a fatura antiga é marcada logicamente como deletada (soft delete) e a nova versão é inserida.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PowerHubService</w:t>
      </w:r>
    </w:p>
    <w:p>
      <w:pPr>
        <w:spacing w:after="120" w:before="120" w:line="276"/>
      </w:pPr>
      <w:r>
        <w:rPr>
          <w:rFonts w:ascii="Arial" w:cs="Arial" w:eastAsia="Arial" w:hAnsi="Arial"/>
          <w:b w:val="false"/>
          <w:bCs w:val="false"/>
          <w:color w:val="2F3E46"/>
          <w:sz w:val="22"/>
          <w:szCs w:val="22"/>
        </w:rPr>
        <w:t xml:space="preserve">Desenvolvido especificamente para integrar a API RESTful PowerHub da Way2. A integração realiza uma iteração paginada através de parâmetros HTTP $top e $skip. Para cada item da lista principal de faturas retornadas, o serviço realiza uma segunda requisição ao endpoint de detalhes (/items/{id}) para recuperar os campos analíticos das sub-leituras, tais como consumos TUSD/TE medidos, tarifas de impostos (ICMS, COFINS, PIS) e serviços adicionais como iluminação pública e multas de atraso.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AIService</w:t>
      </w:r>
    </w:p>
    <w:p>
      <w:pPr>
        <w:spacing w:after="120" w:before="120" w:line="276"/>
      </w:pPr>
      <w:r>
        <w:rPr>
          <w:rFonts w:ascii="Arial" w:cs="Arial" w:eastAsia="Arial" w:hAnsi="Arial"/>
          <w:b w:val="false"/>
          <w:bCs w:val="false"/>
          <w:color w:val="2F3E46"/>
          <w:sz w:val="22"/>
          <w:szCs w:val="22"/>
        </w:rPr>
        <w:t xml:space="preserve">Responsável por criar a comunicação com o motor de linguagem LLaMA-3.3-70b-versatile via provedor Groq. O serviço monta uma carga útil (payload) altamente técnica estruturada em tópicos de controle: Análise de Conformidade (baseada em distorção numérica), Variação Mês a Mês, Diagnóstico Tributário e Oportunidades Práticas de Otimização. O prompt injeta os dados reais da fatura, o consumo histórico do período anterior (para cálculo de variação percentual) e o inventário de carga associado para direcionar a IA em conselhos precisos sobre o comportamento energético da UC.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EmailService</w:t>
      </w:r>
    </w:p>
    <w:p>
      <w:pPr>
        <w:spacing w:after="120" w:before="120" w:line="276"/>
      </w:pPr>
      <w:r>
        <w:rPr>
          <w:rFonts w:ascii="Arial" w:cs="Arial" w:eastAsia="Arial" w:hAnsi="Arial"/>
          <w:b w:val="false"/>
          <w:bCs w:val="false"/>
          <w:color w:val="2F3E46"/>
          <w:sz w:val="22"/>
          <w:szCs w:val="22"/>
        </w:rPr>
        <w:t xml:space="preserve">Utiliza a biblioteca Nodemailer com as credenciais SMTP definidas no arquivo de ambiente (.env) para disparar relatórios técnicos formatados em PDF anexados diretamente na mensagem do usuário. A chamada recebe o buffer do PDF gerado pelo cliente, encapsula-o como anexo MIME com o cabeçalho apropriado e executa a entrega ao destinatário configurado.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65D"/>
          <w:sz w:val="36"/>
          <w:szCs w:val="36"/>
        </w:rPr>
        <w:t xml:space="preserve">5. Estrutura do Frontend (Páginas, Componentes &amp; Roteamento)</w:t>
      </w:r>
    </w:p>
    <w:p>
      <w:pPr>
        <w:spacing w:after="120" w:before="120" w:line="276"/>
      </w:pPr>
      <w:r>
        <w:rPr>
          <w:rFonts w:ascii="Arial" w:cs="Arial" w:eastAsia="Arial" w:hAnsi="Arial"/>
          <w:b w:val="false"/>
          <w:bCs w:val="false"/>
          <w:color w:val="2F3E46"/>
          <w:sz w:val="22"/>
          <w:szCs w:val="22"/>
        </w:rPr>
        <w:t xml:space="preserve">O frontend é projetado usando React 19 em conjunto com Vite. O roteamento dinâmico utiliza o TanStack Router, cujas definições de arquivos geram tipagem em tempo de compilação em src/routeTree.gen.ts, diminuindo erros de caminhos de links quebrados.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5C768D"/>
          <w:sz w:val="28"/>
          <w:szCs w:val="28"/>
        </w:rPr>
        <w:t xml:space="preserve">5.1 Páginas do Sistema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HomePage: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Ponto de entrada após login. Apresenta indicadores consolidados de faturamento, consumo global em kWh, carga tributária média e gráficos de gastos por distribuidora e histórico de consumo.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LoginPage: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Tela de controle de acesso segura. Implementa a autenticação com JWT e redireciona usuários não autenticados das rotas privadas.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ClientsPage: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Exibe e gerencia a listagem das Unidades Consumidoras. Fornece diálogos de cadastro, edição e importação em lote de clientes.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EquipmentPage: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Mapeamento do inventário físico associado a cada UC. Permite cadastrar potência, tempo de uso e quantidades para simular o consumo teórico.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ImportPage: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Fornece os controles para carregar planilhas locais e invocar a sincronização remota via API PowerHub.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DataPage (Faturas da Sessão):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Tabela das faturas em memória na sessão de importação atual (dados recém-enviados). Oferece customização de colunas visíveis, paginação e estatísticas imediatas das faturas importadas antes de salvá-las no banco.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FaturasPage (Histórico de Faturas):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Histórico de faturas persistidas no banco de dados. Permite pesquisa por UC, filtros por colunas, ordenação dinâmica por campos técnicos de consumo e disparo da sincronização seletiva com o PowerHub.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PDFPage (Painel de Relatórios):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Módulo de geração e visualização de relatórios. Coleta dados de faturas, solicita insights de IA do backend e renderiza o PDFDocument, permitindo downloads em lote ou disparo de e-mails.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UsersPage: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Painel administrativo exclusivo para usuários administradores. Permite criar usuários, desativar cadastros e gerar senhas temporárias (incluindo funcionalidade de reset de senha).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5C768D"/>
          <w:sz w:val="28"/>
          <w:szCs w:val="28"/>
        </w:rPr>
        <w:t xml:space="preserve">5.2 Componentes Modulares por Domínio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Componentes de Layout &amp; Navegação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Sidebar: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Componente de barra lateral retrátil com atalhos de navegação e menu de ações do usuário.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Header: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Cabeçalho superior contendo título da página atual, indicadores rápidos e atalho de perfil.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NavUser: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Item de perfil do usuário logado na barra de navegação que expõe o botão de logout e alteração de senha.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ChangePasswordDialog: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Diálogo flutuante para troca de senha de acesso do usuário, exigindo senha atual e validações.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Componentes de Clientes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ClientDialog: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Formulário modal para criação e edição de Unidades Consumidoras.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ClientSelector: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Menu de seleção rápida de clientes, permitindo filtrar faturas por UC específica.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ClientsEmptyState: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Estado vazio exibido quando não há clientes cadastrados no banco.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ClientsTable: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Tabela estruturada para exibição dos dados das UCs com paginação e ordenação.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Componentes de Equipamentos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EquipmentDialog: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Formulário modal para cadastro de dispositivos com cálculos automáticos de Wh/dia e potência.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EquipmentEmptyState: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Estado vazio exibido quando a UC selecionada não possui equipamentos mapeados.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EquipmentTable: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Tabela com ações de edição/remoção dos equipamentos do inventário.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Componentes de Faturas &amp; Upload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FaturaSyncDialog: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Diálogo de parametrização da sincronização PowerHub (seleção de UC e competência).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FaturaHistoryTable: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Tabela dedicada a exibir faturas persistidas no histórico do banco, com filtros dinâmicos por coluna.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FileUpload: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Zona de drag-and-drop avançada para upload e processamento de planilhas locais.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Componentes de Dados (Sessão de Importação)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DataStats: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Painel de estatísticas agregadas das faturas da sessão (total faturado, consumo kWh, impostos).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DataTable: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Tabela de dados de pré-visualização das planilhas importadas na sessão corrente.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ColumnCustomizer: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Permite ocultar ou exibir dinamicamente colunas de faturas na tabela para facilitar a análise.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DataPagination: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Paginação reativa para tabelas de grande volume.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Estrutura do Relatório PDF (pdf/document)</w:t>
      </w:r>
    </w:p>
    <w:p>
      <w:pPr>
        <w:spacing w:after="120" w:before="120" w:line="276"/>
      </w:pPr>
      <w:r>
        <w:rPr>
          <w:rFonts w:ascii="Arial" w:cs="Arial" w:eastAsia="Arial" w:hAnsi="Arial"/>
          <w:b w:val="false"/>
          <w:bCs w:val="false"/>
          <w:color w:val="2F3E46"/>
          <w:sz w:val="22"/>
          <w:szCs w:val="22"/>
        </w:rPr>
        <w:t xml:space="preserve">O Audit Energy gera relatórios ricos em formato PDF no cliente. Para manter o código modular, o componente principal PDFDocument é composto por 12 sub-módulos especializados: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PDFHeader: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Renderiza o cabeçalho oficial com dados da UC, distribuidora, número NF e período de faturamento.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PDFFooter: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Renderiza o rodapé com numeração de páginas e termos de confidencialidade.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KPIBox: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Caixa de indicadores financeiros principais (Valor total, tributos, custos fixos).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ExecutiveSummary: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Rápido sumário textual sobre o resultado geral da auditoria daquele mês.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DataTable: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Exibe os dados numéricos brutos da fatura em tabelas organizadas do PDF.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BenchmarkTable: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Compara o consumo faturado contra o consumo simulado em campo (inventário).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EfficiencyScore: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Plota a barra de progresso ou medidor de eficiência do cliente baseado na distorção identificada.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ChartBlock: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Renderiza gráficos históricos de consumo e custos nos eixos mensais.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InsightCard: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Apresenta cards visuais para destacar pontos específicos observados na auditoria.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TimelineBlock: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Renderiza a linha do tempo ou histórico de consumo das faturas anteriores.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AIInsights: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Bloco formatado em Markdown que renderiza as sugestões de economia geradas pelo LLaMA.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SectionTitle: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Helper de estilização de títulos de seções internas do PDF.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5C768D"/>
          <w:sz w:val="28"/>
          <w:szCs w:val="28"/>
        </w:rPr>
        <w:t xml:space="preserve">5.3 Provedores de Contexto (Contexts)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AuthContext: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Gerencia o token JWT e sessões, mantendo o estado de login e autenticação privada.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DataContext: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Centraliza requisições HTTP e sincronizações (faturas, clientes, equipamentos e usuários) através de cache reativo (React Query / Custom Hooks). Mantém o estado temporário de uploads de faturas via useReducer.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PDFContext: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Controla as seleções temporárias de linhas da tabela para ações em lote no painel de relatórios.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AlertContext: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Implementa caixas de diálogo flutuantes, modais de confirmação de exclusões e toasts customizados.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AppContext: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Gerencia configurações globais da aplicação frontend (ex: tema escuro/claro).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65D"/>
          <w:sz w:val="36"/>
          <w:szCs w:val="36"/>
        </w:rPr>
        <w:t xml:space="preserve">6. Integrações do Sistema</w:t>
      </w:r>
    </w:p>
    <w:p>
      <w:pPr>
        <w:spacing w:after="120" w:before="120" w:line="276"/>
      </w:pPr>
      <w:r>
        <w:rPr>
          <w:rFonts w:ascii="Arial" w:cs="Arial" w:eastAsia="Arial" w:hAnsi="Arial"/>
          <w:b w:val="false"/>
          <w:bCs w:val="false"/>
          <w:color w:val="2F3E46"/>
          <w:sz w:val="22"/>
          <w:szCs w:val="22"/>
        </w:rPr>
        <w:t xml:space="preserve">A aplicação integra-se de forma ativa com sistemas externos para enriquecer seu ecossistema técnico. Essas integrações são executadas exclusivamente pela camada de serviço do servidor backend para garantir a segurança das chaves secretas de acesso.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5C768D"/>
          <w:sz w:val="28"/>
          <w:szCs w:val="28"/>
        </w:rPr>
        <w:t xml:space="preserve">6.1 API Way2 PowerHub</w:t>
      </w:r>
    </w:p>
    <w:p>
      <w:pPr>
        <w:spacing w:after="120" w:before="120" w:line="276"/>
      </w:pPr>
      <w:r>
        <w:rPr>
          <w:rFonts w:ascii="Arial" w:cs="Arial" w:eastAsia="Arial" w:hAnsi="Arial"/>
          <w:b w:val="false"/>
          <w:bCs w:val="false"/>
          <w:color w:val="2F3E46"/>
          <w:sz w:val="22"/>
          <w:szCs w:val="22"/>
        </w:rPr>
        <w:t xml:space="preserve">A Way2 provê um repositório centralizado de medição de faturas elétricas. O Audit Energy conecta-se ao endpoint REST da API PowerHub fornecendo chaves criptográficas x-way2-key personalizadas registradas no ambiente do servidor.</w:t>
      </w:r>
    </w:p>
    <w:p>
      <w:pPr>
        <w:spacing w:after="120" w:before="120" w:line="276"/>
      </w:pPr>
      <w:r>
        <w:rPr>
          <w:rFonts w:ascii="Arial" w:cs="Arial" w:eastAsia="Arial" w:hAnsi="Arial"/>
          <w:b w:val="false"/>
          <w:bCs w:val="false"/>
          <w:color w:val="2F3E46"/>
          <w:sz w:val="22"/>
          <w:szCs w:val="22"/>
        </w:rPr>
        <w:t xml:space="preserve">Devido ao grande volume de informações, a importação é dividida em blocos paginados de 100 faturas por iteração. Como a API externa possui uma estrutura genérica de faturamento, a camada PowerHubService realiza mapeamentos dinâmicos, convertendo itens genéricos da fatura para os campos específicos de consumo TUSD, consumo TE, tarifas e impostos exigidos pelo sistema de auditoria.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5C768D"/>
          <w:sz w:val="28"/>
          <w:szCs w:val="28"/>
        </w:rPr>
        <w:t xml:space="preserve">6.2 API Groq (LLaMA 3.3 70B)</w:t>
      </w:r>
    </w:p>
    <w:p>
      <w:pPr>
        <w:spacing w:after="120" w:before="120" w:line="276"/>
      </w:pPr>
      <w:r>
        <w:rPr>
          <w:rFonts w:ascii="Arial" w:cs="Arial" w:eastAsia="Arial" w:hAnsi="Arial"/>
          <w:b w:val="false"/>
          <w:bCs w:val="false"/>
          <w:color w:val="2F3E46"/>
          <w:sz w:val="22"/>
          <w:szCs w:val="22"/>
        </w:rPr>
        <w:t xml:space="preserve">O Audit Energy utiliza o modelo avançado 'llama-3.3-70b-versatile' da Groq devido a sua baixíssima latência e alta precisão em língua portuguesa. O fluxo de análise inicia ao coletar o perfil elétrico registrado na fatura (consumo total, tributos cobrados, etc.) e o confronta com os dados acumulados do inventário de campo cadastrado pelo técnico.</w:t>
      </w:r>
    </w:p>
    <w:p>
      <w:pPr>
        <w:spacing w:after="120" w:before="120" w:line="276"/>
      </w:pPr>
      <w:r>
        <w:rPr>
          <w:rFonts w:ascii="Arial" w:cs="Arial" w:eastAsia="Arial" w:hAnsi="Arial"/>
          <w:b w:val="false"/>
          <w:bCs w:val="false"/>
          <w:color w:val="2F3E46"/>
          <w:sz w:val="22"/>
          <w:szCs w:val="22"/>
        </w:rPr>
        <w:t xml:space="preserve">A IA atua determinando se o desvio técnico de consumo está dentro de limites aceitáveis (inferior a 10%) e lista de maneira detalhada e embasada as prováveis causas físicas para distorções maiores. O resultado final gerado em formato Markdown é inserido no relatório PDF formatado com gráficos e sumários técnicos de eficiência.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65D"/>
          <w:sz w:val="36"/>
          <w:szCs w:val="36"/>
        </w:rPr>
        <w:t xml:space="preserve">7. Guia de Instalação e Execução</w:t>
      </w:r>
    </w:p>
    <w:p>
      <w:pPr>
        <w:spacing w:after="120" w:before="120" w:line="276"/>
      </w:pPr>
      <w:r>
        <w:rPr>
          <w:rFonts w:ascii="Arial" w:cs="Arial" w:eastAsia="Arial" w:hAnsi="Arial"/>
          <w:b w:val="false"/>
          <w:bCs w:val="false"/>
          <w:color w:val="2F3E46"/>
          <w:sz w:val="22"/>
          <w:szCs w:val="22"/>
        </w:rPr>
        <w:t xml:space="preserve">Esta seção descreve os procedimentos para instalar as dependências e iniciar a execução da plataforma de auditoria em ambientes locais de desenvolvimento.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5C768D"/>
          <w:sz w:val="28"/>
          <w:szCs w:val="28"/>
        </w:rPr>
        <w:t xml:space="preserve">7.1 Configurações de Variáveis de Ambiente</w:t>
      </w:r>
    </w:p>
    <w:p>
      <w:pPr>
        <w:spacing w:after="120" w:before="120" w:line="276"/>
      </w:pPr>
      <w:r>
        <w:rPr>
          <w:rFonts w:ascii="Arial" w:cs="Arial" w:eastAsia="Arial" w:hAnsi="Arial"/>
          <w:b w:val="false"/>
          <w:bCs w:val="false"/>
          <w:color w:val="2F3E46"/>
          <w:sz w:val="22"/>
          <w:szCs w:val="22"/>
        </w:rPr>
        <w:t xml:space="preserve">Crie um arquivo .env no diretório server/ com as seguintes chaves de configuração: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PORT: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Porta utilizada para subir a API Express (Default: 3001).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DATABASE_URL: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URL do PostgreSQL de desenvolvimento.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JWT_SECRET: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Chave secreta de hashing utilizada para assinar os tokens JWT.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POWERHUB_API_KEY: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Token secreto fornecido pela Way2 para consultar faturas do PowerHub.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POWERHUB_API_URL: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URL base da API REST da Way2.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GROQ_API_KEY: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Chave de autenticação gerada no painel de desenvolvedor da Groq.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SMTP_HOST / SMTP_USER / etc: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Configuração de SMTP do serviço de e-mails (Host, Port, User, Pass).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5C768D"/>
          <w:sz w:val="28"/>
          <w:szCs w:val="28"/>
        </w:rPr>
        <w:t xml:space="preserve">7.2 Comandos de Inicialização (Backend)</w:t>
      </w:r>
    </w:p>
    <w:p>
      <w:pPr>
        <w:spacing w:after="120" w:before="120" w:line="276"/>
      </w:pPr>
      <w:r>
        <w:rPr>
          <w:rFonts w:ascii="Arial" w:cs="Arial" w:eastAsia="Arial" w:hAnsi="Arial"/>
          <w:b w:val="false"/>
          <w:bCs w:val="false"/>
          <w:color w:val="2F3E46"/>
          <w:sz w:val="22"/>
          <w:szCs w:val="22"/>
        </w:rPr>
        <w:t xml:space="preserve">Abra o terminal no diretório server/ e execute: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Instalar dependências: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npm install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Iniciar em desenvolvimento: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npm run dev</w:t>
      </w:r>
    </w:p>
    <w:p>
      <w:pPr>
        <w:spacing w:after="120" w:before="120" w:line="276"/>
      </w:pPr>
      <w:r>
        <w:rPr>
          <w:rFonts w:ascii="Arial" w:cs="Arial" w:eastAsia="Arial" w:hAnsi="Arial"/>
          <w:b w:val="false"/>
          <w:bCs w:val="false"/>
          <w:color w:val="2F3E46"/>
          <w:sz w:val="22"/>
          <w:szCs w:val="22"/>
        </w:rPr>
        <w:t xml:space="preserve">O servidor Express iniciará na porta configurada e tentará se conectar com o banco de dados PostgreSQL. As tabelas necessárias serão criadas automaticamente se não existirem na base de dados conectada.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5C768D"/>
          <w:sz w:val="28"/>
          <w:szCs w:val="28"/>
        </w:rPr>
        <w:t xml:space="preserve">7.3 Comandos de Inicialização (Frontend)</w:t>
      </w:r>
    </w:p>
    <w:p>
      <w:pPr>
        <w:spacing w:after="120" w:before="120" w:line="276"/>
      </w:pPr>
      <w:r>
        <w:rPr>
          <w:rFonts w:ascii="Arial" w:cs="Arial" w:eastAsia="Arial" w:hAnsi="Arial"/>
          <w:b w:val="false"/>
          <w:bCs w:val="false"/>
          <w:color w:val="2F3E46"/>
          <w:sz w:val="22"/>
          <w:szCs w:val="22"/>
        </w:rPr>
        <w:t xml:space="preserve">Abra o terminal no diretório raiz do projeto e execute: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Instalar dependências: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npm install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Arial" w:cs="Arial" w:eastAsia="Arial" w:hAnsi="Arial"/>
          <w:b/>
          <w:bCs/>
          <w:color w:val="2F3E46"/>
          <w:sz w:val="22"/>
          <w:szCs w:val="22"/>
        </w:rPr>
        <w:t xml:space="preserve">Iniciar servidor Vite:</w:t>
      </w:r>
      <w:r>
        <w:rPr>
          <w:rFonts w:ascii="Arial" w:cs="Arial" w:eastAsia="Arial" w:hAnsi="Arial"/>
          <w:color w:val="2F3E46"/>
          <w:sz w:val="22"/>
          <w:szCs w:val="22"/>
        </w:rPr>
        <w:t xml:space="preserve"> npm run dev</w:t>
      </w:r>
    </w:p>
    <w:p>
      <w:pPr>
        <w:spacing w:after="120" w:before="120" w:line="276"/>
      </w:pPr>
      <w:r>
        <w:rPr>
          <w:rFonts w:ascii="Arial" w:cs="Arial" w:eastAsia="Arial" w:hAnsi="Arial"/>
          <w:b w:val="false"/>
          <w:bCs w:val="false"/>
          <w:color w:val="2F3E46"/>
          <w:sz w:val="22"/>
          <w:szCs w:val="22"/>
        </w:rPr>
        <w:t xml:space="preserve">O Vite subirá o servidor de desenvolvimento no endereço local (ex: http://localhost:5173).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2026-05-20T17:09:38.770Z</dcterms:created>
  <dcterms:modified xsi:type="dcterms:W3CDTF">2026-05-20T17:09:38.770Z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