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6" w:lineRule="auto"/>
      </w:pPr>
      <w:r>
        <w:rPr>
          <w:rFonts w:ascii="Calibri" w:hAnsi="Calibri" w:eastAsia="Calibri" w:cs="Calibri"/>
          <w:b/>
          <w:color w:val="0D0D0D"/>
          <w:sz w:val="50"/>
          <w:spacing w:val="-4"/>
        </w:rPr>
        <w:t>JENIFFER MIERES CONTRERAS</w:t>
      </w:r>
    </w:p>
    <w:p>
      <w:pPr>
        <w:spacing w:before="0" w:after="140" w:line="266" w:lineRule="auto"/>
      </w:pPr>
      <w:r>
        <w:rPr>
          <w:rFonts w:ascii="Calibri" w:hAnsi="Calibri" w:eastAsia="Calibri" w:cs="Calibri"/>
          <w:b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511" w:val="right"/>
        </w:tabs>
        <w:spacing w:before="0" w:after="0" w:line="266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PERFIL</w:t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Creé desde cero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sz w:val="18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ÁREAS DE EXPERTISE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Diversidad e inclusión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Realizo la </w:t>
      </w:r>
      <w:r>
        <w:rPr>
          <w:rFonts w:ascii="Calibri" w:hAnsi="Calibri" w:eastAsia="Calibri" w:cs="Calibri"/>
          <w:b/>
          <w:color w:val="0D0D0D"/>
          <w:sz w:val="19"/>
        </w:rPr>
        <w:t>evaluación socioeconómica</w:t>
      </w:r>
      <w:r>
        <w:rPr>
          <w:rFonts w:ascii="Calibri" w:hAnsi="Calibri" w:eastAsia="Calibri" w:cs="Calibri"/>
          <w:b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Gestiono </w:t>
      </w:r>
      <w:r>
        <w:rPr>
          <w:rFonts w:ascii="Calibri" w:hAnsi="Calibri" w:eastAsia="Calibri" w:cs="Calibri"/>
          <w:b/>
          <w:color w:val="0D0D0D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0D0D0D"/>
          <w:sz w:val="19"/>
        </w:rPr>
        <w:t>orientación social personalizada</w:t>
      </w:r>
      <w:r>
        <w:rPr>
          <w:rFonts w:ascii="Calibri" w:hAnsi="Calibri" w:eastAsia="Calibri" w:cs="Calibri"/>
          <w:b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Coordino casos complejos</w:t>
      </w:r>
      <w:r>
        <w:rPr>
          <w:rFonts w:ascii="Calibri" w:hAnsi="Calibri" w:eastAsia="Calibri" w:cs="Calibri"/>
          <w:b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color w:val="0D0D0D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Organicé </w:t>
      </w:r>
      <w:r>
        <w:rPr>
          <w:rFonts w:ascii="Calibri" w:hAnsi="Calibri" w:eastAsia="Calibri" w:cs="Calibri"/>
          <w:b/>
          <w:color w:val="0D0D0D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color w:val="0D0D0D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Lideré el </w:t>
      </w:r>
      <w:r>
        <w:rPr>
          <w:rFonts w:ascii="Calibri" w:hAnsi="Calibri" w:eastAsia="Calibri" w:cs="Calibri"/>
          <w:b/>
          <w:color w:val="0D0D0D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sz w:val="19"/>
        </w:rPr>
        <w:t xml:space="preserve"> de la compañía.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color w:val="0D0D0D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color w:val="0D0D0D"/>
          <w:sz w:val="19"/>
        </w:rPr>
        <w:t>capacitaciones</w:t>
      </w:r>
      <w:r>
        <w:rPr>
          <w:rFonts w:ascii="Calibri" w:hAnsi="Calibri" w:eastAsia="Calibri" w:cs="Calibri"/>
          <w:b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0D0D0D"/>
          <w:sz w:val="19"/>
        </w:rPr>
        <w:t>vivienda</w:t>
      </w:r>
      <w:r>
        <w:rPr>
          <w:rFonts w:ascii="Calibri" w:hAnsi="Calibri" w:eastAsia="Calibri" w:cs="Calibri"/>
          <w:b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Creé el departamento desde cero</w:t>
      </w:r>
      <w:r>
        <w:rPr>
          <w:rFonts w:ascii="Calibri" w:hAnsi="Calibri" w:eastAsia="Calibri" w:cs="Calibri"/>
          <w:b w:val="0"/>
          <w:sz w:val="19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color w:val="0D0D0D"/>
          <w:sz w:val="19"/>
        </w:rPr>
        <w:t>Seguro Complementario de Salud</w:t>
      </w:r>
      <w:r>
        <w:rPr>
          <w:rFonts w:ascii="Calibri" w:hAnsi="Calibri" w:eastAsia="Calibri" w:cs="Calibri"/>
          <w:b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Gestioné </w:t>
      </w:r>
      <w:r>
        <w:rPr>
          <w:rFonts w:ascii="Calibri" w:hAnsi="Calibri" w:eastAsia="Calibri" w:cs="Calibri"/>
          <w:b/>
          <w:color w:val="0D0D0D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sz w:val="19"/>
        </w:rPr>
        <w:t xml:space="preserve">Realicé </w:t>
      </w:r>
      <w:r>
        <w:rPr>
          <w:rFonts w:ascii="Calibri" w:hAnsi="Calibri" w:eastAsia="Calibri" w:cs="Calibri"/>
          <w:b/>
          <w:color w:val="0D0D0D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sz w:val="19"/>
        </w:rPr>
        <w:t>, atendiendo en terreno las necesidades de beneficios internos y externos, principalmente en vivienda y salud.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767B80"/>
          <w:sz w:val="17"/>
          <w:spacing w:val="16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767B80"/>
          <w:sz w:val="18"/>
        </w:rPr>
        <w:t>Instituto Profesional AIEP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CURSOS Y CERTIFICACIONES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sz w:val="19"/>
        </w:rPr>
        <w:t xml:space="preserve"> — agentes comunitarios en prevención del suicidio (2026).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sz w:val="19"/>
        </w:rPr>
        <w:t xml:space="preserve"> — TÜV Rheinland (2019).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19"/>
        </w:rPr>
        <w:t xml:space="preserve"> — Bicentenario OTEC (2021).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COMPETENCIAS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Comunicación efectiva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sz w:val="18"/>
        </w:rPr>
        <w:t>Proactividad y aporte al clima laboral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color w:val="0D0D0D"/>
          <w:sz w:val="16"/>
          <w:spacing w:val="38"/>
        </w:rPr>
        <w:t>HERRAMIENTAS Y DISPONIBILIDAD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39" w:right="822" w:bottom="42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