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90" w:lineRule="auto"/>
      </w:pPr>
      <w:r>
        <w:rPr>
          <w:rFonts w:ascii="Cambria" w:hAnsi="Cambria" w:eastAsia="Cambria" w:cs="Cambria"/>
          <w:b w:val="0"/>
          <w:i w:val="0"/>
          <w:color w:val="16181A"/>
          <w:sz w:val="40"/>
          <w:spacing w:val="36"/>
        </w:rPr>
        <w:t>JENIFFER MIERES CONTRERAS</w:t>
      </w:r>
    </w:p>
    <w:p>
      <w:pPr>
        <w:spacing w:before="0" w:after="60" w:line="290" w:lineRule="auto"/>
      </w:pPr>
      <w:r>
        <w:rPr>
          <w:rFonts w:ascii="Calibri" w:hAnsi="Calibri" w:eastAsia="Calibri" w:cs="Calibri"/>
          <w:b w:val="0"/>
          <w:i w:val="0"/>
          <w:color w:val="4A4F54"/>
          <w:sz w:val="20"/>
          <w:spacing w:val="14"/>
        </w:rPr>
        <w:t>Trabajadora Social</w:t>
      </w:r>
      <w:r>
        <w:rPr>
          <w:rFonts w:ascii="Calibri" w:hAnsi="Calibri" w:eastAsia="Calibri" w:cs="Calibri"/>
          <w:b w:val="0"/>
          <w:i w:val="0"/>
          <w:color w:val="6E2130"/>
          <w:sz w:val="20"/>
        </w:rPr>
        <w:t xml:space="preserve">   |   </w:t>
      </w:r>
      <w:r>
        <w:rPr>
          <w:rFonts w:ascii="Calibri" w:hAnsi="Calibri" w:eastAsia="Calibri" w:cs="Calibri"/>
          <w:b w:val="0"/>
          <w:i w:val="0"/>
          <w:color w:val="4A4F54"/>
          <w:sz w:val="20"/>
          <w:spacing w:val="14"/>
        </w:rPr>
        <w:t>Bienestar Laboral, Calidad de Vida y Gestión de Beneficios</w:t>
      </w:r>
    </w:p>
    <w:p>
      <w:pPr>
        <w:spacing w:before="0" w:after="0" w:line="290" w:lineRule="auto"/>
        <w:pBdr>
          <w:bottom w:val="single" w:sz="4" w:space="7" w:color="6E2130"/>
        </w:pBdr>
      </w:pPr>
      <w:r>
        <w:rPr>
          <w:rFonts w:ascii="Calibri" w:hAnsi="Calibri" w:eastAsia="Calibri" w:cs="Calibri"/>
          <w:b w:val="0"/>
          <w:i w:val="0"/>
          <w:color w:val="6C7176"/>
          <w:sz w:val="17"/>
          <w:spacing w:val="10"/>
        </w:rPr>
        <w:t>+56 9 4903 1682   ·   jeniffer.mieres@gmail.com   ·   El Monte, Región Metropolitana</w:t>
      </w:r>
    </w:p>
    <w:p>
      <w:pPr>
        <w:keepNext/>
        <w:tabs>
          <w:tab w:pos="1644" w:val="left"/>
        </w:tabs>
        <w:spacing w:before="28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Perfil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120" w:after="0" w:line="290" w:lineRule="auto"/>
        <w:ind w:left="1644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120" w:after="0" w:line="290" w:lineRule="auto"/>
        <w:ind w:left="1644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tabs>
          <w:tab w:pos="1644" w:val="left"/>
        </w:tabs>
        <w:spacing w:before="260" w:after="0" w:line="312" w:lineRule="auto"/>
        <w:ind w:left="1644" w:hanging="1644"/>
        <w:suppressAutoHyphens w:val="1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Expertise</w:t>
      </w:r>
      <w:r>
        <w:tab/>
      </w:r>
      <w:r>
        <w:rPr>
          <w:rFonts w:ascii="Cambria" w:hAnsi="Cambria" w:eastAsia="Cambria" w:cs="Cambria"/>
          <w:b w:val="0"/>
          <w:i w:val="0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Seguro Complementario de Salud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Orientación en salud y vivienda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Diversidad e inclusión</w:t>
      </w:r>
    </w:p>
    <w:p>
      <w:pPr>
        <w:keepNext/>
        <w:keepLines/>
        <w:tabs>
          <w:tab w:pos="1644" w:val="left"/>
          <w:tab w:pos="10426" w:val="right"/>
        </w:tabs>
        <w:spacing w:before="280" w:after="0" w:line="290" w:lineRule="auto"/>
        <w:ind w:left="1644" w:hanging="1644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Experiencia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Agosto 2023 – Actualidad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Trabajadora Social · Departamento de Beneficios Estudiantiles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Realizo la evaluación socioeconómica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Gestiono beneficios ministeriales e internos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Atiendo al estudiantado de manera permanente y entrego orientación social personalizada, acompañándolo durante todo el proceso de postulación.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Coordino casos complejos con áreas internas de la universidad y con redes de apoyo externas cuando la necesidad excede el ámbito académico.</w:t>
      </w:r>
    </w:p>
    <w:p>
      <w:pPr>
        <w:keepNext/>
        <w:keepLines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Octubre 2018 – Febrero 2023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Líder en Gestión de Personas · Consultora para la industria minera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Estuve a cargo de los programas de bienestar y beneficios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Gestioné convenios y beneficios orientados a la calidad de vida laboral, administrando la relación con instituciones y proveedores externos.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Organicé actividades corporativas de bienestar e integración, articulando a las distintas áreas para asegurar convocatoria y buena ejecución.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Tuve a cargo la matriz de riesgo y salud en el trabajo junto al prevencionista externo, con seguimiento por KPI para dar cumplimiento a la certificación.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Lideré el plan anual de capacitaciones internas de la compañía.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Asumí durante un año el Sistema de Gestión Integrado como auditora interna en las certificaciones ISO 9001:2015, ISO 14001:2015 e ISO 45001:2018 (Seguridad y Salud en el Trabajo).</w:t>
      </w:r>
    </w:p>
    <w:p>
      <w:pPr>
        <w:keepNext/>
        <w:keepLines/>
        <w:pageBreakBefore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Octubre 2017 – Septiembre 2018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Monitora · Grupo Emprendedores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Diseñé y dicté capacitaciones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Orienté a los emprendedores en materia de vivienda, articulando con las redes de la comuna, y los vinculé con recursos disponibles que muchas veces no sabían que tenían a su alcance.</w:t>
      </w:r>
    </w:p>
    <w:p>
      <w:pPr>
        <w:keepNext/>
        <w:keepLines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Diciembre 2016 – Septiembre 2017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Encargada · Departamento de Bienestar Social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Diseñé e implementé el departamento desde su origen, para una dotación de más de 200 colaboradores, definiendo la planificación de actividades y beneficios.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Administré el Seguro Complementario de Salud de la dotación, apoyando a los trabajadores en el acceso, uso y tramitación de reembolsos.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Gestioné licencias médicas ante la Caja de Compensación Los Andes y la incorporación de cargas familiares de los trabajadores.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Realicé visitas semanales a la segunda sucursal, atendiendo en terreno las necesidades de beneficios internos y externos, principalmente en vivienda y salud.</w:t>
      </w:r>
    </w:p>
    <w:p>
      <w:pPr>
        <w:keepNext/>
        <w:keepLines/>
        <w:tabs>
          <w:tab w:pos="1644" w:val="left"/>
          <w:tab w:pos="10426" w:val="right"/>
        </w:tabs>
        <w:spacing w:before="280" w:after="0" w:line="290" w:lineRule="auto"/>
        <w:ind w:left="1644" w:hanging="1644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Formación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En curso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Universidad de Santiago de Chile</w:t>
      </w:r>
    </w:p>
    <w:p>
      <w:pPr>
        <w:keepNext/>
        <w:keepLines/>
        <w:tabs>
          <w:tab w:pos="10426" w:val="right"/>
        </w:tabs>
        <w:spacing w:before="13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2016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Universidad Andrés Bello</w:t>
      </w:r>
    </w:p>
    <w:p>
      <w:pPr>
        <w:keepNext/>
        <w:keepLines/>
        <w:tabs>
          <w:tab w:pos="10426" w:val="right"/>
        </w:tabs>
        <w:spacing w:before="13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2012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Instituto Profesional AIEP</w:t>
      </w:r>
    </w:p>
    <w:p>
      <w:pPr>
        <w:keepNext/>
        <w:tabs>
          <w:tab w:pos="1644" w:val="left"/>
        </w:tabs>
        <w:spacing w:before="26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Certificaciones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Certificación Gatekeepers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Interpretación auditor interno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TÜV Rheinland (2019).</w:t>
      </w:r>
    </w:p>
    <w:p>
      <w:pPr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Bicentenario OTEC (2021).</w:t>
      </w:r>
    </w:p>
    <w:p>
      <w:pPr>
        <w:keepNext/>
        <w:tabs>
          <w:tab w:pos="1644" w:val="left"/>
        </w:tabs>
        <w:spacing w:before="260" w:after="0" w:line="312" w:lineRule="auto"/>
        <w:ind w:left="1644" w:hanging="1644"/>
        <w:suppressAutoHyphens w:val="1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Competencias</w:t>
      </w:r>
      <w:r>
        <w:tab/>
      </w:r>
      <w:r>
        <w:rPr>
          <w:rFonts w:ascii="Cambria" w:hAnsi="Cambria" w:eastAsia="Cambria" w:cs="Cambria"/>
          <w:b w:val="0"/>
          <w:i w:val="0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Comunicación efectiva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Proactividad y aporte al clima laboral</w:t>
      </w:r>
    </w:p>
    <w:p>
      <w:pPr>
        <w:keepNext/>
        <w:tabs>
          <w:tab w:pos="1644" w:val="left"/>
        </w:tabs>
        <w:spacing w:before="24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Herramientas</w:t>
      </w:r>
      <w:r>
        <w:tab/>
      </w:r>
      <w:r>
        <w:rPr>
          <w:rFonts w:ascii="Cambria" w:hAnsi="Cambria" w:eastAsia="Cambria" w:cs="Cambria"/>
          <w:b w:val="0"/>
          <w:i w:val="0"/>
          <w:sz w:val="18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keepNext/>
        <w:tabs>
          <w:tab w:pos="1644" w:val="left"/>
        </w:tabs>
        <w:spacing w:before="18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Disponibilidad</w:t>
      </w:r>
      <w:r>
        <w:tab/>
      </w:r>
      <w:r>
        <w:rPr>
          <w:rFonts w:ascii="Cambria" w:hAnsi="Cambria" w:eastAsia="Cambria" w:cs="Cambria"/>
          <w:b w:val="0"/>
          <w:i w:val="0"/>
          <w:sz w:val="18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709" w:right="850" w:bottom="65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90" w:lineRule="auto"/>
    </w:pPr>
    <w:rPr>
      <w:rFonts w:ascii="Cambria" w:hAnsi="Cambria" w:eastAsia="Cambria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