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90" w:lineRule="auto"/>
      </w:pPr>
      <w:r>
        <w:rPr>
          <w:rFonts w:ascii="Cambria" w:hAnsi="Cambria" w:eastAsia="Cambria" w:cs="Cambria"/>
          <w:b w:val="0"/>
          <w:i w:val="0"/>
          <w:color w:val="16181A"/>
          <w:sz w:val="40"/>
          <w:spacing w:val="36"/>
        </w:rPr>
        <w:t>JENIFFER MIERES CONTRERAS</w:t>
      </w:r>
    </w:p>
    <w:p>
      <w:pPr>
        <w:spacing w:before="0" w:after="60" w:line="290" w:lineRule="auto"/>
      </w:pPr>
      <w:r>
        <w:rPr>
          <w:rFonts w:ascii="Calibri" w:hAnsi="Calibri" w:eastAsia="Calibri" w:cs="Calibri"/>
          <w:b w:val="0"/>
          <w:i w:val="0"/>
          <w:color w:val="4A4F54"/>
          <w:sz w:val="20"/>
          <w:spacing w:val="14"/>
        </w:rPr>
        <w:t>Trabajadora Social</w:t>
      </w:r>
      <w:r>
        <w:rPr>
          <w:rFonts w:ascii="Calibri" w:hAnsi="Calibri" w:eastAsia="Calibri" w:cs="Calibri"/>
          <w:b w:val="0"/>
          <w:i w:val="0"/>
          <w:color w:val="6E2130"/>
          <w:sz w:val="20"/>
        </w:rPr>
        <w:t xml:space="preserve">   |   </w:t>
      </w:r>
      <w:r>
        <w:rPr>
          <w:rFonts w:ascii="Calibri" w:hAnsi="Calibri" w:eastAsia="Calibri" w:cs="Calibri"/>
          <w:b w:val="0"/>
          <w:i w:val="0"/>
          <w:color w:val="4A4F54"/>
          <w:sz w:val="20"/>
          <w:spacing w:val="14"/>
        </w:rPr>
        <w:t>Bienestar Laboral, Calidad de Vida y Gestión de Beneficios</w:t>
      </w:r>
    </w:p>
    <w:p>
      <w:pPr>
        <w:spacing w:before="0" w:after="0" w:line="290" w:lineRule="auto"/>
        <w:pBdr>
          <w:bottom w:val="single" w:sz="4" w:space="7" w:color="6E2130"/>
        </w:pBdr>
      </w:pPr>
      <w:r>
        <w:rPr>
          <w:rFonts w:ascii="Calibri" w:hAnsi="Calibri" w:eastAsia="Calibri" w:cs="Calibri"/>
          <w:b w:val="0"/>
          <w:i w:val="0"/>
          <w:color w:val="6C7176"/>
          <w:sz w:val="17"/>
          <w:spacing w:val="10"/>
        </w:rPr>
        <w:t>+56 9 4903 1682   ·   jeniffer.mieres@gmail.com   ·   El Monte, Región Metropolitana</w:t>
      </w:r>
    </w:p>
    <w:p>
      <w:pPr>
        <w:keepNext/>
        <w:tabs>
          <w:tab w:pos="1644" w:val="left"/>
        </w:tabs>
        <w:spacing w:before="28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Perfil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120" w:after="0" w:line="290" w:lineRule="auto"/>
        <w:ind w:left="1644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120" w:after="0" w:line="290" w:lineRule="auto"/>
        <w:ind w:left="1644"/>
        <w:jc w:val="both"/>
      </w:pPr>
      <w:r>
        <w:rPr>
          <w:rFonts w:ascii="Cambria" w:hAnsi="Cambria" w:eastAsia="Cambria" w:cs="Cambria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tabs>
          <w:tab w:pos="1644" w:val="left"/>
        </w:tabs>
        <w:spacing w:before="260" w:after="0" w:line="312" w:lineRule="auto"/>
        <w:ind w:left="1644" w:hanging="1644"/>
        <w:suppressAutoHyphens w:val="1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Expertise</w:t>
      </w:r>
      <w:r>
        <w:tab/>
      </w:r>
      <w:r>
        <w:rPr>
          <w:rFonts w:ascii="Cambria" w:hAnsi="Cambria" w:eastAsia="Cambria" w:cs="Cambria"/>
          <w:b w:val="0"/>
          <w:i w:val="0"/>
          <w:sz w:val="17"/>
        </w:rPr>
        <w:t>Creación, implementación y evaluación de programas de bienestar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Gestión de beneficios internos y externos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Evaluación socioeconómica e informes sociales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Seguro Complementario de Salud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Licencias médicas y cargas familiares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Convenios institucionales y gestión de proveedores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Orientación en salud y vivienda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Coordinación de actividades y eventos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Diseño y facilitación de talleres y capacitaciones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Diversidad e inclusión</w:t>
      </w:r>
    </w:p>
    <w:p>
      <w:pPr>
        <w:keepNext/>
        <w:keepLines/>
        <w:tabs>
          <w:tab w:pos="1644" w:val="left"/>
          <w:tab w:pos="10426" w:val="right"/>
        </w:tabs>
        <w:spacing w:before="280" w:after="0" w:line="290" w:lineRule="auto"/>
        <w:ind w:left="1644" w:hanging="1644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Experiencia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Agosto 2023 – Actualidad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Trabajadora Social · Departamento de Beneficios Estudiantiles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Realizo la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evaluación socioeconómica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Gestiono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beneficios ministeriales e internos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Atiendo al estudiantado de manera permanente y entrego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orientación social personalizada</w:t>
      </w:r>
      <w:r>
        <w:rPr>
          <w:rFonts w:ascii="Cambria" w:hAnsi="Cambria" w:eastAsia="Cambria" w:cs="Cambria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Coordino casos complejos</w:t>
      </w:r>
      <w:r>
        <w:rPr>
          <w:rFonts w:ascii="Cambria" w:hAnsi="Cambria" w:eastAsia="Cambria" w:cs="Cambria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426" w:val="right"/>
        </w:tabs>
        <w:spacing w:before="24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Octubre 2018 – Febrero 2023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Líder en Gestión de Personas · Consultora para la industria minera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Estuve a cargo de los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programas de bienestar y beneficios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Gestioné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convenios y beneficios orientados a la calidad de vida laboral</w:t>
      </w:r>
      <w:r>
        <w:rPr>
          <w:rFonts w:ascii="Cambria" w:hAnsi="Cambria" w:eastAsia="Cambria" w:cs="Cambria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Organicé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actividades corporativas de bienestar e integración</w:t>
      </w:r>
      <w:r>
        <w:rPr>
          <w:rFonts w:ascii="Cambria" w:hAnsi="Cambria" w:eastAsia="Cambria" w:cs="Cambria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Tuve a cargo la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matriz de riesgo y salud en 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Lideré el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plan anual de capacitaciones internas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la compañía.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Asumí durante un año el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Sistema de Gestión Integrado como auditora interna</w:t>
      </w:r>
      <w:r>
        <w:rPr>
          <w:rFonts w:ascii="Cambria" w:hAnsi="Cambria" w:eastAsia="Cambria" w:cs="Cambria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426" w:val="right"/>
        </w:tabs>
        <w:spacing w:before="24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Octubre 2017 – Septiembre 2018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Monitora · Grupo Emprendedores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Diseñé y dicté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capacitaciones</w:t>
      </w:r>
      <w:r>
        <w:rPr>
          <w:rFonts w:ascii="Cambria" w:hAnsi="Cambria" w:eastAsia="Cambria" w:cs="Cambria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Orienté a los emprendedores en materia de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vivienda</w:t>
      </w:r>
      <w:r>
        <w:rPr>
          <w:rFonts w:ascii="Cambria" w:hAnsi="Cambria" w:eastAsia="Cambria" w:cs="Cambria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426" w:val="right"/>
        </w:tabs>
        <w:spacing w:before="24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Diciembre 2016 – Septiembre 2017</w:t>
      </w:r>
    </w:p>
    <w:p>
      <w:pPr>
        <w:keepNext/>
        <w:keepLines/>
        <w:spacing w:before="30" w:after="7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  <w:spacing w:val="6"/>
        </w:rPr>
        <w:t>Encargada · Departamento de Bienestar Social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Diseñé e implementé el departamento desde su origen</w:t>
      </w:r>
      <w:r>
        <w:rPr>
          <w:rFonts w:ascii="Cambria" w:hAnsi="Cambria" w:eastAsia="Cambria" w:cs="Cambria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Administré el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Seguro Complementario de Salud</w:t>
      </w:r>
      <w:r>
        <w:rPr>
          <w:rFonts w:ascii="Cambria" w:hAnsi="Cambria" w:eastAsia="Cambria" w:cs="Cambria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Gestioné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licencias médicas ante la Caja de Compensación Los Andes</w:t>
      </w:r>
      <w:r>
        <w:rPr>
          <w:rFonts w:ascii="Cambria" w:hAnsi="Cambria" w:eastAsia="Cambria" w:cs="Cambria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 w:val="0"/>
          <w:i w:val="0"/>
          <w:sz w:val="19"/>
        </w:rPr>
        <w:t xml:space="preserve">Realicé </w:t>
      </w:r>
      <w:r>
        <w:rPr>
          <w:rFonts w:ascii="Cambria" w:hAnsi="Cambria" w:eastAsia="Cambria" w:cs="Cambria"/>
          <w:b/>
          <w:i w:val="0"/>
          <w:color w:val="16181A"/>
          <w:sz w:val="19"/>
        </w:rPr>
        <w:t>visitas semanales a la segunda sucursal</w:t>
      </w:r>
      <w:r>
        <w:rPr>
          <w:rFonts w:ascii="Cambria" w:hAnsi="Cambria" w:eastAsia="Cambria" w:cs="Cambria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keepNext/>
        <w:keepLines/>
        <w:tabs>
          <w:tab w:pos="1644" w:val="left"/>
          <w:tab w:pos="10426" w:val="right"/>
        </w:tabs>
        <w:spacing w:before="280" w:after="0" w:line="290" w:lineRule="auto"/>
        <w:ind w:left="1644" w:hanging="1644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Formación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En curso</w:t>
      </w:r>
    </w:p>
    <w:p>
      <w:pPr>
        <w:keepNext w:val="0"/>
        <w:keepLines/>
        <w:spacing w:before="20" w:after="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</w:rPr>
        <w:t>Universidad de Santiago de Chile</w:t>
      </w:r>
    </w:p>
    <w:p>
      <w:pPr>
        <w:keepNext/>
        <w:keepLines/>
        <w:tabs>
          <w:tab w:pos="10426" w:val="right"/>
        </w:tabs>
        <w:spacing w:before="13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2016</w:t>
      </w:r>
    </w:p>
    <w:p>
      <w:pPr>
        <w:keepNext w:val="0"/>
        <w:keepLines/>
        <w:spacing w:before="20" w:after="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</w:rPr>
        <w:t>Universidad Andrés Bello</w:t>
      </w:r>
    </w:p>
    <w:p>
      <w:pPr>
        <w:keepNext/>
        <w:keepLines/>
        <w:tabs>
          <w:tab w:pos="10426" w:val="right"/>
        </w:tabs>
        <w:spacing w:before="130" w:after="0" w:line="290" w:lineRule="auto"/>
        <w:ind w:left="1644"/>
      </w:pPr>
      <w:r>
        <w:rPr>
          <w:rFonts w:ascii="Cambria" w:hAnsi="Cambria" w:eastAsia="Cambria" w:cs="Cambria"/>
          <w:b/>
          <w:i w:val="0"/>
          <w:color w:val="16181A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 w:val="0"/>
          <w:i w:val="0"/>
          <w:color w:val="6C7176"/>
          <w:sz w:val="15"/>
          <w:caps w:val="1"/>
          <w:spacing w:val="20"/>
        </w:rPr>
        <w:t>2012</w:t>
      </w:r>
    </w:p>
    <w:p>
      <w:pPr>
        <w:keepNext w:val="0"/>
        <w:keepLines/>
        <w:spacing w:before="20" w:after="0" w:line="290" w:lineRule="auto"/>
        <w:ind w:left="1644"/>
      </w:pPr>
      <w:r>
        <w:rPr>
          <w:rFonts w:ascii="Calibri" w:hAnsi="Calibri" w:eastAsia="Calibri" w:cs="Calibri"/>
          <w:b w:val="0"/>
          <w:i/>
          <w:color w:val="6C7176"/>
          <w:sz w:val="17"/>
        </w:rPr>
        <w:t>Instituto Profesional AIEP</w:t>
      </w:r>
    </w:p>
    <w:p>
      <w:pPr>
        <w:keepNext/>
        <w:tabs>
          <w:tab w:pos="1644" w:val="left"/>
        </w:tabs>
        <w:spacing w:before="26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Certificaciones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Certificación Gatekeepers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Interpretación auditor interno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TÜV Rheinland (2019).</w:t>
      </w:r>
    </w:p>
    <w:p>
      <w:pPr>
        <w:spacing w:before="0" w:after="92" w:line="290" w:lineRule="auto"/>
        <w:ind w:left="1837" w:hanging="193"/>
        <w:jc w:val="both"/>
      </w:pPr>
      <w:r>
        <w:rPr>
          <w:rFonts w:ascii="Cambria" w:hAnsi="Cambria" w:eastAsia="Cambria" w:cs="Cambria"/>
          <w:b w:val="0"/>
          <w:i w:val="0"/>
          <w:color w:val="6E2130"/>
          <w:sz w:val="17"/>
        </w:rPr>
        <w:t>•</w:t>
      </w:r>
      <w:r>
        <w:tab/>
      </w:r>
      <w:r>
        <w:rPr>
          <w:rFonts w:ascii="Cambria" w:hAnsi="Cambria" w:eastAsia="Cambria" w:cs="Cambria"/>
          <w:b/>
          <w:i w:val="0"/>
          <w:color w:val="16181A"/>
          <w:sz w:val="19"/>
        </w:rPr>
        <w:t>Ley 21.327, Modernización de la Dirección del Trabajo</w:t>
      </w:r>
      <w:r>
        <w:rPr>
          <w:rFonts w:ascii="Cambria" w:hAnsi="Cambria" w:eastAsia="Cambria" w:cs="Cambria"/>
          <w:b w:val="0"/>
          <w:i w:val="0"/>
          <w:sz w:val="19"/>
        </w:rPr>
        <w:t xml:space="preserve"> — Bicentenario OTEC (2021).</w:t>
      </w:r>
    </w:p>
    <w:p>
      <w:pPr>
        <w:keepNext/>
        <w:tabs>
          <w:tab w:pos="1644" w:val="left"/>
        </w:tabs>
        <w:spacing w:before="260" w:after="0" w:line="312" w:lineRule="auto"/>
        <w:ind w:left="1644" w:hanging="1644"/>
        <w:suppressAutoHyphens w:val="1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Competencias</w:t>
      </w:r>
      <w:r>
        <w:tab/>
      </w:r>
      <w:r>
        <w:rPr>
          <w:rFonts w:ascii="Cambria" w:hAnsi="Cambria" w:eastAsia="Cambria" w:cs="Cambria"/>
          <w:b w:val="0"/>
          <w:i w:val="0"/>
          <w:sz w:val="17"/>
        </w:rPr>
        <w:t>Vocación y orientación al servicio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Excelente trato al usuario y altos estándares de calidad de atención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Comunicación efectiva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Trabajo en equipo y coordinación transversal con múltiples unidades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Autonomía y resolución de situaciones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Flexibilidad y adaptación al cambio</w:t>
      </w:r>
      <w:r>
        <w:rPr>
          <w:rFonts w:ascii="Cambria" w:hAnsi="Cambria" w:eastAsia="Cambria" w:cs="Cambria"/>
          <w:b w:val="0"/>
          <w:i w:val="0"/>
          <w:color w:val="A8ADB2"/>
          <w:sz w:val="17"/>
        </w:rPr>
        <w:t xml:space="preserve">  ·  </w:t>
      </w:r>
      <w:r>
        <w:rPr>
          <w:rFonts w:ascii="Cambria" w:hAnsi="Cambria" w:eastAsia="Cambria" w:cs="Cambria"/>
          <w:b w:val="0"/>
          <w:i w:val="0"/>
          <w:sz w:val="17"/>
        </w:rPr>
        <w:t>Proactividad y aporte al clima laboral</w:t>
      </w:r>
    </w:p>
    <w:p>
      <w:pPr>
        <w:keepNext/>
        <w:tabs>
          <w:tab w:pos="1644" w:val="left"/>
        </w:tabs>
        <w:spacing w:before="24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Herramientas</w:t>
      </w:r>
      <w:r>
        <w:tab/>
      </w:r>
      <w:r>
        <w:rPr>
          <w:rFonts w:ascii="Cambria" w:hAnsi="Cambria" w:eastAsia="Cambria" w:cs="Cambria"/>
          <w:b w:val="0"/>
          <w:i w:val="0"/>
          <w:sz w:val="18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keepNext/>
        <w:tabs>
          <w:tab w:pos="1644" w:val="left"/>
        </w:tabs>
        <w:spacing w:before="180" w:after="0" w:line="290" w:lineRule="auto"/>
        <w:ind w:left="1644" w:hanging="1644"/>
        <w:jc w:val="both"/>
      </w:pPr>
      <w:r>
        <w:rPr>
          <w:rFonts w:ascii="Calibri" w:hAnsi="Calibri" w:eastAsia="Calibri" w:cs="Calibri"/>
          <w:b/>
          <w:i w:val="0"/>
          <w:color w:val="6E2130"/>
          <w:sz w:val="15"/>
          <w:caps w:val="1"/>
          <w:spacing w:val="20"/>
        </w:rPr>
        <w:t>Disponibilidad</w:t>
      </w:r>
      <w:r>
        <w:tab/>
      </w:r>
      <w:r>
        <w:rPr>
          <w:rFonts w:ascii="Cambria" w:hAnsi="Cambria" w:eastAsia="Cambria" w:cs="Cambria"/>
          <w:b w:val="0"/>
          <w:i w:val="0"/>
          <w:sz w:val="18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709" w:right="850" w:bottom="652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90" w:lineRule="auto"/>
    </w:pPr>
    <w:rPr>
      <w:rFonts w:ascii="Cambria" w:hAnsi="Cambria" w:eastAsia="Cambria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