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1" w:lineRule="auto"/>
      </w:pPr>
      <w:r>
        <w:rPr>
          <w:rFonts w:ascii="Cambria" w:hAnsi="Cambria" w:eastAsia="Cambria" w:cs="Cambria"/>
          <w:b w:val="0"/>
          <w:color w:val="16181A"/>
          <w:sz w:val="42"/>
          <w:spacing w:val="40"/>
        </w:rPr>
        <w:t>JENIFFER MIERES CONTRERAS</w:t>
      </w:r>
    </w:p>
    <w:p>
      <w:pPr>
        <w:spacing w:before="0" w:after="80" w:line="271" w:lineRule="auto"/>
      </w:pPr>
      <w:r>
        <w:rPr>
          <w:rFonts w:ascii="Calibri" w:hAnsi="Calibri" w:eastAsia="Calibri" w:cs="Calibri"/>
          <w:b w:val="0"/>
          <w:color w:val="4A4F54"/>
          <w:sz w:val="21"/>
          <w:spacing w:val="16"/>
        </w:rPr>
        <w:t>Trabajadora Social</w:t>
      </w:r>
      <w:r>
        <w:rPr>
          <w:rFonts w:ascii="Calibri" w:hAnsi="Calibri" w:eastAsia="Calibri" w:cs="Calibri"/>
          <w:b w:val="0"/>
          <w:color w:val="6E2130"/>
          <w:sz w:val="21"/>
        </w:rPr>
        <w:t xml:space="preserve">   |   </w:t>
      </w:r>
      <w:r>
        <w:rPr>
          <w:rFonts w:ascii="Calibri" w:hAnsi="Calibri" w:eastAsia="Calibri" w:cs="Calibri"/>
          <w:b w:val="0"/>
          <w:color w:val="4A4F54"/>
          <w:sz w:val="21"/>
          <w:spacing w:val="16"/>
        </w:rPr>
        <w:t>Bienestar Laboral, Calidad de Vida y Gestión de Beneficios</w:t>
      </w:r>
    </w:p>
    <w:p>
      <w:pPr>
        <w:spacing w:before="0" w:after="0" w:line="271" w:lineRule="auto"/>
        <w:pBdr>
          <w:bottom w:val="single" w:sz="4" w:space="7" w:color="6E2130"/>
        </w:pBdr>
      </w:pP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+56 9 4903 1682</w:t>
      </w:r>
      <w:r>
        <w:rPr>
          <w:rFonts w:ascii="Calibri" w:hAnsi="Calibri" w:eastAsia="Calibri" w:cs="Calibri"/>
          <w:b w:val="0"/>
          <w:color w:val="A8ADB2"/>
          <w:sz w:val="17"/>
        </w:rPr>
        <w:t xml:space="preserve">   ·   </w:t>
      </w: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jeniffer.mieres@gmail.com</w:t>
      </w:r>
      <w:r>
        <w:rPr>
          <w:rFonts w:ascii="Calibri" w:hAnsi="Calibri" w:eastAsia="Calibri" w:cs="Calibri"/>
          <w:b w:val="0"/>
          <w:color w:val="A8ADB2"/>
          <w:sz w:val="17"/>
        </w:rPr>
        <w:t xml:space="preserve">   ·   </w:t>
      </w: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El Monte, Región Metropolitana</w:t>
      </w:r>
    </w:p>
    <w:p>
      <w:pPr>
        <w:keepNext/>
        <w:tabs>
          <w:tab w:pos="1644" w:val="left"/>
        </w:tabs>
        <w:spacing w:before="280" w:after="0" w:line="278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Perfil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80" w:after="0" w:line="278" w:lineRule="auto"/>
        <w:ind w:left="1644"/>
        <w:jc w:val="both"/>
      </w:pPr>
      <w:r>
        <w:rPr>
          <w:rFonts w:ascii="Cambria" w:hAnsi="Cambria" w:eastAsia="Cambria" w:cs="Cambria"/>
          <w:b w:val="0"/>
          <w:color w:val="33373B"/>
          <w:sz w:val="19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80" w:after="0" w:line="278" w:lineRule="auto"/>
        <w:ind w:left="1644"/>
        <w:jc w:val="both"/>
      </w:pPr>
      <w:r>
        <w:rPr>
          <w:rFonts w:ascii="Cambria" w:hAnsi="Cambria" w:eastAsia="Cambria" w:cs="Cambria"/>
          <w:b w:val="0"/>
          <w:color w:val="33373B"/>
          <w:sz w:val="19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 Cursando el Diplomado en Bienestar Organizacional y Estrategias de Diversidad e Inclusión (USACH) y certificada como agente Gatekeeper en prevención del suicidio.</w:t>
      </w:r>
    </w:p>
    <w:p>
      <w:pPr>
        <w:keepNext/>
        <w:tabs>
          <w:tab w:pos="1644" w:val="left"/>
        </w:tabs>
        <w:spacing w:before="260" w:after="0" w:line="298" w:lineRule="auto"/>
        <w:ind w:left="1644" w:hanging="1644"/>
        <w:jc w:val="left"/>
        <w:suppressAutoHyphens w:val="1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Expertise</w:t>
      </w:r>
      <w:r>
        <w:tab/>
      </w:r>
      <w:r>
        <w:rPr>
          <w:rFonts w:ascii="Cambria" w:hAnsi="Cambria" w:eastAsia="Cambria" w:cs="Cambria"/>
          <w:b w:val="0"/>
          <w:color w:val="33373B"/>
          <w:sz w:val="17"/>
        </w:rPr>
        <w:t>Creación, implementación y evaluación de programas de bienestar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Gestión de beneficios internos y externos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Evaluación socioeconómica e informes sociales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Seguro Complementario de Salud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Licencias médicas y cargas familiares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Convenios institucionales y gestión de proveedores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Gestión y seguimiento de casos sociales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Orientación en salud y vivienda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Coordinación de actividades y eventos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Diseño y facilitación de talleres y capacitaciones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Articulación con redes de apoyo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Diversidad e inclusión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Calidad de servicio</w:t>
      </w:r>
    </w:p>
    <w:p>
      <w:pPr>
        <w:keepNext/>
        <w:tabs>
          <w:tab w:pos="1644" w:val="left"/>
          <w:tab w:pos="10313" w:val="right"/>
        </w:tabs>
        <w:spacing w:before="320" w:after="0" w:line="271" w:lineRule="auto"/>
        <w:ind w:left="1644" w:hanging="1644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Experiencia</w:t>
      </w:r>
      <w:r>
        <w:tab/>
      </w:r>
      <w:r>
        <w:rPr>
          <w:rFonts w:ascii="Cambria" w:hAnsi="Cambria" w:eastAsia="Cambria" w:cs="Cambria"/>
          <w:b/>
          <w:color w:val="16181A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Agosto 2023 – Actualidad</w:t>
      </w:r>
    </w:p>
    <w:p>
      <w:pPr>
        <w:keepNext/>
        <w:spacing w:before="40" w:after="80" w:line="27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Trabajadora Social · Departamento de Beneficios Estudiantiles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Realizo la </w:t>
      </w:r>
      <w:r>
        <w:rPr>
          <w:rFonts w:ascii="Cambria" w:hAnsi="Cambria" w:eastAsia="Cambria" w:cs="Cambria"/>
          <w:b/>
          <w:color w:val="16181A"/>
          <w:sz w:val="19"/>
        </w:rPr>
        <w:t>evaluación socioeconómica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Gestiono </w:t>
      </w:r>
      <w:r>
        <w:rPr>
          <w:rFonts w:ascii="Cambria" w:hAnsi="Cambria" w:eastAsia="Cambria" w:cs="Cambria"/>
          <w:b/>
          <w:color w:val="16181A"/>
          <w:sz w:val="19"/>
        </w:rPr>
        <w:t>beneficios ministeriales e internos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principio a fin: verificación de requisitos, preselección, seguimiento y registro documental que permite auditar el caso posteriormente.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Atiendo al estudiantado de manera permanente y entrego </w:t>
      </w:r>
      <w:r>
        <w:rPr>
          <w:rFonts w:ascii="Cambria" w:hAnsi="Cambria" w:eastAsia="Cambria" w:cs="Cambria"/>
          <w:b/>
          <w:color w:val="16181A"/>
          <w:sz w:val="19"/>
        </w:rPr>
        <w:t>orientación social personalizada</w:t>
      </w:r>
      <w:r>
        <w:rPr>
          <w:rFonts w:ascii="Cambria" w:hAnsi="Cambria" w:eastAsia="Cambria" w:cs="Cambria"/>
          <w:b w:val="0"/>
          <w:color w:val="33373B"/>
          <w:sz w:val="19"/>
        </w:rPr>
        <w:t>, acompañándolo durante todo el proceso de postulación.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Coordino casos complejos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con áreas internas de la universidad y con redes de apoyo externas cuando la necesidad excede el ámbito académico.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Elaboro </w:t>
      </w:r>
      <w:r>
        <w:rPr>
          <w:rFonts w:ascii="Cambria" w:hAnsi="Cambria" w:eastAsia="Cambria" w:cs="Cambria"/>
          <w:b/>
          <w:color w:val="16181A"/>
          <w:sz w:val="19"/>
        </w:rPr>
        <w:t>informes sociales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y mantengo la trazabilidad administrativa de la cartera de casos a mi cargo.</w:t>
      </w:r>
    </w:p>
    <w:p>
      <w:pPr>
        <w:keepNext/>
        <w:tabs>
          <w:tab w:pos="10313" w:val="right"/>
        </w:tabs>
        <w:spacing w:before="210" w:after="0" w:line="271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Octubre 2018 – Febrero 2023</w:t>
      </w:r>
    </w:p>
    <w:p>
      <w:pPr>
        <w:keepNext/>
        <w:spacing w:before="40" w:after="80" w:line="27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Líder en Gestión de Personas · Consultora para la industria minera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Estuve a cargo de los </w:t>
      </w:r>
      <w:r>
        <w:rPr>
          <w:rFonts w:ascii="Cambria" w:hAnsi="Cambria" w:eastAsia="Cambria" w:cs="Cambria"/>
          <w:b/>
          <w:color w:val="16181A"/>
          <w:sz w:val="19"/>
        </w:rPr>
        <w:t>programas de bienestar y beneficios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convenios y beneficios orientados a la calidad de vida laboral</w:t>
      </w:r>
      <w:r>
        <w:rPr>
          <w:rFonts w:ascii="Cambria" w:hAnsi="Cambria" w:eastAsia="Cambria" w:cs="Cambria"/>
          <w:b w:val="0"/>
          <w:color w:val="33373B"/>
          <w:sz w:val="19"/>
        </w:rPr>
        <w:t>, administrando la relación con instituciones y proveedores externos.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Organicé </w:t>
      </w:r>
      <w:r>
        <w:rPr>
          <w:rFonts w:ascii="Cambria" w:hAnsi="Cambria" w:eastAsia="Cambria" w:cs="Cambria"/>
          <w:b/>
          <w:color w:val="16181A"/>
          <w:sz w:val="19"/>
        </w:rPr>
        <w:t>actividades corporativas de bienestar e integración</w:t>
      </w:r>
      <w:r>
        <w:rPr>
          <w:rFonts w:ascii="Cambria" w:hAnsi="Cambria" w:eastAsia="Cambria" w:cs="Cambria"/>
          <w:b w:val="0"/>
          <w:color w:val="33373B"/>
          <w:sz w:val="19"/>
        </w:rPr>
        <w:t>, articulando a las distintas áreas para asegurar convocatoria y buena ejecución.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Tuve a cargo la </w:t>
      </w:r>
      <w:r>
        <w:rPr>
          <w:rFonts w:ascii="Cambria" w:hAnsi="Cambria" w:eastAsia="Cambria" w:cs="Cambria"/>
          <w:b/>
          <w:color w:val="16181A"/>
          <w:sz w:val="19"/>
        </w:rPr>
        <w:t>matriz de riesgo y salud en el trabajo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junto al prevencionista externo, con seguimiento por KPI para dar cumplimiento a la certificación.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Lideré el </w:t>
      </w:r>
      <w:r>
        <w:rPr>
          <w:rFonts w:ascii="Cambria" w:hAnsi="Cambria" w:eastAsia="Cambria" w:cs="Cambria"/>
          <w:b/>
          <w:color w:val="16181A"/>
          <w:sz w:val="19"/>
        </w:rPr>
        <w:t>plan anual de capacitaciones internas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la compañía.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Asumí durante un año el </w:t>
      </w:r>
      <w:r>
        <w:rPr>
          <w:rFonts w:ascii="Cambria" w:hAnsi="Cambria" w:eastAsia="Cambria" w:cs="Cambria"/>
          <w:b/>
          <w:color w:val="16181A"/>
          <w:sz w:val="19"/>
        </w:rPr>
        <w:t>Sistema de Gestión Integrado como auditora interna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en las certificaciones ISO 9001:2015, ISO 14001:2015 e ISO 45001:2018 (Seguridad y Salud en el Trabajo).</w:t>
      </w:r>
    </w:p>
    <w:p>
      <w:pPr>
        <w:keepNext/>
        <w:pageBreakBefore/>
        <w:tabs>
          <w:tab w:pos="10313" w:val="right"/>
        </w:tabs>
        <w:spacing w:before="320" w:after="0" w:line="271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Octubre 2017 – Septiembre 2018</w:t>
      </w:r>
    </w:p>
    <w:p>
      <w:pPr>
        <w:keepNext/>
        <w:spacing w:before="40" w:after="80" w:line="27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Monitora · Grupo Emprendedores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Diseñé y dicté </w:t>
      </w:r>
      <w:r>
        <w:rPr>
          <w:rFonts w:ascii="Cambria" w:hAnsi="Cambria" w:eastAsia="Cambria" w:cs="Cambria"/>
          <w:b/>
          <w:color w:val="16181A"/>
          <w:sz w:val="19"/>
        </w:rPr>
        <w:t>capacitaciones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Orienté a los emprendedores en materia de </w:t>
      </w:r>
      <w:r>
        <w:rPr>
          <w:rFonts w:ascii="Cambria" w:hAnsi="Cambria" w:eastAsia="Cambria" w:cs="Cambria"/>
          <w:b/>
          <w:color w:val="16181A"/>
          <w:sz w:val="19"/>
        </w:rPr>
        <w:t>vivienda</w:t>
      </w:r>
      <w:r>
        <w:rPr>
          <w:rFonts w:ascii="Cambria" w:hAnsi="Cambria" w:eastAsia="Cambria" w:cs="Cambria"/>
          <w:b w:val="0"/>
          <w:color w:val="33373B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tabs>
          <w:tab w:pos="10313" w:val="right"/>
        </w:tabs>
        <w:spacing w:before="360" w:after="0" w:line="271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Diciembre 2016 – Septiembre 2017</w:t>
      </w:r>
    </w:p>
    <w:p>
      <w:pPr>
        <w:keepNext/>
        <w:spacing w:before="40" w:after="80" w:line="27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Encargada · Departamento de Bienestar Social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Creé el departamento desde cero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una dotación de más de 200 colaboradores, definiendo la planificación de actividades y beneficios.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Administré el </w:t>
      </w:r>
      <w:r>
        <w:rPr>
          <w:rFonts w:ascii="Cambria" w:hAnsi="Cambria" w:eastAsia="Cambria" w:cs="Cambria"/>
          <w:b/>
          <w:color w:val="16181A"/>
          <w:sz w:val="19"/>
        </w:rPr>
        <w:t>Seguro Complementario de Salud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la dotación, apoyando a los trabajadores en el acceso, uso y tramitación de reembolsos.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licencias médicas ante la Caja de Compensación Los Andes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y la incorporación de cargas familiares de los trabajadores.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Realicé </w:t>
      </w:r>
      <w:r>
        <w:rPr>
          <w:rFonts w:ascii="Cambria" w:hAnsi="Cambria" w:eastAsia="Cambria" w:cs="Cambria"/>
          <w:b/>
          <w:color w:val="16181A"/>
          <w:sz w:val="19"/>
        </w:rPr>
        <w:t>visitas semanales a la segunda sucursal</w:t>
      </w:r>
      <w:r>
        <w:rPr>
          <w:rFonts w:ascii="Cambria" w:hAnsi="Cambria" w:eastAsia="Cambria" w:cs="Cambria"/>
          <w:b w:val="0"/>
          <w:color w:val="33373B"/>
          <w:sz w:val="19"/>
        </w:rPr>
        <w:t>, atendiendo en terreno las necesidades de beneficios internos y externos, principalmente en vivienda y salud.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convenios con instituciones externas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mejorar la calidad de vida en el trabajo.</w:t>
      </w:r>
    </w:p>
    <w:p>
      <w:pPr>
        <w:keepNext/>
        <w:tabs>
          <w:tab w:pos="1644" w:val="left"/>
          <w:tab w:pos="10313" w:val="right"/>
        </w:tabs>
        <w:spacing w:before="520" w:after="0" w:line="271" w:lineRule="auto"/>
        <w:ind w:left="1644" w:hanging="1644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Formación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En curso</w:t>
      </w:r>
    </w:p>
    <w:p>
      <w:pPr>
        <w:spacing w:before="30" w:after="0" w:line="271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Universidad de Santiago de Chile</w:t>
      </w:r>
    </w:p>
    <w:p>
      <w:pPr>
        <w:keepNext/>
        <w:tabs>
          <w:tab w:pos="10313" w:val="right"/>
        </w:tabs>
        <w:spacing w:before="300" w:after="0" w:line="271" w:lineRule="auto"/>
        <w:ind w:left="1644"/>
      </w:pPr>
      <w:r>
        <w:rPr>
          <w:rFonts w:ascii="Cambria" w:hAnsi="Cambria" w:eastAsia="Cambria" w:cs="Cambria"/>
          <w:b/>
          <w:color w:val="16181A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2016</w:t>
      </w:r>
    </w:p>
    <w:p>
      <w:pPr>
        <w:spacing w:before="30" w:after="0" w:line="271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Universidad Andrés Bello</w:t>
      </w:r>
    </w:p>
    <w:p>
      <w:pPr>
        <w:keepNext/>
        <w:tabs>
          <w:tab w:pos="10313" w:val="right"/>
        </w:tabs>
        <w:spacing w:before="300" w:after="0" w:line="271" w:lineRule="auto"/>
        <w:ind w:left="1644"/>
      </w:pPr>
      <w:r>
        <w:rPr>
          <w:rFonts w:ascii="Cambria" w:hAnsi="Cambria" w:eastAsia="Cambria" w:cs="Cambria"/>
          <w:b/>
          <w:color w:val="16181A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2012</w:t>
      </w:r>
    </w:p>
    <w:p>
      <w:pPr>
        <w:spacing w:before="30" w:after="0" w:line="271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Instituto Profesional AIEP</w:t>
      </w:r>
    </w:p>
    <w:p>
      <w:pPr>
        <w:tabs>
          <w:tab w:pos="1644" w:val="left"/>
          <w:tab w:pos="1837" w:val="left"/>
        </w:tabs>
        <w:spacing w:before="520" w:after="54" w:line="271" w:lineRule="auto"/>
        <w:ind w:left="1837" w:hanging="1837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Certificaciones</w:t>
      </w:r>
      <w:r>
        <w:tab/>
      </w: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Certificación Gatekeepers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agentes comunitarios en prevención del suicidio (2026).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Interpretación auditor interno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TÜV Rheinland (2019).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Ley 21.327, Modernización de la Dirección del Trabajo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Bicentenario OTEC (2021).</w:t>
      </w:r>
    </w:p>
    <w:p>
      <w:pPr>
        <w:spacing w:before="0" w:after="54" w:line="27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Cálculo de finiquito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Consultores y Asesores en Capacitación Chile Ltda. (2022).</w:t>
      </w:r>
    </w:p>
    <w:p>
      <w:pPr>
        <w:keepNext/>
        <w:tabs>
          <w:tab w:pos="1644" w:val="left"/>
        </w:tabs>
        <w:spacing w:before="520" w:after="0" w:line="298" w:lineRule="auto"/>
        <w:ind w:left="1644" w:hanging="1644"/>
        <w:jc w:val="left"/>
        <w:suppressAutoHyphens w:val="1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Competencias</w:t>
      </w:r>
      <w:r>
        <w:tab/>
      </w:r>
      <w:r>
        <w:rPr>
          <w:rFonts w:ascii="Cambria" w:hAnsi="Cambria" w:eastAsia="Cambria" w:cs="Cambria"/>
          <w:b w:val="0"/>
          <w:color w:val="33373B"/>
          <w:sz w:val="17"/>
        </w:rPr>
        <w:t>Vocación y orientación al servicio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Excelente trato al usuario y altos estándares de calidad de atención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Comunicación efectiva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Trabajo en equipo y coordinación transversal con múltiples unidades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Autonomía y resolución de situaciones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Flexibilidad y adaptación al cambio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Proactividad y aporte al clima laboral</w:t>
      </w:r>
    </w:p>
    <w:p>
      <w:pPr>
        <w:keepNext/>
        <w:tabs>
          <w:tab w:pos="1644" w:val="left"/>
        </w:tabs>
        <w:spacing w:before="440" w:after="0" w:line="271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Herramientas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keepNext/>
        <w:tabs>
          <w:tab w:pos="1644" w:val="left"/>
        </w:tabs>
        <w:spacing w:before="360" w:after="0" w:line="271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Disponibilidad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709" w:right="907" w:bottom="65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1" w:lineRule="auto"/>
    </w:pPr>
    <w:rPr>
      <w:rFonts w:ascii="Cambria" w:hAnsi="Cambria" w:eastAsia="Cambria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