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spacing w:before="0" w:after="20"/>
        <w:jc w:val="center"/>
      </w:pPr>
      <w:r>
        <w:rPr>
          <w:rFonts w:ascii="Arial" w:cs="Arial" w:eastAsia="Arial" w:hAnsi="Arial"/>
          <w:b/>
          <w:bCs/>
          <w:color w:val="5F5E5A"/>
          <w:sz w:val="20"/>
          <w:szCs w:val="20"/>
        </w:rPr>
        <w:t xml:space="preserve">REPUBLICA ARGENTINA</w:t>
      </w:r>
    </w:p>
    <w:p>
      <w:pPr>
        <w:spacing w:before="0" w:after="20"/>
        <w:jc w:val="center"/>
      </w:pPr>
      <w:r>
        <w:rPr>
          <w:rFonts w:ascii="Arial" w:cs="Arial" w:eastAsia="Arial" w:hAnsi="Arial"/>
          <w:b/>
          <w:bCs/>
          <w:color w:val="5F5E5A"/>
          <w:sz w:val="20"/>
          <w:szCs w:val="20"/>
        </w:rPr>
        <w:t xml:space="preserve">DIRECCION NACIONAL DEL DERECHO DE AUTOR</w:t>
      </w:r>
    </w:p>
    <w:p>
      <w:pPr>
        <w:spacing w:before="0" w:after="60"/>
        <w:jc w:val="center"/>
      </w:pPr>
      <w:r>
        <w:rPr>
          <w:rFonts w:ascii="Arial" w:cs="Arial" w:eastAsia="Arial" w:hAnsi="Arial"/>
          <w:color w:val="5F5E5A"/>
          <w:sz w:val="18"/>
          <w:szCs w:val="18"/>
        </w:rPr>
        <w:t xml:space="preserve">Ministerio de Justicia de la Nacion</w:t>
      </w:r>
    </w:p>
    <w:p>
      <w:pPr>
        <w:pBdr>
          <w:bottom w:val="single" w:color="D3D1C7" w:sz="4" w:space="2"/>
        </w:pBdr>
        <w:spacing w:before="80" w:after="8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spacing w:before="0" w:after="30"/>
        <w:jc w:val="center"/>
      </w:pPr>
      <w:r>
        <w:rPr>
          <w:rFonts w:ascii="Arial" w:cs="Arial" w:eastAsia="Arial" w:hAnsi="Arial"/>
          <w:b/>
          <w:bCs/>
          <w:color w:val="1B3A6B"/>
          <w:sz w:val="46"/>
          <w:szCs w:val="46"/>
        </w:rPr>
        <w:t xml:space="preserve">DECLARACION DE TITULARIDAD</w:t>
      </w:r>
    </w:p>
    <w:p>
      <w:pPr>
        <w:spacing w:before="0" w:after="30"/>
        <w:jc w:val="center"/>
      </w:pPr>
      <w:r>
        <w:rPr>
          <w:rFonts w:ascii="Arial" w:cs="Arial" w:eastAsia="Arial" w:hAnsi="Arial"/>
          <w:b/>
          <w:bCs/>
          <w:color w:val="1B3A6B"/>
          <w:sz w:val="38"/>
          <w:szCs w:val="38"/>
        </w:rPr>
        <w:t xml:space="preserve">Y ANTERIORIDAD DE</w:t>
      </w:r>
    </w:p>
    <w:p>
      <w:pPr>
        <w:spacing w:before="0" w:after="60"/>
        <w:jc w:val="center"/>
      </w:pPr>
      <w:r>
        <w:rPr>
          <w:rFonts w:ascii="Arial" w:cs="Arial" w:eastAsia="Arial" w:hAnsi="Arial"/>
          <w:b/>
          <w:bCs/>
          <w:color w:val="0F6E56"/>
          <w:sz w:val="38"/>
          <w:szCs w:val="38"/>
        </w:rPr>
        <w:t xml:space="preserve">PROPIEDAD INTELECTUAL PREEXISTENTE</w:t>
      </w:r>
    </w:p>
    <w:p>
      <w:pPr>
        <w:spacing w:before="0" w:after="100"/>
        <w:jc w:val="center"/>
      </w:pPr>
      <w:r>
        <w:rPr>
          <w:rFonts w:ascii="Arial" w:cs="Arial" w:eastAsia="Arial" w:hAnsi="Arial"/>
          <w:color w:val="5F5E5A"/>
          <w:sz w:val="26"/>
          <w:szCs w:val="26"/>
        </w:rPr>
        <w:t xml:space="preserve">Obra de Software e Innovacion Tecnologica en Biomedicina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Numero de expediente</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i/>
                <w:iCs/>
                <w:color w:val="5F5E5A"/>
                <w:sz w:val="19"/>
                <w:szCs w:val="19"/>
              </w:rPr>
              <w:t xml:space="preserve">A completar por la DNDA al momento de la presentacion</w:t>
            </w:r>
          </w:p>
        </w:tc>
      </w:tr>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Codigo interno del proyecto</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PI-001 Version 1.1</w:t>
            </w:r>
          </w:p>
        </w:tc>
      </w:tr>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Version del documento</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v1.2 — Marzo 2026. Datos reales del titular incorporados. Elemento (h): Pipeline de integracion del sensor ionico Epicore Discovery Patch.</w:t>
            </w:r>
          </w:p>
        </w:tc>
      </w:tr>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Denominacion de la obra</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Sistema Ciberfisico Endo-Edge: Arquitectura de Inferencia Edge para Analisis de Simbiosis Endocrina y Prevencion Preclinica</w:t>
            </w:r>
          </w:p>
        </w:tc>
      </w:tr>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Tipo de obra</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Software — Algoritmos de inferencia en inteligencia artificial. Obra metodologica cientifica. Obra compuesta (hardware + software + protocolo de investigacion).</w:t>
            </w:r>
          </w:p>
        </w:tc>
      </w:tr>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Fecha de creacion</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Primer documento de ideacion: Marzo 2026. Desarrollo continuo desde esa fecha.</w:t>
            </w:r>
          </w:p>
        </w:tc>
      </w:tr>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Marco normativo aplicable</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Ley 11.723 de Propiedad Intelectual (Argentina). Convenio de Berna (Ley 25.140). Convenio de Paris (Ley 17.011). Acuerdo ADPIC / TRIPS.</w:t>
            </w:r>
          </w:p>
        </w:tc>
      </w:tr>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Proposito de este documento</w:t>
            </w:r>
          </w:p>
        </w:tc>
        <w:tc>
          <w:tcPr>
            <w:tcW w:type="dxa" w:w="5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Acreditar la existencia, autoria, titularidad y anterioridad de la propiedad intelectual generada en el proyecto con anterioridad a cualquier convenio de financiamiento, colaboracion o licencia con terceros.</w:t>
            </w:r>
          </w:p>
        </w:tc>
      </w:tr>
    </w:tbl>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p>
      <w:pPr>
        <w:jc w:val="center"/>
      </w:pPr>
      <w:r>
        <w:rPr>
          <w:rFonts w:ascii="Arial" w:cs="Arial" w:eastAsia="Arial" w:hAnsi="Arial"/>
          <w:i/>
          <w:iCs/>
          <w:color w:val="5F5E5A"/>
          <w:sz w:val="20"/>
          <w:szCs w:val="20"/>
        </w:rPr>
        <w:t xml:space="preserve">Presentado por el equipo creador del Proyecto Endo-Edge en la Ciudad Autonoma de Buenos Aires, Republica Argentina, en el mes de Marzo del ano 2026.</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1B3A6B" w:sz="14"/>
              <w:bottom w:val="single" w:color="D3D1C7" w:sz="1"/>
              <w:right w:val="single" w:color="D3D1C7" w:sz="1"/>
            </w:tcBorders>
            <w:shd w:fill="E6F1FB" w:val="clear"/>
            <w:tcMar>
              <w:top w:type="dxa" w:w="130"/>
              <w:left w:type="dxa" w:w="180"/>
              <w:bottom w:type="dxa" w:w="130"/>
              <w:right w:type="dxa" w:w="180"/>
            </w:tcMar>
          </w:tcPr>
          <w:p>
            <w:pPr>
              <w:spacing w:before="0" w:after="0"/>
            </w:pPr>
            <w:r>
              <w:rPr>
                <w:rFonts w:ascii="Arial" w:cs="Arial" w:eastAsia="Arial" w:hAnsi="Arial"/>
                <w:b/>
                <w:bCs/>
                <w:color w:val="1B3A6B"/>
                <w:sz w:val="22"/>
                <w:szCs w:val="22"/>
              </w:rPr>
              <w:t xml:space="preserve">Naturaleza y proposito del documento: </w:t>
            </w:r>
            <w:r>
              <w:rPr>
                <w:rFonts w:ascii="Arial" w:cs="Arial" w:eastAsia="Arial" w:hAnsi="Arial"/>
                <w:sz w:val="22"/>
                <w:szCs w:val="22"/>
              </w:rPr>
              <w:t xml:space="preserve">Este documento constituye una Declaracion Jurada de Titularidad y Anterioridad de Propiedad Intelectual, conforme a los articulos 1, 2, 3, 4 y 57 de la Ley 11.723 de Propiedad Intelectual de la Republica Argentina. Su presentacion ante la Direccion Nacional del Derecho de Autor tiene por objeto acreditar fehacientemente que las obras de software, metodologias, algoritmos y conocimientos descritos en este instrumento fueron creados de forma original e independiente por los titulares declarantes, con anterioridad a cualquier vinculo contractual con instituciones universitarias, laboratorios privados, organismos de ciencia y tecnologia, u otros terceros. Este documento NO implica cesion de derechos a terceros ni constituye oferta de licencia alguna.</w:t>
            </w:r>
          </w:p>
        </w:tc>
      </w:tr>
    </w:tbl>
    <w:p>
      <w:pPr>
        <w:spacing w:before="30" w:after="30"/>
      </w:pPr>
      <w:r>
        <w:rPr>
          <w:rFonts w:ascii="Arial" w:cs="Arial" w:eastAsia="Arial" w:hAnsi="Arial"/>
          <w:sz w:val="22"/>
          <w:szCs w:val="22"/>
        </w:rPr>
        <w:t xml:space="preserve"> </w:t>
      </w:r>
    </w:p>
    <w:p>
      <w:pPr>
        <w:pStyle w:val="Heading1"/>
        <w:pBdr>
          <w:bottom w:val="single" w:color="1B3A6B" w:sz="6" w:space="4"/>
        </w:pBdr>
        <w:spacing w:before="360" w:after="140"/>
      </w:pPr>
      <w:r>
        <w:rPr>
          <w:rFonts w:ascii="Arial" w:cs="Arial" w:eastAsia="Arial" w:hAnsi="Arial"/>
          <w:b/>
          <w:bCs/>
          <w:color w:val="1B3A6B"/>
          <w:sz w:val="32"/>
          <w:szCs w:val="32"/>
        </w:rPr>
        <w:t xml:space="preserve">1. IDENTIFICACION DE LOS TITULARES</w:t>
      </w:r>
    </w:p>
    <w:p>
      <w:pPr>
        <w:pStyle w:val="Heading2"/>
        <w:spacing w:before="260" w:after="90"/>
      </w:pPr>
      <w:r>
        <w:rPr>
          <w:rFonts w:ascii="Arial" w:cs="Arial" w:eastAsia="Arial" w:hAnsi="Arial"/>
          <w:b/>
          <w:bCs/>
          <w:color w:val="0F6E56"/>
          <w:sz w:val="26"/>
          <w:szCs w:val="26"/>
        </w:rPr>
        <w:t xml:space="preserve">1.1 Titular principal (persona fisica — Investigador Principal)</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Apellido y nombre completo</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Chancay, Juan Pablo</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Tipo y numero de documento</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DNI: 27.043.243</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CUIL</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20 - 27043243 - 2</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Nacionalidad</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Argentina</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Domicilio real</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Ciudad Autonoma de Buenos Aires, Argentina</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Ciudad / Provincia</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Ciudad Autonoma de Buenos Aires (CABA)</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Correo electronico</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Ciudad Autonoma de Buenos Aires, Argentina</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Telefono de contacto</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Ciudad Autonoma de Buenos Aires, Argentina</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Formacion profesional</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sz w:val="20"/>
                <w:szCs w:val="20"/>
              </w:rPr>
              <w:t xml:space="preserve">Ingeniero / Especialista en Bioingenieria, Desarrollo de Software Medico, Ciencia de Datos e Inferencia Edge</w:t>
            </w:r>
          </w:p>
        </w:tc>
      </w:tr>
      <w:tr>
        <w:tc>
          <w:tcPr>
            <w:tcW w:type="dxa" w:w="30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Rol en el proyecto</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Investigador Principal — Creador y titular original de la obra</w:t>
            </w:r>
          </w:p>
        </w:tc>
      </w:tr>
    </w:tbl>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1.2 Co-titulares (integrantes del equipo creador)</w:t>
      </w:r>
    </w:p>
    <w:p>
      <w:pPr>
        <w:spacing w:before="70" w:after="70"/>
      </w:pPr>
      <w:r>
        <w:rPr>
          <w:rFonts w:ascii="Arial" w:cs="Arial" w:eastAsia="Arial" w:hAnsi="Arial"/>
          <w:sz w:val="22"/>
          <w:szCs w:val="22"/>
        </w:rPr>
        <w:t xml:space="preserve">En caso de que otros integrantes del equipo hayan contribuido creativamente a la obra antes de la presentacion de este documento, se declaran como co-titulares en la siguiente proporcion de autoria:</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560"/>
      </w:tblGrid>
      <w:tr>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Nombre y apellido</w:t>
            </w:r>
          </w:p>
        </w:tc>
        <w:tc>
          <w:tcPr>
            <w:tcW w:type="dxa" w:w="24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DNI</w:t>
            </w:r>
          </w:p>
        </w:tc>
        <w:tc>
          <w:tcPr>
            <w:tcW w:type="dxa" w:w="18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Rol en la creacion</w:t>
            </w:r>
          </w:p>
        </w:tc>
        <w:tc>
          <w:tcPr>
            <w:tcW w:type="dxa" w:w="256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Porcentaje de titularidad</w:t>
            </w:r>
          </w:p>
        </w:tc>
      </w:tr>
      <w:tr>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________________________________</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w:t>
            </w:r>
          </w:p>
        </w:tc>
        <w:tc>
          <w:tcPr>
            <w:tcW w:type="dxa" w:w="1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__________________</w:t>
            </w:r>
          </w:p>
        </w:tc>
        <w:tc>
          <w:tcPr>
            <w:tcW w:type="dxa" w:w="25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 %</w:t>
            </w:r>
          </w:p>
        </w:tc>
      </w:tr>
      <w:tr>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________________________________</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w:t>
            </w:r>
          </w:p>
        </w:tc>
        <w:tc>
          <w:tcPr>
            <w:tcW w:type="dxa" w:w="1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__________________</w:t>
            </w:r>
          </w:p>
        </w:tc>
        <w:tc>
          <w:tcPr>
            <w:tcW w:type="dxa" w:w="25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 %</w:t>
            </w:r>
          </w:p>
        </w:tc>
      </w:tr>
      <w:tr>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________________________________</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w:t>
            </w:r>
          </w:p>
        </w:tc>
        <w:tc>
          <w:tcPr>
            <w:tcW w:type="dxa" w:w="1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__________________</w:t>
            </w:r>
          </w:p>
        </w:tc>
        <w:tc>
          <w:tcPr>
            <w:tcW w:type="dxa" w:w="25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__________ %</w:t>
            </w:r>
          </w:p>
        </w:tc>
      </w:tr>
      <w:tr>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TOTAL</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
            </w:r>
          </w:p>
        </w:tc>
        <w:tc>
          <w:tcPr>
            <w:tcW w:type="dxa" w:w="1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
            </w:r>
          </w:p>
        </w:tc>
        <w:tc>
          <w:tcPr>
            <w:tcW w:type="dxa" w:w="25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100 %</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854F0B" w:sz="14"/>
              <w:bottom w:val="single" w:color="D3D1C7" w:sz="1"/>
              <w:right w:val="single" w:color="D3D1C7" w:sz="1"/>
            </w:tcBorders>
            <w:shd w:fill="FAEEDA" w:val="clear"/>
            <w:tcMar>
              <w:top w:type="dxa" w:w="130"/>
              <w:left w:type="dxa" w:w="180"/>
              <w:bottom w:type="dxa" w:w="130"/>
              <w:right w:type="dxa" w:w="180"/>
            </w:tcMar>
          </w:tcPr>
          <w:p>
            <w:pPr>
              <w:spacing w:before="0" w:after="0"/>
            </w:pPr>
            <w:r>
              <w:rPr>
                <w:rFonts w:ascii="Arial" w:cs="Arial" w:eastAsia="Arial" w:hAnsi="Arial"/>
                <w:b/>
                <w:bCs/>
                <w:color w:val="854F0B"/>
                <w:sz w:val="22"/>
                <w:szCs w:val="22"/>
              </w:rPr>
              <w:t xml:space="preserve">Nota sobre co-titularidad y futuros integrantes: </w:t>
            </w:r>
            <w:r>
              <w:rPr>
                <w:rFonts w:ascii="Arial" w:cs="Arial" w:eastAsia="Arial" w:hAnsi="Arial"/>
                <w:sz w:val="22"/>
                <w:szCs w:val="22"/>
              </w:rPr>
              <w:t xml:space="preserve">Los integrantes que se sumen al proyecto con posterioridad a la fecha de este documento (por ejemplo el Co-Investigador Endocrinologo, investigadores de Fase I) NO son co-titulares de la PI preexistente declarada aqui. Sus contribuciones futuras podran generar derechos de coautoria en publicaciones especificas conforme a los criterios ICMJE, pero no afectan la titularidad de los algoritmos, la arquitectura del sistema y la metodologia originaria declarados en el presente instrumento.</w:t>
            </w:r>
          </w:p>
        </w:tc>
      </w:tr>
    </w:tbl>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60" w:after="140"/>
      </w:pPr>
      <w:r>
        <w:rPr>
          <w:rFonts w:ascii="Arial" w:cs="Arial" w:eastAsia="Arial" w:hAnsi="Arial"/>
          <w:b/>
          <w:bCs/>
          <w:color w:val="1B3A6B"/>
          <w:sz w:val="32"/>
          <w:szCs w:val="32"/>
        </w:rPr>
        <w:t xml:space="preserve">2. DESCRIPCION DETALLADA DE LA OBRA</w:t>
      </w:r>
    </w:p>
    <w:p>
      <w:pPr>
        <w:pStyle w:val="Heading2"/>
        <w:spacing w:before="260" w:after="90"/>
      </w:pPr>
      <w:r>
        <w:rPr>
          <w:rFonts w:ascii="Arial" w:cs="Arial" w:eastAsia="Arial" w:hAnsi="Arial"/>
          <w:b/>
          <w:bCs/>
          <w:color w:val="0F6E56"/>
          <w:sz w:val="26"/>
          <w:szCs w:val="26"/>
        </w:rPr>
        <w:t xml:space="preserve">2.1 Denominacion completa de la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E6F1FB" w:val="clear"/>
            <w:tcMar>
              <w:top w:type="dxa" w:w="140"/>
              <w:left w:type="dxa" w:w="180"/>
              <w:bottom w:type="dxa" w:w="140"/>
              <w:right w:type="dxa" w:w="180"/>
            </w:tcMar>
          </w:tcPr>
          <w:p>
            <w:pPr>
              <w:spacing w:before="0" w:after="40"/>
              <w:jc w:val="center"/>
            </w:pPr>
            <w:r>
              <w:rPr>
                <w:rFonts w:ascii="Arial" w:cs="Arial" w:eastAsia="Arial" w:hAnsi="Arial"/>
                <w:b/>
                <w:bCs/>
                <w:color w:val="1B3A6B"/>
                <w:sz w:val="26"/>
                <w:szCs w:val="26"/>
              </w:rPr>
              <w:t xml:space="preserve">SISTEMA CIBERFISICO ENDO-EDGE</w:t>
            </w:r>
          </w:p>
          <w:p>
            <w:pPr>
              <w:spacing w:before="0" w:after="20"/>
              <w:jc w:val="center"/>
            </w:pPr>
            <w:r>
              <w:rPr>
                <w:rFonts w:ascii="Arial" w:cs="Arial" w:eastAsia="Arial" w:hAnsi="Arial"/>
                <w:i/>
                <w:iCs/>
                <w:color w:val="0F6E56"/>
                <w:sz w:val="22"/>
                <w:szCs w:val="22"/>
              </w:rPr>
              <w:t xml:space="preserve">Arquitectura de Inferencia Edge para Analisis Continuo de Simbiosis Endocrina</w:t>
            </w:r>
          </w:p>
          <w:p>
            <w:pPr>
              <w:spacing w:before="0" w:after="0"/>
              <w:jc w:val="center"/>
            </w:pPr>
            <w:r>
              <w:rPr>
                <w:rFonts w:ascii="Arial" w:cs="Arial" w:eastAsia="Arial" w:hAnsi="Arial"/>
                <w:i/>
                <w:iCs/>
                <w:color w:val="0F6E56"/>
                <w:sz w:val="22"/>
                <w:szCs w:val="22"/>
              </w:rPr>
              <w:t xml:space="preserve">y Prevencion Preclinica de Enfermedades Metabolicas Cronicas</w:t>
            </w:r>
          </w:p>
        </w:tc>
      </w:tr>
    </w:tbl>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2.2 Naturaleza de la obra — Clasificacion legal</w:t>
      </w:r>
    </w:p>
    <w:p>
      <w:pPr>
        <w:spacing w:before="70" w:after="70"/>
      </w:pPr>
      <w:r>
        <w:rPr>
          <w:rFonts w:ascii="Arial" w:cs="Arial" w:eastAsia="Arial" w:hAnsi="Arial"/>
          <w:sz w:val="22"/>
          <w:szCs w:val="22"/>
        </w:rPr>
        <w:t xml:space="preserve">La obra declarada es una creacion intelectual original compuesta por los siguientes elementos, todos protegidos bajo el articulo 1 de la Ley 11.723:</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D3D1C7" w:sz="1"/>
              <w:left w:val="single" w:color="D3D1C7" w:sz="1"/>
              <w:bottom w:val="single" w:color="D3D1C7" w:sz="1"/>
              <w:right w:val="single" w:color="D3D1C7" w:sz="1"/>
            </w:tcBorders>
            <w:shd w:fill="0F6E56"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
            </w:r>
          </w:p>
        </w:tc>
        <w:tc>
          <w:tcPr>
            <w:tcW w:type="dxa" w:w="2600"/>
            <w:tcBorders>
              <w:top w:val="single" w:color="D3D1C7" w:sz="1"/>
              <w:left w:val="single" w:color="D3D1C7" w:sz="1"/>
              <w:bottom w:val="single" w:color="D3D1C7" w:sz="1"/>
              <w:right w:val="single" w:color="D3D1C7" w:sz="1"/>
            </w:tcBorders>
            <w:shd w:fill="0F6E56"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Componente de la obra</w:t>
            </w:r>
          </w:p>
        </w:tc>
        <w:tc>
          <w:tcPr>
            <w:tcW w:type="dxa" w:w="6160"/>
            <w:tcBorders>
              <w:top w:val="single" w:color="D3D1C7" w:sz="1"/>
              <w:left w:val="single" w:color="D3D1C7" w:sz="1"/>
              <w:bottom w:val="single" w:color="D3D1C7" w:sz="1"/>
              <w:right w:val="single" w:color="D3D1C7" w:sz="1"/>
            </w:tcBorders>
            <w:shd w:fill="0F6E56"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Descripcion y base legal</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Algoritmo de inferencia DSS</w:t>
            </w:r>
          </w:p>
        </w:tc>
        <w:tc>
          <w:tcPr>
            <w:tcW w:type="dxa" w:w="6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El modelo de red neuronal de memoria a largo plazo (LSTM bidireccional) y la funcion matematica que produce el Indice de Desviacion Simbolica Sistemica (DSS) en escala 0-100. Protegido como obra de software bajo Art. 1 Ley 11.723 y Art. 10 Acuerdo ADPIC.</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(b)</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Arquitectura del pipeline de fusion temporal</w:t>
            </w:r>
          </w:p>
        </w:tc>
        <w:tc>
          <w:tcPr>
            <w:tcW w:type="dxa" w:w="6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El diseno original del sistema de alineacion temporal de senales heterocroniticas (ECG 256 Hz, glucosa 1/300 Hz, cortisol 4/dia) mediante interpolacion cubica Hermite, imputacion bayesiana y ventanas deslizantes de 288 pasos x 12 caracteristicas. Protegido como obra metodologica y arquitectura de software.</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(c)</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Indice DSS — Definicion matematica y umbrales</w:t>
            </w:r>
          </w:p>
        </w:tc>
        <w:tc>
          <w:tcPr>
            <w:tcW w:type="dxa" w:w="6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La formula original del Symbiotic Drift Score, incluyendo los umbrales de alerta (DSS &gt; 76 por 6 horas; DSS &gt; 90 urgente), el factor de confianza para lactato (0.40 base; 0.62-0.68 con correccion pH via sensor ionico), el Indice de Carga Mineralocorticoide (ICM, factor 0.50) como feature derivada del sensor ionico, y el sistema de ajuste dinamico por fase del ciclo menstrual. Protegido como obra cientifica y software.</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Arquitectura BAN con nodos rele digitales</w:t>
            </w:r>
          </w:p>
        </w:tc>
        <w:tc>
          <w:tcPr>
            <w:tcW w:type="dxa" w:w="6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El diseno original de la Red de Area Corporal que resuelve la transmision de senales BLE a traves de micro-nodos esclavos (Nordic nRF52811/nRF52805) comunicados al hub central via bus I2C/UART sobre hilos conductores textiles. Protegido como obra de diseno de sistemas e ingenieria.</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Protocolo de investigacion cientifico-legal v1.0</w:t>
            </w:r>
          </w:p>
        </w:tc>
        <w:tc>
          <w:tcPr>
            <w:tcW w:type="dxa" w:w="6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El documento 'Protocolo de Investigacion Cientifico-Legal — Sistema Endo-Edge v1.0' de Marzo 2026, incluyendo la estructura de la cohorte, los criterios de inclusion/exclusion, el plan estadistico y el modelo de Privacy by Design. Protegido como obra literaria y cientifica bajo Art. 1 Ley 11.723.</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(f)</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Especificaciones de precision metrologica DOC-EE-MET-001 v1.1</w:t>
            </w:r>
          </w:p>
        </w:tc>
        <w:tc>
          <w:tcPr>
            <w:tcW w:type="dxa" w:w="6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El documento 'Especificaciones de Precision Metrologica y Analisis de Error Instrumental — Sistema Endo-Edge v1.1' de Marzo 2026, que incluye la Seccion 8 sobre el Epicore Discovery Patch, los factores de confianza diferenciados por analito ionico y la metodologia de correccion pH-lactato. Protegido como obra cientifica.</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(g)</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Denominacion y marca del sistema</w:t>
            </w:r>
          </w:p>
        </w:tc>
        <w:tc>
          <w:tcPr>
            <w:tcW w:type="dxa" w:w="6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La denominacion 'Endo-Edge', 'Sistema Ciberfisico Endo-Edge', 'Indice DSS', 'Symbiotic Drift Score', 'Puntuacion de Desviacion Simbolica', 'Simbiosis Endocrina Celular' e 'Indice de Carga Mineralocorticoide (ICM)' como denominaciones originales creadas por los titulares. Se recomienda tramitar registro de marca ante el INPI en forma paralela.</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Pipeline de integracion del sensor ionico de sudor</w:t>
            </w:r>
          </w:p>
        </w:tc>
        <w:tc>
          <w:tcPr>
            <w:tcW w:type="dxa" w:w="6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El diseno original de integracion del Epicore Discovery Patch al pipeline Endo-Edge, incluyendo: (i) la metodologia de correccion dinamica del error del sensor de lactato K'Watch mediante la lectura de pH del sudor, elevando el factor de confianza de 0.40 a 0.62-0.68; (ii) la definicion del Indice de Carga Mineralocorticoide (ICM) como proxy del eje RAAS/aldosterona a partir de Na+ en sudor y tasa de sudoracion; (iii) la regla de validacion cruzada K+/HRV para deteccion de activacion simpatica (+5 puntos al score si ambos se desvian simultaneamente); (iv) el umbral de invalidacion de datos ionicos por tasa de sudoracion minima de 20 nL/min/glandula; y (v) los factores de confianza diferenciados por analito (pH=0.85, Cl-=0.80, Na+=0.50, K+=0.40) para el tensor del modelo DSS. Protegido como obra de software e innovacion metodologica bajo Art. 1 Ley 11.723.</w:t>
            </w:r>
          </w:p>
        </w:tc>
      </w:tr>
    </w:tbl>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2.3 Descripcion tecnica de los elementos protegidos</w:t>
      </w:r>
    </w:p>
    <w:p>
      <w:pPr>
        <w:pStyle w:val="Heading3"/>
        <w:spacing w:before="180" w:after="60"/>
      </w:pPr>
      <w:r>
        <w:rPr>
          <w:rFonts w:ascii="Arial" w:cs="Arial" w:eastAsia="Arial" w:hAnsi="Arial"/>
          <w:b/>
          <w:bCs/>
          <w:color w:val="1B3A6B"/>
          <w:sz w:val="22"/>
          <w:szCs w:val="22"/>
        </w:rPr>
        <w:t xml:space="preserve">Elemento (a) y (c) — Algoritmo DSS e Indice de Desviacion Simbolica</w:t>
      </w:r>
    </w:p>
    <w:p>
      <w:pPr>
        <w:spacing w:before="70" w:after="70"/>
      </w:pPr>
      <w:r>
        <w:rPr>
          <w:rFonts w:ascii="Arial" w:cs="Arial" w:eastAsia="Arial" w:hAnsi="Arial"/>
          <w:sz w:val="22"/>
          <w:szCs w:val="22"/>
        </w:rPr>
        <w:t xml:space="preserve">El Indice de Desviacion Simbolica Sistemica (DSS) es una funcion escalar en el rango [0-100] que cuantifica la divergencia entre el estado fisiologico actual de un individuo y su patron endocrino basal aprendido. Su creacion original implica:</w:t>
      </w:r>
    </w:p>
    <w:p>
      <w:pPr>
        <w:pStyle w:val="ListParagraph"/>
        <w:numPr>
          <w:ilvl w:val="0"/>
          <w:numId w:val="2"/>
        </w:numPr>
        <w:spacing w:before="35" w:after="35"/>
      </w:pPr>
      <w:r>
        <w:rPr>
          <w:rFonts w:ascii="Arial" w:cs="Arial" w:eastAsia="Arial" w:hAnsi="Arial"/>
          <w:sz w:val="22"/>
          <w:szCs w:val="22"/>
        </w:rPr>
        <w:t xml:space="preserve">La definicion de las variables de entrada del modelo Edge: ratio LF/HF de HRV, glucosa intersticial normalizada, GSR media, delta de temperatura periferica, frecuencia respiratoria, actividad IMU contextual, Indice de Carga Mineralocorticoide (ICM) y correccion pH-lactato.</w:t>
      </w:r>
    </w:p>
    <w:p>
      <w:pPr>
        <w:pStyle w:val="ListParagraph"/>
        <w:numPr>
          <w:ilvl w:val="0"/>
          <w:numId w:val="2"/>
        </w:numPr>
        <w:spacing w:before="35" w:after="35"/>
      </w:pPr>
      <w:r>
        <w:rPr>
          <w:rFonts w:ascii="Arial" w:cs="Arial" w:eastAsia="Arial" w:hAnsi="Arial"/>
          <w:sz w:val="22"/>
          <w:szCs w:val="22"/>
        </w:rPr>
        <w:t xml:space="preserve">El diseno de la arquitectura LSTM bidireccional de 2 capas de 64 unidades con capa de atencion temporal, configurada para series temporales multivariadas con asincronias de hasta 5 ordenes de magnitud en frecuencia de muestreo.</w:t>
      </w:r>
    </w:p>
    <w:p>
      <w:pPr>
        <w:pStyle w:val="ListParagraph"/>
        <w:numPr>
          <w:ilvl w:val="0"/>
          <w:numId w:val="2"/>
        </w:numPr>
        <w:spacing w:before="35" w:after="35"/>
      </w:pPr>
      <w:r>
        <w:rPr>
          <w:rFonts w:ascii="Arial" w:cs="Arial" w:eastAsia="Arial" w:hAnsi="Arial"/>
          <w:sz w:val="22"/>
          <w:szCs w:val="22"/>
        </w:rPr>
        <w:t xml:space="preserve">El proceso de cuantizacion INT8 para despliegue en el microcontrolador MAX78000 con criterio de aceptacion: AUROC no cae mas de 2.0 puntos respecto al modelo FLOAT32.</w:t>
      </w:r>
    </w:p>
    <w:p>
      <w:pPr>
        <w:pStyle w:val="ListParagraph"/>
        <w:numPr>
          <w:ilvl w:val="0"/>
          <w:numId w:val="2"/>
        </w:numPr>
        <w:spacing w:before="35" w:after="35"/>
      </w:pPr>
      <w:r>
        <w:rPr>
          <w:rFonts w:ascii="Arial" w:cs="Arial" w:eastAsia="Arial" w:hAnsi="Arial"/>
          <w:sz w:val="22"/>
          <w:szCs w:val="22"/>
        </w:rPr>
        <w:t xml:space="preserve">Los umbrales de alerta: DSS &gt; 76 sostenido por 6 horas (alerta preclínica, ajustado por incertidumbre metrologica de +/-4.5 puntos) y DSS &gt; 90 en ventana de 30 minutos (alerta urgente).</w:t>
      </w:r>
    </w:p>
    <w:p>
      <w:pPr>
        <w:pStyle w:val="ListParagraph"/>
        <w:numPr>
          <w:ilvl w:val="0"/>
          <w:numId w:val="2"/>
        </w:numPr>
        <w:spacing w:before="35" w:after="35"/>
      </w:pPr>
      <w:r>
        <w:rPr>
          <w:rFonts w:ascii="Arial" w:cs="Arial" w:eastAsia="Arial" w:hAnsi="Arial"/>
          <w:sz w:val="22"/>
          <w:szCs w:val="22"/>
        </w:rPr>
        <w:t xml:space="preserve">El sistema de ajuste dinamico del umbral por fase del ciclo menstrual (cuatro estados: folicula, ovulacion, lutea, menstruacion) con registro covariante en el modelo.</w:t>
      </w:r>
    </w:p>
    <w:p>
      <w:pPr>
        <w:pStyle w:val="ListParagraph"/>
        <w:numPr>
          <w:ilvl w:val="0"/>
          <w:numId w:val="2"/>
        </w:numPr>
        <w:spacing w:before="35" w:after="35"/>
      </w:pPr>
      <w:r>
        <w:rPr>
          <w:rFonts w:ascii="Arial" w:cs="Arial" w:eastAsia="Arial" w:hAnsi="Arial"/>
          <w:sz w:val="22"/>
          <w:szCs w:val="22"/>
        </w:rPr>
        <w:t xml:space="preserve">El Data Quality Index (DQI) como metrica de confiabilidad de la alerta, con penalizacion de 8 puntos por semana sin datos ionicos validos y umbral de 'alerta con datos insuficientes' cuando DQI &lt; 70%.</w:t>
      </w:r>
    </w:p>
    <w:p>
      <w:pPr>
        <w:spacing w:before="30" w:after="30"/>
      </w:pPr>
      <w:r>
        <w:rPr>
          <w:rFonts w:ascii="Arial" w:cs="Arial" w:eastAsia="Arial" w:hAnsi="Arial"/>
          <w:sz w:val="22"/>
          <w:szCs w:val="22"/>
        </w:rPr>
        <w:t xml:space="preserve"> </w:t>
      </w:r>
    </w:p>
    <w:p>
      <w:pPr>
        <w:pStyle w:val="Heading3"/>
        <w:spacing w:before="180" w:after="60"/>
      </w:pPr>
      <w:r>
        <w:rPr>
          <w:rFonts w:ascii="Arial" w:cs="Arial" w:eastAsia="Arial" w:hAnsi="Arial"/>
          <w:b/>
          <w:bCs/>
          <w:color w:val="1B3A6B"/>
          <w:sz w:val="22"/>
          <w:szCs w:val="22"/>
        </w:rPr>
        <w:t xml:space="preserve">Elemento (b) — Pipeline de fusion temporal heterocronico</w:t>
      </w:r>
    </w:p>
    <w:p>
      <w:pPr>
        <w:spacing w:before="70" w:after="70"/>
      </w:pPr>
      <w:r>
        <w:rPr>
          <w:rFonts w:ascii="Arial" w:cs="Arial" w:eastAsia="Arial" w:hAnsi="Arial"/>
          <w:sz w:val="22"/>
          <w:szCs w:val="22"/>
        </w:rPr>
        <w:t xml:space="preserve">Sus elementos originales incluyen:</w:t>
      </w:r>
    </w:p>
    <w:p>
      <w:pPr>
        <w:pStyle w:val="ListParagraph"/>
        <w:numPr>
          <w:ilvl w:val="0"/>
          <w:numId w:val="2"/>
        </w:numPr>
        <w:spacing w:before="35" w:after="35"/>
      </w:pPr>
      <w:r>
        <w:rPr>
          <w:rFonts w:ascii="Arial" w:cs="Arial" w:eastAsia="Arial" w:hAnsi="Arial"/>
          <w:sz w:val="22"/>
          <w:szCs w:val="22"/>
        </w:rPr>
        <w:t xml:space="preserve">Arquitectura de tres capas: (1) filtrado en nodo Edge, (2) fusion temporal en servidor, (3) inferencia TinyML Edge.</w:t>
      </w:r>
    </w:p>
    <w:p>
      <w:pPr>
        <w:pStyle w:val="ListParagraph"/>
        <w:numPr>
          <w:ilvl w:val="0"/>
          <w:numId w:val="2"/>
        </w:numPr>
        <w:spacing w:before="35" w:after="35"/>
      </w:pPr>
      <w:r>
        <w:rPr>
          <w:rFonts w:ascii="Arial" w:cs="Arial" w:eastAsia="Arial" w:hAnsi="Arial"/>
          <w:sz w:val="22"/>
          <w:szCs w:val="22"/>
        </w:rPr>
        <w:t xml:space="preserve">Interpolacion cubica tipo Hermite para la senal de glucosa intersticial, preservando la curvatura diagnosticamente relevante de los transitorios postprandiales.</w:t>
      </w:r>
    </w:p>
    <w:p>
      <w:pPr>
        <w:pStyle w:val="ListParagraph"/>
        <w:numPr>
          <w:ilvl w:val="0"/>
          <w:numId w:val="2"/>
        </w:numPr>
        <w:spacing w:before="35" w:after="35"/>
      </w:pPr>
      <w:r>
        <w:rPr>
          <w:rFonts w:ascii="Arial" w:cs="Arial" w:eastAsia="Arial" w:hAnsi="Arial"/>
          <w:sz w:val="22"/>
          <w:szCs w:val="22"/>
        </w:rPr>
        <w:t xml:space="preserve">Modelo de transferencia ISF-plasma de Basu et al. (2013) aplicado para compensar el retraso fisiologico dinamico del CGM antes del ingreso al tensor del modelo.</w:t>
      </w:r>
    </w:p>
    <w:p>
      <w:pPr>
        <w:pStyle w:val="ListParagraph"/>
        <w:numPr>
          <w:ilvl w:val="0"/>
          <w:numId w:val="2"/>
        </w:numPr>
        <w:spacing w:before="35" w:after="35"/>
      </w:pPr>
      <w:r>
        <w:rPr>
          <w:rFonts w:ascii="Arial" w:cs="Arial" w:eastAsia="Arial" w:hAnsi="Arial"/>
          <w:sz w:val="22"/>
          <w:szCs w:val="22"/>
        </w:rPr>
        <w:t xml:space="preserve">Tensor de entrada de [288 pasos temporales x 12 caracteristicas] como representacion canonica de una ventana de 24 horas con paso de 5 minutos.</w:t>
      </w:r>
    </w:p>
    <w:p>
      <w:pPr>
        <w:pStyle w:val="ListParagraph"/>
        <w:numPr>
          <w:ilvl w:val="0"/>
          <w:numId w:val="2"/>
        </w:numPr>
        <w:spacing w:before="35" w:after="35"/>
      </w:pPr>
      <w:r>
        <w:rPr>
          <w:rFonts w:ascii="Arial" w:cs="Arial" w:eastAsia="Arial" w:hAnsi="Arial"/>
          <w:sz w:val="22"/>
          <w:szCs w:val="22"/>
        </w:rPr>
        <w:t xml:space="preserve">Criterio de exclusion de ventanas invalidas: mas del 30% de datos faltantes genera notificacion de 'datos insuficientes'. Datos ionicos invalidan la ventana si la tasa de sudoracion es inferior a 20 nL/min/glandula.</w:t>
      </w:r>
    </w:p>
    <w:p>
      <w:pPr>
        <w:spacing w:before="30" w:after="30"/>
      </w:pPr>
      <w:r>
        <w:rPr>
          <w:rFonts w:ascii="Arial" w:cs="Arial" w:eastAsia="Arial" w:hAnsi="Arial"/>
          <w:sz w:val="22"/>
          <w:szCs w:val="22"/>
        </w:rPr>
        <w:t xml:space="preserve"> </w:t>
      </w:r>
    </w:p>
    <w:p>
      <w:pPr>
        <w:pStyle w:val="Heading3"/>
        <w:spacing w:before="180" w:after="60"/>
      </w:pPr>
      <w:r>
        <w:rPr>
          <w:rFonts w:ascii="Arial" w:cs="Arial" w:eastAsia="Arial" w:hAnsi="Arial"/>
          <w:b/>
          <w:bCs/>
          <w:color w:val="1B3A6B"/>
          <w:sz w:val="22"/>
          <w:szCs w:val="22"/>
        </w:rPr>
        <w:t xml:space="preserve">Elemento (d) — Arquitectura BAN con nodos rele digitales</w:t>
      </w:r>
    </w:p>
    <w:p>
      <w:pPr>
        <w:spacing w:before="70" w:after="70"/>
      </w:pPr>
      <w:r>
        <w:rPr>
          <w:rFonts w:ascii="Arial" w:cs="Arial" w:eastAsia="Arial" w:hAnsi="Arial"/>
          <w:sz w:val="22"/>
          <w:szCs w:val="22"/>
        </w:rPr>
        <w:t xml:space="preserve">Sus elementos originales son:</w:t>
      </w:r>
    </w:p>
    <w:p>
      <w:pPr>
        <w:pStyle w:val="ListParagraph"/>
        <w:numPr>
          <w:ilvl w:val="0"/>
          <w:numId w:val="2"/>
        </w:numPr>
        <w:spacing w:before="35" w:after="35"/>
      </w:pPr>
      <w:r>
        <w:rPr>
          <w:rFonts w:ascii="Arial" w:cs="Arial" w:eastAsia="Arial" w:hAnsi="Arial"/>
          <w:sz w:val="22"/>
          <w:szCs w:val="22"/>
        </w:rPr>
        <w:t xml:space="preserve">El concepto de 'Micro-Nodo Esclavo' textil (microcontrolador BLE de 2.5 x 2.5 mm) a pocos milimetros del dispositivo comercial para recepcion en distancia cero, que convierte la senal BLE a bus I2C/UART para transmision por hilos conductores textiles.</w:t>
      </w:r>
    </w:p>
    <w:p>
      <w:pPr>
        <w:pStyle w:val="ListParagraph"/>
        <w:numPr>
          <w:ilvl w:val="0"/>
          <w:numId w:val="2"/>
        </w:numPr>
        <w:spacing w:before="35" w:after="35"/>
      </w:pPr>
      <w:r>
        <w:rPr>
          <w:rFonts w:ascii="Arial" w:cs="Arial" w:eastAsia="Arial" w:hAnsi="Arial"/>
          <w:sz w:val="22"/>
          <w:szCs w:val="22"/>
        </w:rPr>
        <w:t xml:space="preserve">La especificacion de que los buses I2C/UART a frecuencias de hasta 400 kHz viajan sin perdida significativa sobre hilos conductores textiles sujetos a estiramiento mecanico y lavado, a diferencia de las senales RF a 2.4 GHz.</w:t>
      </w:r>
    </w:p>
    <w:p>
      <w:pPr>
        <w:pStyle w:val="ListParagraph"/>
        <w:numPr>
          <w:ilvl w:val="0"/>
          <w:numId w:val="2"/>
        </w:numPr>
        <w:spacing w:before="35" w:after="35"/>
      </w:pPr>
      <w:r>
        <w:rPr>
          <w:rFonts w:ascii="Arial" w:cs="Arial" w:eastAsia="Arial" w:hAnsi="Arial"/>
          <w:sz w:val="22"/>
          <w:szCs w:val="22"/>
        </w:rPr>
        <w:t xml:space="preserve">La arquitectura de hub central (nRF52840 + MAX78000) que recibe datos digitales limpios de los nodos esclavos via bus cableado, eliminando el problema de shadowing corporal.</w:t>
      </w:r>
    </w:p>
    <w:p>
      <w:pPr>
        <w:spacing w:before="30" w:after="30"/>
      </w:pPr>
      <w:r>
        <w:rPr>
          <w:rFonts w:ascii="Arial" w:cs="Arial" w:eastAsia="Arial" w:hAnsi="Arial"/>
          <w:sz w:val="22"/>
          <w:szCs w:val="22"/>
        </w:rPr>
        <w:t xml:space="preserve"> </w:t>
      </w:r>
    </w:p>
    <w:p>
      <w:pPr>
        <w:pStyle w:val="Heading3"/>
        <w:spacing w:before="180" w:after="60"/>
      </w:pPr>
      <w:r>
        <w:rPr>
          <w:rFonts w:ascii="Arial" w:cs="Arial" w:eastAsia="Arial" w:hAnsi="Arial"/>
          <w:b/>
          <w:bCs/>
          <w:color w:val="1B3A6B"/>
          <w:sz w:val="22"/>
          <w:szCs w:val="22"/>
        </w:rPr>
        <w:t xml:space="preserve">Elemento (h) — Pipeline de integracion del sensor ionico Epicore Discovery Patch</w:t>
      </w:r>
    </w:p>
    <w:p>
      <w:pPr>
        <w:spacing w:before="70" w:after="70"/>
      </w:pPr>
      <w:r>
        <w:rPr>
          <w:rFonts w:ascii="Arial" w:cs="Arial" w:eastAsia="Arial" w:hAnsi="Arial"/>
          <w:sz w:val="22"/>
          <w:szCs w:val="22"/>
        </w:rPr>
        <w:t xml:space="preserve">La creacion original que distingue este elemento es la metodologia de integracion de datos ionicos de sudor al modelo DSS, no el hardware del sensor en si mismo. Sus elementos originales son:</w:t>
      </w:r>
    </w:p>
    <w:p>
      <w:pPr>
        <w:pStyle w:val="ListParagraph"/>
        <w:numPr>
          <w:ilvl w:val="0"/>
          <w:numId w:val="2"/>
        </w:numPr>
        <w:spacing w:before="35" w:after="35"/>
      </w:pPr>
      <w:r>
        <w:rPr>
          <w:rFonts w:ascii="Arial" w:cs="Arial" w:eastAsia="Arial" w:hAnsi="Arial"/>
          <w:sz w:val="22"/>
          <w:szCs w:val="22"/>
        </w:rPr>
        <w:t xml:space="preserve">La metodologia de correccion dinamica del MARD del sensor de lactato K'Watch cuando el pH del sudor cae por debajo de 6.8: factor de corrección que eleva la confianza del dato de lactato de 0.40 a 0.62-0.68. Esta correccion es una creacion original no documentada en ninguna publicacion o producto comercial precedente.</w:t>
      </w:r>
    </w:p>
    <w:p>
      <w:pPr>
        <w:pStyle w:val="ListParagraph"/>
        <w:numPr>
          <w:ilvl w:val="0"/>
          <w:numId w:val="2"/>
        </w:numPr>
        <w:spacing w:before="35" w:after="35"/>
      </w:pPr>
      <w:r>
        <w:rPr>
          <w:rFonts w:ascii="Arial" w:cs="Arial" w:eastAsia="Arial" w:hAnsi="Arial"/>
          <w:sz w:val="22"/>
          <w:szCs w:val="22"/>
        </w:rPr>
        <w:t xml:space="preserve">La definicion del Indice de Carga Mineralocorticoide (ICM) como nueva feature del tensor DSS: ICM = f(Na+ en sudor, tasa de sudoracion). El ICM actua como proxy indirecto de la activacion del eje RAAS/aldosterona con un factor de confianza de 0.50.</w:t>
      </w:r>
    </w:p>
    <w:p>
      <w:pPr>
        <w:pStyle w:val="ListParagraph"/>
        <w:numPr>
          <w:ilvl w:val="0"/>
          <w:numId w:val="2"/>
        </w:numPr>
        <w:spacing w:before="35" w:after="35"/>
      </w:pPr>
      <w:r>
        <w:rPr>
          <w:rFonts w:ascii="Arial" w:cs="Arial" w:eastAsia="Arial" w:hAnsi="Arial"/>
          <w:sz w:val="22"/>
          <w:szCs w:val="22"/>
        </w:rPr>
        <w:t xml:space="preserve">La regla de validacion cruzada K+/HRV: si el K+ en sudor cae mas del 30% respecto a la media personal Y el ratio LF/HF de HRV sube mas del 20% en la misma ventana, el modelo DSS asigna un peso adicional de +5 puntos al score de activacion simpatica.</w:t>
      </w:r>
    </w:p>
    <w:p>
      <w:pPr>
        <w:pStyle w:val="ListParagraph"/>
        <w:numPr>
          <w:ilvl w:val="0"/>
          <w:numId w:val="2"/>
        </w:numPr>
        <w:spacing w:before="35" w:after="35"/>
      </w:pPr>
      <w:r>
        <w:rPr>
          <w:rFonts w:ascii="Arial" w:cs="Arial" w:eastAsia="Arial" w:hAnsi="Arial"/>
          <w:sz w:val="22"/>
          <w:szCs w:val="22"/>
        </w:rPr>
        <w:t xml:space="preserve">El umbral de invalidacion ionico: tasa de sudoracion minima de 20 nL/min/glandula como condicion de validez de los datos de Na+, K+, Cl- y pH. Por debajo de ese umbral los datos se marcan como invalidos independientemente de la lectura del sensor.</w:t>
      </w:r>
    </w:p>
    <w:p>
      <w:pPr>
        <w:pStyle w:val="ListParagraph"/>
        <w:numPr>
          <w:ilvl w:val="0"/>
          <w:numId w:val="2"/>
        </w:numPr>
        <w:spacing w:before="35" w:after="35"/>
      </w:pPr>
      <w:r>
        <w:rPr>
          <w:rFonts w:ascii="Arial" w:cs="Arial" w:eastAsia="Arial" w:hAnsi="Arial"/>
          <w:sz w:val="22"/>
          <w:szCs w:val="22"/>
        </w:rPr>
        <w:t xml:space="preserve">Los factores de confianza diferenciados: pH=0.85, Cl-=0.80, Na+=0.50, K+=0.40, calibrados a partir del MARD de validacion independiente (Na+=39%, K+=59%, pH CV&lt;5%, Cl- CV&lt;5%) reportado en la literatura de sensores ISE (Biosensors 2022).</w:t>
      </w:r>
    </w:p>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60" w:after="140"/>
      </w:pPr>
      <w:r>
        <w:rPr>
          <w:rFonts w:ascii="Arial" w:cs="Arial" w:eastAsia="Arial" w:hAnsi="Arial"/>
          <w:b/>
          <w:bCs/>
          <w:color w:val="1B3A6B"/>
          <w:sz w:val="32"/>
          <w:szCs w:val="32"/>
        </w:rPr>
        <w:t xml:space="preserve">3. DECLARACION DE ORIGINALIDAD Y ANTERIORIDAD</w:t>
      </w:r>
    </w:p>
    <w:p>
      <w:pPr>
        <w:pStyle w:val="Heading2"/>
        <w:spacing w:before="260" w:after="90"/>
      </w:pPr>
      <w:r>
        <w:rPr>
          <w:rFonts w:ascii="Arial" w:cs="Arial" w:eastAsia="Arial" w:hAnsi="Arial"/>
          <w:b/>
          <w:bCs/>
          <w:color w:val="0F6E56"/>
          <w:sz w:val="26"/>
          <w:szCs w:val="26"/>
        </w:rPr>
        <w:t xml:space="preserve">3.1 Declaracion de creacion independiente</w:t>
      </w:r>
    </w:p>
    <w:p>
      <w:pPr>
        <w:spacing w:before="70" w:after="70"/>
      </w:pPr>
      <w:r>
        <w:rPr>
          <w:rFonts w:ascii="Arial" w:cs="Arial" w:eastAsia="Arial" w:hAnsi="Arial"/>
          <w:sz w:val="22"/>
          <w:szCs w:val="22"/>
        </w:rPr>
        <w:t xml:space="preserve">Los titulares declarantes manifiestan bajo juramento que:</w:t>
      </w:r>
    </w:p>
    <w:p>
      <w:pPr>
        <w:pStyle w:val="ListParagraph"/>
        <w:numPr>
          <w:ilvl w:val="0"/>
          <w:numId w:val="3"/>
        </w:numPr>
        <w:spacing w:before="35" w:after="35"/>
      </w:pPr>
      <w:r>
        <w:rPr>
          <w:rFonts w:ascii="Arial" w:cs="Arial" w:eastAsia="Arial" w:hAnsi="Arial"/>
          <w:sz w:val="22"/>
          <w:szCs w:val="22"/>
        </w:rPr>
        <w:t xml:space="preserve">La totalidad de los elementos descritos en la Seccion 2 de este documento fueron creados de forma original e independiente por los declarantes, sin copia, adaptacion sustancial ni derivacion no autorizada de obras de terceros.</w:t>
      </w:r>
    </w:p>
    <w:p>
      <w:pPr>
        <w:pStyle w:val="ListParagraph"/>
        <w:numPr>
          <w:ilvl w:val="0"/>
          <w:numId w:val="3"/>
        </w:numPr>
        <w:spacing w:before="35" w:after="35"/>
      </w:pPr>
      <w:r>
        <w:rPr>
          <w:rFonts w:ascii="Arial" w:cs="Arial" w:eastAsia="Arial" w:hAnsi="Arial"/>
          <w:sz w:val="22"/>
          <w:szCs w:val="22"/>
        </w:rPr>
        <w:t xml:space="preserve">Los conceptos de 'Indice de Desviacion Simbolica Sistemica', 'Simbiosis Endocrina Celular', 'Nodo Rele Digital Textil', 'Indice de Carga Mineralocorticoide (ICM)', la metodologia de correccion pH-lactato, y la arquitectura especifica del pipeline de fusion heterocronico aqui descritos no existen, a su mejor leal saber y entender, en ninguna obra registrada, patente otorgada, publicacion academica ni producto comercial disponible a la fecha de este documento.</w:t>
      </w:r>
    </w:p>
    <w:p>
      <w:pPr>
        <w:pStyle w:val="ListParagraph"/>
        <w:numPr>
          <w:ilvl w:val="0"/>
          <w:numId w:val="3"/>
        </w:numPr>
        <w:spacing w:before="35" w:after="35"/>
      </w:pPr>
      <w:r>
        <w:rPr>
          <w:rFonts w:ascii="Arial" w:cs="Arial" w:eastAsia="Arial" w:hAnsi="Arial"/>
          <w:sz w:val="22"/>
          <w:szCs w:val="22"/>
        </w:rPr>
        <w:t xml:space="preserve">Los documentos que incorporan la obra en forma escrita (Protocolo Cientifico-Legal v1.0, Especificaciones Metrologicas DOC-EE-MET-001 v1.1 y los demas documentos listados en la Seccion 3.2) fueron redactados en marzo de 2026 y su contenido refleja fielmente el estado de la creacion a esa fecha.</w:t>
      </w:r>
    </w:p>
    <w:p>
      <w:pPr>
        <w:pStyle w:val="ListParagraph"/>
        <w:numPr>
          <w:ilvl w:val="0"/>
          <w:numId w:val="3"/>
        </w:numPr>
        <w:spacing w:before="35" w:after="35"/>
      </w:pPr>
      <w:r>
        <w:rPr>
          <w:rFonts w:ascii="Arial" w:cs="Arial" w:eastAsia="Arial" w:hAnsi="Arial"/>
          <w:sz w:val="22"/>
          <w:szCs w:val="22"/>
        </w:rPr>
        <w:t xml:space="preserve">Ninguno de los declarantes ha cedido, licenciado ni comprometido los derechos aqui declarados a ningun tercero con anterioridad a la presentacion de este documento.</w:t>
      </w:r>
    </w:p>
    <w:p>
      <w:pPr>
        <w:pStyle w:val="ListParagraph"/>
        <w:numPr>
          <w:ilvl w:val="0"/>
          <w:numId w:val="3"/>
        </w:numPr>
        <w:spacing w:before="35" w:after="35"/>
      </w:pPr>
      <w:r>
        <w:rPr>
          <w:rFonts w:ascii="Arial" w:cs="Arial" w:eastAsia="Arial" w:hAnsi="Arial"/>
          <w:sz w:val="22"/>
          <w:szCs w:val="22"/>
        </w:rPr>
        <w:t xml:space="preserve">La denominacion 'Endo-Edge' y las demas denominaciones listadas en el Elemento (g) y (h) de la Seccion 2 son originales y de uso exclusivo del proyecto.</w:t>
      </w:r>
    </w:p>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3.2 Hitos documentales de anterioridad</w:t>
      </w:r>
    </w:p>
    <w:p>
      <w:pPr>
        <w:spacing w:before="70" w:after="70"/>
      </w:pPr>
      <w:r>
        <w:rPr>
          <w:rFonts w:ascii="Arial" w:cs="Arial" w:eastAsia="Arial" w:hAnsi="Arial"/>
          <w:sz w:val="22"/>
          <w:szCs w:val="22"/>
        </w:rPr>
        <w:t xml:space="preserve">Los siguientes documentos acreditan la existencia y el desarrollo progresivo de la obra con anterioridad a cualquier convenio con terceros. Los hashes SHA-256 deben completarse en el Anexo A antes de la presentacion ante la DNDA.</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160"/>
        <w:gridCol w:w="2400"/>
      </w:tblGrid>
      <w:tr>
        <w:tc>
          <w:tcPr>
            <w:tcW w:type="dxa" w:w="12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Hito</w:t>
            </w:r>
          </w:p>
        </w:tc>
        <w:tc>
          <w:tcPr>
            <w:tcW w:type="dxa" w:w="3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Documento / Actividad</w:t>
            </w:r>
          </w:p>
        </w:tc>
        <w:tc>
          <w:tcPr>
            <w:tcW w:type="dxa" w:w="216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Fecha</w:t>
            </w:r>
          </w:p>
        </w:tc>
        <w:tc>
          <w:tcPr>
            <w:tcW w:type="dxa" w:w="24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Evidencia de anterioridad</w:t>
            </w:r>
          </w:p>
        </w:tc>
      </w:tr>
      <w:tr>
        <w:tc>
          <w:tcPr>
            <w:tcW w:type="dxa" w:w="12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H-01</w:t>
            </w:r>
          </w:p>
        </w:tc>
        <w:tc>
          <w:tcPr>
            <w:tcW w:type="dxa" w:w="3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Documento de ideacion inicial — Analisis_Inicial.docx</w:t>
            </w:r>
          </w:p>
        </w:tc>
        <w:tc>
          <w:tcPr>
            <w:tcW w:type="dxa" w:w="2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21 de Marzo de 2026</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Archivo digital con metadatos de creacion verificables. Hash SHA-256 en Anexo A.</w:t>
            </w:r>
          </w:p>
        </w:tc>
      </w:tr>
      <w:tr>
        <w:tc>
          <w:tcPr>
            <w:tcW w:type="dxa" w:w="12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H-02</w:t>
            </w:r>
          </w:p>
        </w:tc>
        <w:tc>
          <w:tcPr>
            <w:tcW w:type="dxa" w:w="3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Protocolo Cientifico-Legal Endo-Edge v1.0</w:t>
            </w:r>
          </w:p>
        </w:tc>
        <w:tc>
          <w:tcPr>
            <w:tcW w:type="dxa" w:w="2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Documento con metadatos de creacion. Hash SHA-256 en Anexo A.</w:t>
            </w:r>
          </w:p>
        </w:tc>
      </w:tr>
      <w:tr>
        <w:tc>
          <w:tcPr>
            <w:tcW w:type="dxa" w:w="12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H-03</w:t>
            </w:r>
          </w:p>
        </w:tc>
        <w:tc>
          <w:tcPr>
            <w:tcW w:type="dxa" w:w="3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Especificaciones de Precision Metrologica DOC-EE-MET-001 v1.1 (con Seccion 8 Epicore Discovery Patch)</w:t>
            </w:r>
          </w:p>
        </w:tc>
        <w:tc>
          <w:tcPr>
            <w:tcW w:type="dxa" w:w="2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Archivo digital con metadatos. Hash SHA-256 en Anexo A.</w:t>
            </w:r>
          </w:p>
        </w:tc>
      </w:tr>
      <w:tr>
        <w:tc>
          <w:tcPr>
            <w:tcW w:type="dxa" w:w="12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H-04</w:t>
            </w:r>
          </w:p>
        </w:tc>
        <w:tc>
          <w:tcPr>
            <w:tcW w:type="dxa" w:w="3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Nexo Cientifico — Brief y Carta de Invitacion para Co-Investigador Endocrinologo</w:t>
            </w:r>
          </w:p>
        </w:tc>
        <w:tc>
          <w:tcPr>
            <w:tcW w:type="dxa" w:w="2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Archivo digital con metadatos. Hash SHA-256 en Anexo A.</w:t>
            </w:r>
          </w:p>
        </w:tc>
      </w:tr>
      <w:tr>
        <w:tc>
          <w:tcPr>
            <w:tcW w:type="dxa" w:w="12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H-05</w:t>
            </w:r>
          </w:p>
        </w:tc>
        <w:tc>
          <w:tcPr>
            <w:tcW w:type="dxa" w:w="3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Propuesta de Roles y Honorarios para Co-Investigador Endocrinologo v1.0</w:t>
            </w:r>
          </w:p>
        </w:tc>
        <w:tc>
          <w:tcPr>
            <w:tcW w:type="dxa" w:w="2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Archivo digital con metadatos. Hash SHA-256 en Anexo A.</w:t>
            </w:r>
          </w:p>
        </w:tc>
      </w:tr>
      <w:tr>
        <w:tc>
          <w:tcPr>
            <w:tcW w:type="dxa" w:w="12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H-06</w:t>
            </w:r>
          </w:p>
        </w:tc>
        <w:tc>
          <w:tcPr>
            <w:tcW w:type="dxa" w:w="3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Evaluacion tecnica inicial del sistema — analisis de brechas (Analisis Inicial v2)</w:t>
            </w:r>
          </w:p>
        </w:tc>
        <w:tc>
          <w:tcPr>
            <w:tcW w:type="dxa" w:w="2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Archivo digital con metadatos. Hash SHA-256 en Anexo A.</w:t>
            </w:r>
          </w:p>
        </w:tc>
      </w:tr>
      <w:tr>
        <w:tc>
          <w:tcPr>
            <w:tcW w:type="dxa" w:w="12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H-07</w:t>
            </w:r>
          </w:p>
        </w:tc>
        <w:tc>
          <w:tcPr>
            <w:tcW w:type="dxa" w:w="3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Presente Declaracion PI-001 v1.2</w:t>
            </w:r>
          </w:p>
        </w:tc>
        <w:tc>
          <w:tcPr>
            <w:tcW w:type="dxa" w:w="2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Documento con fecha de presentacion ante DNDA como sello de anterioridad primaria.</w:t>
            </w:r>
          </w:p>
        </w:tc>
      </w:tr>
    </w:tbl>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3.3 Estrategia de documentacion de anterioridad — Hash SHA-256</w:t>
      </w:r>
    </w:p>
    <w:p>
      <w:pPr>
        <w:spacing w:before="70" w:after="70"/>
      </w:pPr>
      <w:r>
        <w:rPr>
          <w:rFonts w:ascii="Arial" w:cs="Arial" w:eastAsia="Arial" w:hAnsi="Arial"/>
          <w:sz w:val="22"/>
          <w:szCs w:val="22"/>
        </w:rPr>
        <w:t xml:space="preserve">Ademas del registro ante la DNDA, los titulares complementan la acreditacion de anterioridad mediante el calculo y registro del valor hash SHA-256 de cada documento de la obra. Este metodo criptografico produce una huella digital unica e irrepetible de cada archivo que permite demostrar que el contenido existia en su forma exacta en un momento determinado.</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0F6E56" w:sz="14"/>
              <w:bottom w:val="single" w:color="D3D1C7" w:sz="1"/>
              <w:right w:val="single" w:color="D3D1C7" w:sz="1"/>
            </w:tcBorders>
            <w:shd w:fill="E1F5EE" w:val="clear"/>
            <w:tcMar>
              <w:top w:type="dxa" w:w="130"/>
              <w:left w:type="dxa" w:w="180"/>
              <w:bottom w:type="dxa" w:w="130"/>
              <w:right w:type="dxa" w:w="180"/>
            </w:tcMar>
          </w:tcPr>
          <w:p>
            <w:pPr>
              <w:spacing w:before="0" w:after="0"/>
            </w:pPr>
            <w:r>
              <w:rPr>
                <w:rFonts w:ascii="Arial" w:cs="Arial" w:eastAsia="Arial" w:hAnsi="Arial"/>
                <w:b/>
                <w:bCs/>
                <w:color w:val="0F6E56"/>
                <w:sz w:val="22"/>
                <w:szCs w:val="22"/>
              </w:rPr>
              <w:t xml:space="preserve">Instrucciones para completar el Anexo A — Hash SHA-256: </w:t>
            </w:r>
            <w:r>
              <w:rPr>
                <w:rFonts w:ascii="Arial" w:cs="Arial" w:eastAsia="Arial" w:hAnsi="Arial"/>
                <w:sz w:val="22"/>
                <w:szCs w:val="22"/>
              </w:rPr>
              <w:t xml:space="preserve">Antes de presentar este documento ante la DNDA, el titular debe calcular el hash SHA-256 de cada archivo listado en los Hitos H-01 a H-07. En Windows: abrir PowerShell y ejecutar 'Get-FileHash [ruta_del_archivo] -Algorithm SHA256'. En Mac/Linux: ejecutar 'shasum -a 256 [ruta_del_archivo]'. El resultado (cadena de 64 caracteres hexadecimales) debe transcribirse en el Anexo A de este documento. Alternativamente, puede utilizarse un servicio de notarizacion blockchain (ej. Stamping.io o Blockcerts) para anclar el hash en la blockchain de Ethereum o Bitcoin, generando un certificado de existencia con timestamp inmutable.</w:t>
            </w:r>
          </w:p>
        </w:tc>
      </w:tr>
    </w:tbl>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60" w:after="140"/>
      </w:pPr>
      <w:r>
        <w:rPr>
          <w:rFonts w:ascii="Arial" w:cs="Arial" w:eastAsia="Arial" w:hAnsi="Arial"/>
          <w:b/>
          <w:bCs/>
          <w:color w:val="1B3A6B"/>
          <w:sz w:val="32"/>
          <w:szCs w:val="32"/>
        </w:rPr>
        <w:t xml:space="preserve">4. ALCANCE, LIMITACIONES Y OBRAS DE TERCEROS</w:t>
      </w:r>
    </w:p>
    <w:p>
      <w:pPr>
        <w:pStyle w:val="Heading2"/>
        <w:spacing w:before="260" w:after="90"/>
      </w:pPr>
      <w:r>
        <w:rPr>
          <w:rFonts w:ascii="Arial" w:cs="Arial" w:eastAsia="Arial" w:hAnsi="Arial"/>
          <w:b/>
          <w:bCs/>
          <w:color w:val="0F6E56"/>
          <w:sz w:val="26"/>
          <w:szCs w:val="26"/>
        </w:rPr>
        <w:t xml:space="preserve">4.1 Obras de terceros incorporadas — uso legitimo</w:t>
      </w:r>
    </w:p>
    <w:p>
      <w:pPr>
        <w:spacing w:before="70" w:after="70"/>
      </w:pPr>
      <w:r>
        <w:rPr>
          <w:rFonts w:ascii="Arial" w:cs="Arial" w:eastAsia="Arial" w:hAnsi="Arial"/>
          <w:sz w:val="22"/>
          <w:szCs w:val="22"/>
        </w:rPr>
        <w:t xml:space="preserve">La obra Endo-Edge incorpora, en su proceso de desarrollo, conocimiento previo y herramientas de terceros cuyo uso es legitimo bajo las licencias aplicables. Los titulares declaran expresamente que los siguientes elementos NO son objeto de titularidad en este documento:</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Elemento de terceros</w:t>
            </w:r>
          </w:p>
        </w:tc>
        <w:tc>
          <w:tcPr>
            <w:tcW w:type="dxa" w:w="2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Titular / Fuente</w:t>
            </w:r>
          </w:p>
        </w:tc>
        <w:tc>
          <w:tcPr>
            <w:tcW w:type="dxa" w:w="396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Modo de uso en Endo-Edge</w:t>
            </w:r>
          </w:p>
        </w:tc>
      </w:tr>
      <w:tr>
        <w:tc>
          <w:tcPr>
            <w:tcW w:type="dxa" w:w="2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Dexcom G7 — hardware y firmware</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Dexcom Inc.</w:t>
            </w:r>
          </w:p>
        </w:tc>
        <w:tc>
          <w:tcPr>
            <w:tcW w:type="dxa" w:w="39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Dispositivo comercial usado como sensor de datos de entrada. No se modifica ni distribuye. La integracion via Dexcom Partner API cumple los terminos de uso del fabricante.</w:t>
            </w:r>
          </w:p>
        </w:tc>
      </w:tr>
      <w:tr>
        <w:tc>
          <w:tcPr>
            <w:tcW w:type="dxa" w:w="2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Hexoskin ProShirt — hardware y SDK</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Hexoskin Inc.</w:t>
            </w:r>
          </w:p>
        </w:tc>
        <w:tc>
          <w:tcPr>
            <w:tcW w:type="dxa" w:w="39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Dispositivo comercial. El SDK se usa para extraccion de datos crudos conforme a los terminos de la licencia de investigacion.</w:t>
            </w:r>
          </w:p>
        </w:tc>
      </w:tr>
      <w:tr>
        <w:tc>
          <w:tcPr>
            <w:tcW w:type="dxa" w:w="2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Empatica EmbracePlus — hardware y SDK E4</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Empatica S.r.l.</w:t>
            </w:r>
          </w:p>
        </w:tc>
        <w:tc>
          <w:tcPr>
            <w:tcW w:type="dxa" w:w="39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Dispositivo comercial FDA-cleared. La integracion via SDK E4 es legitima para uso de investigacion.</w:t>
            </w:r>
          </w:p>
        </w:tc>
      </w:tr>
      <w:tr>
        <w:tc>
          <w:tcPr>
            <w:tcW w:type="dxa" w:w="2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Epicore Discovery Patch — hardware y microfluidica</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Epicore Biosystems Inc.</w:t>
            </w:r>
          </w:p>
        </w:tc>
        <w:tc>
          <w:tcPr>
            <w:tcW w:type="dxa" w:w="39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Dispositivo de investigacion (FDA exento, clase I). El hardware del parche microfluidico y los electrodos ISE son de Epicore. La metodologia de integracion al pipeline Endo-Edge, los factores de confianza por analito, el Indice de Carga Mineralocorticoide (ICM) y la logica de correccion pH-lactato son creacion original de los titulares declarantes (Elemento h, Seccion 2.2).</w:t>
            </w:r>
          </w:p>
        </w:tc>
      </w:tr>
      <w:tr>
        <w:tc>
          <w:tcPr>
            <w:tcW w:type="dxa" w:w="2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PKvitality K'Watch Athlete — hardware</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PKvitality S.A.</w:t>
            </w:r>
          </w:p>
        </w:tc>
        <w:tc>
          <w:tcPr>
            <w:tcW w:type="dxa" w:w="39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Dispositivo de investigacion. El hardware y principio de medicion son de PKvitality. La logica de correccion del error por pH es creacion original de los titulares (Elemento h).</w:t>
            </w:r>
          </w:p>
        </w:tc>
      </w:tr>
      <w:tr>
        <w:tc>
          <w:tcPr>
            <w:tcW w:type="dxa" w:w="2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Modelo ISF-plasma Basu et al. (2013)</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Basu R. et al., Diabetes 2013</w:t>
            </w:r>
          </w:p>
        </w:tc>
        <w:tc>
          <w:tcPr>
            <w:tcW w:type="dxa" w:w="39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Metodologia cientifica publicada, usada como tecnica de compensacion en el pipeline. Se cita apropiadamente en todas las publicaciones derivadas.</w:t>
            </w:r>
          </w:p>
        </w:tc>
      </w:tr>
      <w:tr>
        <w:tc>
          <w:tcPr>
            <w:tcW w:type="dxa" w:w="2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Frameworks TinyML / TensorFlow Lite</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Google LLC / Apache License 2.0</w:t>
            </w:r>
          </w:p>
        </w:tc>
        <w:tc>
          <w:tcPr>
            <w:tcW w:type="dxa" w:w="39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Framework de codigo abierto para cuantizacion INT8 del modelo. El modelo entrenado (pesos y arquitectura especifica) si son propiedad de los titulares.</w:t>
            </w:r>
          </w:p>
        </w:tc>
      </w:tr>
      <w:tr>
        <w:tc>
          <w:tcPr>
            <w:tcW w:type="dxa" w:w="2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MAX78000 — hardware y toolchain</w:t>
            </w:r>
          </w:p>
        </w:tc>
        <w:tc>
          <w:tcPr>
            <w:tcW w:type="dxa" w:w="2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Analog Devices Inc.</w:t>
            </w:r>
          </w:p>
        </w:tc>
        <w:tc>
          <w:tcPr>
            <w:tcW w:type="dxa" w:w="39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Hardware comercial. El uso del toolchain de inferencia es legitimo bajo licencia de desarrollo. La red neuronal desplegada en el chip es propiedad de los titulares.</w:t>
            </w:r>
          </w:p>
        </w:tc>
      </w:tr>
      <w:tr>
        <w:tc>
          <w:tcPr>
            <w:tcW w:type="dxa" w:w="2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Normas ISO 14155, ISO 13485, HL7 FHIR R4</w:t>
            </w:r>
          </w:p>
        </w:tc>
        <w:tc>
          <w:tcPr>
            <w:tcW w:type="dxa" w:w="2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ISO / HL7 International</w:t>
            </w:r>
          </w:p>
        </w:tc>
        <w:tc>
          <w:tcPr>
            <w:tcW w:type="dxa" w:w="39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Normas tecnicas de referencia. Su uso como marco regulatorio en el protocolo no implica reproduccion de contenido protegido.</w:t>
            </w:r>
          </w:p>
        </w:tc>
      </w:tr>
    </w:tbl>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4.2 Lo que este documento NO protege</w:t>
      </w:r>
    </w:p>
    <w:p>
      <w:pPr>
        <w:spacing w:before="70" w:after="70"/>
      </w:pPr>
      <w:r>
        <w:rPr>
          <w:rFonts w:ascii="Arial" w:cs="Arial" w:eastAsia="Arial" w:hAnsi="Arial"/>
          <w:sz w:val="22"/>
          <w:szCs w:val="22"/>
        </w:rPr>
        <w:t xml:space="preserve">Los titulares reconocen que el presente registro ante la DNDA otorga proteccion sobre la expresion original de las ideas, no sobre las ideas en si mismas (Art. 17 Acuerdo ADPIC). En consecuencia, este documento NO protege:</w:t>
      </w:r>
    </w:p>
    <w:p>
      <w:pPr>
        <w:pStyle w:val="ListParagraph"/>
        <w:numPr>
          <w:ilvl w:val="0"/>
          <w:numId w:val="2"/>
        </w:numPr>
        <w:spacing w:before="35" w:after="35"/>
      </w:pPr>
      <w:r>
        <w:rPr>
          <w:rFonts w:ascii="Arial" w:cs="Arial" w:eastAsia="Arial" w:hAnsi="Arial"/>
          <w:sz w:val="22"/>
          <w:szCs w:val="22"/>
        </w:rPr>
        <w:t xml:space="preserve">El concepto general de monitoreo continuo de glucosa (preexistente en el mercado desde 1999).</w:t>
      </w:r>
    </w:p>
    <w:p>
      <w:pPr>
        <w:pStyle w:val="ListParagraph"/>
        <w:numPr>
          <w:ilvl w:val="0"/>
          <w:numId w:val="2"/>
        </w:numPr>
        <w:spacing w:before="35" w:after="35"/>
      </w:pPr>
      <w:r>
        <w:rPr>
          <w:rFonts w:ascii="Arial" w:cs="Arial" w:eastAsia="Arial" w:hAnsi="Arial"/>
          <w:sz w:val="22"/>
          <w:szCs w:val="22"/>
        </w:rPr>
        <w:t xml:space="preserve">El concepto general de inteligencia artificial aplicada a datos de salud (dominio publico cientifico).</w:t>
      </w:r>
    </w:p>
    <w:p>
      <w:pPr>
        <w:pStyle w:val="ListParagraph"/>
        <w:numPr>
          <w:ilvl w:val="0"/>
          <w:numId w:val="2"/>
        </w:numPr>
        <w:spacing w:before="35" w:after="35"/>
      </w:pPr>
      <w:r>
        <w:rPr>
          <w:rFonts w:ascii="Arial" w:cs="Arial" w:eastAsia="Arial" w:hAnsi="Arial"/>
          <w:sz w:val="22"/>
          <w:szCs w:val="22"/>
        </w:rPr>
        <w:t xml:space="preserve">Los metodos estadisticos estandar utilizados (LSTM, AUROC, Bland-Altman, etc.).</w:t>
      </w:r>
    </w:p>
    <w:p>
      <w:pPr>
        <w:pStyle w:val="ListParagraph"/>
        <w:numPr>
          <w:ilvl w:val="0"/>
          <w:numId w:val="2"/>
        </w:numPr>
        <w:spacing w:before="35" w:after="35"/>
      </w:pPr>
      <w:r>
        <w:rPr>
          <w:rFonts w:ascii="Arial" w:cs="Arial" w:eastAsia="Arial" w:hAnsi="Arial"/>
          <w:sz w:val="22"/>
          <w:szCs w:val="22"/>
        </w:rPr>
        <w:t xml:space="preserve">El concepto general de sensores ionicos de sudor o electrodos selectivos de iones (ISE) como tecnologia generica.</w:t>
      </w:r>
    </w:p>
    <w:p>
      <w:pPr>
        <w:pStyle w:val="ListParagraph"/>
        <w:numPr>
          <w:ilvl w:val="0"/>
          <w:numId w:val="2"/>
        </w:numPr>
        <w:spacing w:before="35" w:after="35"/>
      </w:pPr>
      <w:r>
        <w:rPr>
          <w:rFonts w:ascii="Arial" w:cs="Arial" w:eastAsia="Arial" w:hAnsi="Arial"/>
          <w:sz w:val="22"/>
          <w:szCs w:val="22"/>
        </w:rPr>
        <w:t xml:space="preserve">Los valores de precision de los dispositivos comerciales citados en el Documento DOC-EE-MET-001 v1.1.</w:t>
      </w:r>
    </w:p>
    <w:p>
      <w:pPr>
        <w:pStyle w:val="ListParagraph"/>
        <w:numPr>
          <w:ilvl w:val="0"/>
          <w:numId w:val="2"/>
        </w:numPr>
        <w:spacing w:before="35" w:after="35"/>
      </w:pPr>
      <w:r>
        <w:rPr>
          <w:rFonts w:ascii="Arial" w:cs="Arial" w:eastAsia="Arial" w:hAnsi="Arial"/>
          <w:sz w:val="22"/>
          <w:szCs w:val="22"/>
        </w:rPr>
        <w:t xml:space="preserve">Las normas ISO y regulaciones gubernamentales referenciadas en el Protocolo.</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854F0B" w:sz="14"/>
              <w:bottom w:val="single" w:color="D3D1C7" w:sz="1"/>
              <w:right w:val="single" w:color="D3D1C7" w:sz="1"/>
            </w:tcBorders>
            <w:shd w:fill="FAEEDA" w:val="clear"/>
            <w:tcMar>
              <w:top w:type="dxa" w:w="130"/>
              <w:left w:type="dxa" w:w="180"/>
              <w:bottom w:type="dxa" w:w="130"/>
              <w:right w:type="dxa" w:w="180"/>
            </w:tcMar>
          </w:tcPr>
          <w:p>
            <w:pPr>
              <w:spacing w:before="0" w:after="0"/>
            </w:pPr>
            <w:r>
              <w:rPr>
                <w:rFonts w:ascii="Arial" w:cs="Arial" w:eastAsia="Arial" w:hAnsi="Arial"/>
                <w:b/>
                <w:bCs/>
                <w:color w:val="854F0B"/>
                <w:sz w:val="22"/>
                <w:szCs w:val="22"/>
              </w:rPr>
              <w:t xml:space="preserve">Recomendacion sobre patentes: </w:t>
            </w:r>
            <w:r>
              <w:rPr>
                <w:rFonts w:ascii="Arial" w:cs="Arial" w:eastAsia="Arial" w:hAnsi="Arial"/>
                <w:sz w:val="22"/>
                <w:szCs w:val="22"/>
              </w:rPr>
              <w:t xml:space="preserve">La proteccion mas robusta para los algoritmos originales del sistema Endo-Edge — incluyendo el Elemento (h) de integracion ionic — es la patente de invencion. Se recomienda iniciar el tramite de solicitud de patente ante el INPI (Instituto Nacional de la Propiedad Industrial) en forma paralela al presente registro, antes de la primera publicacion cientifica (ya que la publicacion destruye la novedad para efectos de patente). Esta declaracion ante DNDA no reemplaza ni equivale a una patente.</w:t>
            </w:r>
          </w:p>
        </w:tc>
      </w:tr>
    </w:tbl>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60" w:after="140"/>
      </w:pPr>
      <w:r>
        <w:rPr>
          <w:rFonts w:ascii="Arial" w:cs="Arial" w:eastAsia="Arial" w:hAnsi="Arial"/>
          <w:b/>
          <w:bCs/>
          <w:color w:val="1B3A6B"/>
          <w:sz w:val="32"/>
          <w:szCs w:val="32"/>
        </w:rPr>
        <w:t xml:space="preserve">5. CLAUSULA DE INTANGIBILIDAD DE LA PI FRENTE A TERCEROS</w:t>
      </w:r>
    </w:p>
    <w:p>
      <w:pPr>
        <w:spacing w:before="70" w:after="70"/>
      </w:pPr>
      <w:r>
        <w:rPr>
          <w:rFonts w:ascii="Arial" w:cs="Arial" w:eastAsia="Arial" w:hAnsi="Arial"/>
          <w:sz w:val="22"/>
          <w:szCs w:val="22"/>
        </w:rPr>
        <w:t xml:space="preserve">Los titulares declaran e instruyen por el presente documento que cualquier convenio, acuerdo, contrato o instrumento juridico que se celebre en el futuro con universidades nacionales, institutos de investigacion publicos, laboratorios privados, financiadores u otras personas fisicas o juridicas, debera respetar sin excepcion los siguientes principios:</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D3D1C7" w:sz="1"/>
              <w:left w:val="single" w:color="D3D1C7" w:sz="1"/>
              <w:bottom w:val="single" w:color="D3D1C7" w:sz="1"/>
              <w:right w:val="single" w:color="D3D1C7" w:sz="1"/>
            </w:tcBorders>
            <w:shd w:fill="A32D2D"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
            </w:r>
          </w:p>
        </w:tc>
        <w:tc>
          <w:tcPr>
            <w:tcW w:type="dxa" w:w="2400"/>
            <w:tcBorders>
              <w:top w:val="single" w:color="D3D1C7" w:sz="1"/>
              <w:left w:val="single" w:color="D3D1C7" w:sz="1"/>
              <w:bottom w:val="single" w:color="D3D1C7" w:sz="1"/>
              <w:right w:val="single" w:color="D3D1C7" w:sz="1"/>
            </w:tcBorders>
            <w:shd w:fill="A32D2D"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Principio</w:t>
            </w:r>
          </w:p>
        </w:tc>
        <w:tc>
          <w:tcPr>
            <w:tcW w:type="dxa" w:w="6360"/>
            <w:tcBorders>
              <w:top w:val="single" w:color="D3D1C7" w:sz="1"/>
              <w:left w:val="single" w:color="D3D1C7" w:sz="1"/>
              <w:bottom w:val="single" w:color="D3D1C7" w:sz="1"/>
              <w:right w:val="single" w:color="D3D1C7" w:sz="1"/>
            </w:tcBorders>
            <w:shd w:fill="A32D2D"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Alcance y fundamento</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I</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No cesion de titularidad</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Ningun convenio de financiamiento, colaboracion o prestacion de servicios puede transferir la titularidad de los algoritmos, la arquitectura del pipeline, el indice DSS, el ICM ni la metodologia del sistema Endo-Edge a un tercero. Solo se otorgan licencias de uso. Fundamento: Art. 53 Ley 11.723.</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II</w:t>
            </w:r>
          </w:p>
        </w:tc>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Licencias no exclusivas para financiadores publicos</w:t>
            </w:r>
          </w:p>
        </w:tc>
        <w:tc>
          <w:tcPr>
            <w:tcW w:type="dxa" w:w="63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Los convenios con universidades nacionales e institutos publicos podran incluir licencias de uso academico no exclusivas y sin cargo. Bajo ningun concepto podran incluir exclusividad, royalties a favor de la institucion, ni derechos de sub-licencia. Fundamento: Modelo CONICET Res. 1198/12.</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III</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Opcion comercial acotada para financiadores privados</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Los convenios con laboratorios privados (medtech, farmaceuticos) podran incluir una opcion de primera negociacion para licencia comercial, con plazo maximo de 12 meses desde la firma. Vencido ese plazo sin acuerdo, la opcion caduca automaticamente. No se otorgaran licencias exclusivas del sistema completo.</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IV</w:t>
            </w:r>
          </w:p>
        </w:tc>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Libertad de publicacion irrestricta</w:t>
            </w:r>
          </w:p>
        </w:tc>
        <w:tc>
          <w:tcPr>
            <w:tcW w:type="dxa" w:w="63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Ningun convenio puede establecer restricciones al derecho de los titulares de publicar los resultados cientificos del estudio en revistas academicas indexadas, con el unico limite razonable de un periodo de revision previa de 30 dias calendarios antes del submission para proteccion de secreto industrial (no para censura de resultados).</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V</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Neutralidad entre financiadores</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Ningun convenio puede otorgar a un financiador el derecho de veto sobre la incorporacion de otros financiadores, ni clausulas de exclusividad que impidan al proyecto recibir fondos de multiples fuentes simultaneas.</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VI</w:t>
            </w:r>
          </w:p>
        </w:tc>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Proteccion de datos de participantes</w:t>
            </w:r>
          </w:p>
        </w:tc>
        <w:tc>
          <w:tcPr>
            <w:tcW w:type="dxa" w:w="63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Ningun convenio puede otorgar a un tercero acceso a datos biometricos individuales identificables de los participantes del estudio. Solo se otorga acceso al dataset anonimizado conforme al protocolo CEI aprobado y bajo los terminos de la Ley 25.326 y el RGPD donde aplique.</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VII</w:t>
            </w:r>
          </w:p>
        </w:tc>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Innovacion preexistente</w:t>
            </w:r>
          </w:p>
        </w:tc>
        <w:tc>
          <w:tcPr>
            <w:tcW w:type="dxa" w:w="63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Todos los elementos descritos en la Seccion 2 de este documento (a) a (h) son considerados innovacion preexistente para todos los efectos legales. Ningun convenio con una institucion universitaria o publica podra reclamar co-titularidad sobre la innovacion preexistente declarada en este instrumento.</w:t>
            </w:r>
          </w:p>
        </w:tc>
      </w:tr>
    </w:tbl>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60" w:after="140"/>
      </w:pPr>
      <w:r>
        <w:rPr>
          <w:rFonts w:ascii="Arial" w:cs="Arial" w:eastAsia="Arial" w:hAnsi="Arial"/>
          <w:b/>
          <w:bCs/>
          <w:color w:val="1B3A6B"/>
          <w:sz w:val="32"/>
          <w:szCs w:val="32"/>
        </w:rPr>
        <w:t xml:space="preserve">6. INSTRUCCIONES PARA LA PRESENTACION ANTE LA DNDA</w:t>
      </w:r>
    </w:p>
    <w:p>
      <w:pPr>
        <w:pStyle w:val="Heading2"/>
        <w:spacing w:before="260" w:after="90"/>
      </w:pPr>
      <w:r>
        <w:rPr>
          <w:rFonts w:ascii="Arial" w:cs="Arial" w:eastAsia="Arial" w:hAnsi="Arial"/>
          <w:b/>
          <w:bCs/>
          <w:color w:val="0F6E56"/>
          <w:sz w:val="26"/>
          <w:szCs w:val="26"/>
        </w:rPr>
        <w:t xml:space="preserve">6.1 Modalidad de presentacion recomendada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Paso</w:t>
            </w:r>
          </w:p>
        </w:tc>
        <w:tc>
          <w:tcPr>
            <w:tcW w:type="dxa" w:w="28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Accion</w:t>
            </w:r>
          </w:p>
        </w:tc>
        <w:tc>
          <w:tcPr>
            <w:tcW w:type="dxa" w:w="596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Detalle practico</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1</w:t>
            </w:r>
          </w:p>
        </w:tc>
        <w:tc>
          <w:tcPr>
            <w:tcW w:type="dxa" w:w="2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Registro online previo</w:t>
            </w:r>
          </w:p>
        </w:tc>
        <w:tc>
          <w:tcPr>
            <w:tcW w:type="dxa" w:w="59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Ingresar a https://www.argentina.gob.ar/justicia/dnda. Crear usuario institucional. Seleccionar tramite: 'Obra inedita — Deposito previo a publicacion'. Tipo de obra: 'Software / Programa de computacion' para los algoritmos; 'Obra literaria cientifica' para el Protocolo y el Documento Metrologico.</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2</w:t>
            </w:r>
          </w:p>
        </w:tc>
        <w:tc>
          <w:tcPr>
            <w:tcW w:type="dxa" w:w="2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Documentos a depositar</w:t>
            </w:r>
          </w:p>
        </w:tc>
        <w:tc>
          <w:tcPr>
            <w:tcW w:type="dxa" w:w="59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(1) Este documento PI-001 v1.2 firmado. (2) Protocolo Cientifico-Legal v1.0. (3) DOC-EE-MET-001 v1.1. (4) Analisis_Inicial.docx. (5) Nexo Endocrinologo. (6) Propuesta de Roles y Honorarios. (7) Anexo A con hashes SHA-256. (8) Formulario de deposito de obra inedita completado. (9) Copia del DNI del titular principal.</w:t>
            </w:r>
          </w:p>
        </w:tc>
      </w:tr>
      <w:tr>
        <w:tc>
          <w:tcPr>
            <w:tcW w:type="dxa" w:w="6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3</w:t>
            </w:r>
          </w:p>
        </w:tc>
        <w:tc>
          <w:tcPr>
            <w:tcW w:type="dxa" w:w="2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Descripcion de la obra para el formulario DNDA</w:t>
            </w:r>
          </w:p>
        </w:tc>
        <w:tc>
          <w:tcPr>
            <w:tcW w:type="dxa" w:w="59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En el campo descripcion: 'Sistema de software para analisis de datos biometricos continuos y datos ionicos de sudor mediante redes neuronales de memoria a largo plazo (LSTM), incluyendo algoritmos de fusion de series temporales heterocroniticas, un indice escalar de desviacion fisiologica (DSS) y un indice de carga mineralocorticoide (ICM) derivado de sensores ionicos. Aplicacion en biomedicina preventiva.' Tipo de soporte: Digital.</w:t>
            </w:r>
          </w:p>
        </w:tc>
      </w:tr>
      <w:tr>
        <w:tc>
          <w:tcPr>
            <w:tcW w:type="dxa" w:w="6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4</w:t>
            </w:r>
          </w:p>
        </w:tc>
        <w:tc>
          <w:tcPr>
            <w:tcW w:type="dxa" w:w="2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Tramite simultaneo en INPI</w:t>
            </w:r>
          </w:p>
        </w:tc>
        <w:tc>
          <w:tcPr>
            <w:tcW w:type="dxa" w:w="59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En paralelo, iniciar la consulta de antecedentes de patente en el INPI para los algoritmos DSS, el ICM y la metodologia de correccion pH-lactato. Si no existen antecedentes que destruyan la novedad, presentar solicitud de patente de invencion antes de la primera publicacion cientifica del estudio.</w:t>
            </w:r>
          </w:p>
        </w:tc>
      </w:tr>
    </w:tbl>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6.2 Jurisdiccion y ley aplicable</w:t>
      </w:r>
    </w:p>
    <w:p>
      <w:pPr>
        <w:spacing w:before="70" w:after="70"/>
      </w:pPr>
      <w:r>
        <w:rPr>
          <w:rFonts w:ascii="Arial" w:cs="Arial" w:eastAsia="Arial" w:hAnsi="Arial"/>
          <w:sz w:val="22"/>
          <w:szCs w:val="22"/>
        </w:rPr>
        <w:t xml:space="preserve">El presente documento se rige por la legislacion de la Republica Argentina. Ante cualquier conflicto derivado de la titularidad declarada, las partes se someten a la jurisdiccion ordinaria de los Tribunales Federales de la Ciudad Autonoma de Buenos Aires, con renuncia expresa a cualquier otro fuero o jurisdiccion que pudiera corresponder.</w:t>
      </w:r>
    </w:p>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60" w:after="140"/>
      </w:pPr>
      <w:r>
        <w:rPr>
          <w:rFonts w:ascii="Arial" w:cs="Arial" w:eastAsia="Arial" w:hAnsi="Arial"/>
          <w:b/>
          <w:bCs/>
          <w:color w:val="1B3A6B"/>
          <w:sz w:val="32"/>
          <w:szCs w:val="32"/>
        </w:rPr>
        <w:t xml:space="preserve">7. DECLARACION JURADA Y FIRMAS</w:t>
      </w:r>
    </w:p>
    <w:p>
      <w:pPr>
        <w:spacing w:before="70" w:after="70"/>
      </w:pPr>
      <w:r>
        <w:rPr>
          <w:rFonts w:ascii="Arial" w:cs="Arial" w:eastAsia="Arial" w:hAnsi="Arial"/>
          <w:sz w:val="22"/>
          <w:szCs w:val="22"/>
        </w:rPr>
        <w:t xml:space="preserve">Los abajo firmantes, en su caracter de titulares y creadores de la obra descripta en el presente instrumento, DECLARAN BAJO JURAMENTO que:</w:t>
      </w:r>
    </w:p>
    <w:p>
      <w:pPr>
        <w:spacing w:before="30" w:after="30"/>
      </w:pPr>
      <w:r>
        <w:rPr>
          <w:rFonts w:ascii="Arial" w:cs="Arial" w:eastAsia="Arial" w:hAnsi="Arial"/>
          <w:sz w:val="22"/>
          <w:szCs w:val="22"/>
        </w:rPr>
        <w:t xml:space="preserve"> </w:t>
      </w:r>
    </w:p>
    <w:p>
      <w:pPr>
        <w:pStyle w:val="ListParagraph"/>
        <w:numPr>
          <w:ilvl w:val="0"/>
          <w:numId w:val="3"/>
        </w:numPr>
        <w:spacing w:before="35" w:after="35"/>
      </w:pPr>
      <w:r>
        <w:rPr>
          <w:rFonts w:ascii="Arial" w:cs="Arial" w:eastAsia="Arial" w:hAnsi="Arial"/>
          <w:sz w:val="22"/>
          <w:szCs w:val="22"/>
        </w:rPr>
        <w:t xml:space="preserve">Todo lo manifestado en este documento es verdadero y completo a su mejor leal saber y entender.</w:t>
      </w:r>
    </w:p>
    <w:p>
      <w:pPr>
        <w:pStyle w:val="ListParagraph"/>
        <w:numPr>
          <w:ilvl w:val="0"/>
          <w:numId w:val="3"/>
        </w:numPr>
        <w:spacing w:before="35" w:after="35"/>
      </w:pPr>
      <w:r>
        <w:rPr>
          <w:rFonts w:ascii="Arial" w:cs="Arial" w:eastAsia="Arial" w:hAnsi="Arial"/>
          <w:sz w:val="22"/>
          <w:szCs w:val="22"/>
        </w:rPr>
        <w:t xml:space="preserve">Son los unicos creadores originales y titulares de los derechos declarados sobre la obra Endo-Edge, en las proporciones indicadas en la Seccion 1.</w:t>
      </w:r>
    </w:p>
    <w:p>
      <w:pPr>
        <w:pStyle w:val="ListParagraph"/>
        <w:numPr>
          <w:ilvl w:val="0"/>
          <w:numId w:val="3"/>
        </w:numPr>
        <w:spacing w:before="35" w:after="35"/>
      </w:pPr>
      <w:r>
        <w:rPr>
          <w:rFonts w:ascii="Arial" w:cs="Arial" w:eastAsia="Arial" w:hAnsi="Arial"/>
          <w:sz w:val="22"/>
          <w:szCs w:val="22"/>
        </w:rPr>
        <w:t xml:space="preserve">No han cedido, gravado, prometido en venta, licenciado en forma exclusiva ni comprometido de ninguna manera los derechos aqui declarados a ninguna persona fisica o juridica con anterioridad a la firma del presente.</w:t>
      </w:r>
    </w:p>
    <w:p>
      <w:pPr>
        <w:pStyle w:val="ListParagraph"/>
        <w:numPr>
          <w:ilvl w:val="0"/>
          <w:numId w:val="3"/>
        </w:numPr>
        <w:spacing w:before="35" w:after="35"/>
      </w:pPr>
      <w:r>
        <w:rPr>
          <w:rFonts w:ascii="Arial" w:cs="Arial" w:eastAsia="Arial" w:hAnsi="Arial"/>
          <w:sz w:val="22"/>
          <w:szCs w:val="22"/>
        </w:rPr>
        <w:t xml:space="preserve">Conocen las penalidades del articulo 172 del Codigo Penal de la Nacion Argentina por falsedad en declaracion jurada.</w:t>
      </w:r>
    </w:p>
    <w:p>
      <w:pPr>
        <w:pStyle w:val="ListParagraph"/>
        <w:numPr>
          <w:ilvl w:val="0"/>
          <w:numId w:val="3"/>
        </w:numPr>
        <w:spacing w:before="35" w:after="35"/>
      </w:pPr>
      <w:r>
        <w:rPr>
          <w:rFonts w:ascii="Arial" w:cs="Arial" w:eastAsia="Arial" w:hAnsi="Arial"/>
          <w:sz w:val="22"/>
          <w:szCs w:val="22"/>
        </w:rPr>
        <w:t xml:space="preserve">Autorizan a la Direccion Nacional del Derecho de Autor a registrar la obra bajo los datos declarados.</w:t>
      </w:r>
    </w:p>
    <w:p>
      <w:pPr>
        <w:spacing w:before="30" w:after="30"/>
      </w:pPr>
      <w:r>
        <w:rPr>
          <w:rFonts w:ascii="Arial" w:cs="Arial" w:eastAsia="Arial" w:hAnsi="Arial"/>
          <w:sz w:val="22"/>
          <w:szCs w:val="22"/>
        </w:rPr>
        <w:t xml:space="preserve"> </w:t>
      </w:r>
    </w:p>
    <w:p>
      <w:pPr>
        <w:spacing w:before="70" w:after="70"/>
      </w:pPr>
      <w:r>
        <w:rPr>
          <w:rFonts w:ascii="Arial" w:cs="Arial" w:eastAsia="Arial" w:hAnsi="Arial"/>
          <w:sz w:val="22"/>
          <w:szCs w:val="22"/>
        </w:rPr>
        <w:t xml:space="preserve">En la Ciudad Autonoma de Buenos Aires, a los _______ dias del mes de Marzo del ano dos mil veintiseis (2026).</w:t>
      </w:r>
    </w:p>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3D1C7" w:sz="1"/>
              <w:left w:val="single" w:color="D3D1C7" w:sz="1"/>
              <w:bottom w:val="single" w:color="D3D1C7" w:sz="1"/>
              <w:right w:val="single" w:color="D3D1C7" w:sz="1"/>
            </w:tcBorders>
            <w:tcMar>
              <w:top w:type="dxa" w:w="120"/>
              <w:left w:type="dxa" w:w="140"/>
              <w:bottom w:type="dxa" w:w="140"/>
              <w:right w:type="dxa" w:w="140"/>
            </w:tcMar>
          </w:tcPr>
          <w:p>
            <w:pPr>
              <w:spacing w:before="0" w:after="300"/>
            </w:pPr>
            <w:r>
              <w:rPr>
                <w:rFonts w:ascii="Arial" w:cs="Arial" w:eastAsia="Arial" w:hAnsi="Arial"/>
                <w:b/>
                <w:bCs/>
                <w:color w:val="1B3A6B"/>
                <w:sz w:val="20"/>
                <w:szCs w:val="20"/>
              </w:rPr>
              <w:t xml:space="preserve">Titular Principal — Investigador Principal</w:t>
            </w:r>
          </w:p>
          <w:p>
            <w:pPr>
              <w:spacing w:before="0" w:after="45"/>
            </w:pPr>
            <w:r>
              <w:rPr>
                <w:rFonts w:ascii="Arial" w:cs="Arial" w:eastAsia="Arial" w:hAnsi="Arial"/>
                <w:sz w:val="20"/>
                <w:szCs w:val="20"/>
              </w:rPr>
              <w:t xml:space="preserve"> </w:t>
            </w:r>
          </w:p>
          <w:p>
            <w:pPr>
              <w:spacing w:before="0" w:after="45"/>
            </w:pPr>
            <w:r>
              <w:rPr>
                <w:rFonts w:ascii="Arial" w:cs="Arial" w:eastAsia="Arial" w:hAnsi="Arial"/>
                <w:sz w:val="20"/>
                <w:szCs w:val="20"/>
              </w:rPr>
              <w:t xml:space="preserve">Firma: ________________________________</w:t>
            </w:r>
          </w:p>
          <w:p>
            <w:pPr>
              <w:spacing w:before="0" w:after="45"/>
            </w:pPr>
            <w:r>
              <w:rPr>
                <w:rFonts w:ascii="Arial" w:cs="Arial" w:eastAsia="Arial" w:hAnsi="Arial"/>
                <w:sz w:val="20"/>
                <w:szCs w:val="20"/>
              </w:rPr>
              <w:t xml:space="preserve">Aclaracion: ____________________________</w:t>
            </w:r>
          </w:p>
          <w:p>
            <w:pPr>
              <w:spacing w:before="0" w:after="45"/>
            </w:pPr>
            <w:r>
              <w:rPr>
                <w:rFonts w:ascii="Arial" w:cs="Arial" w:eastAsia="Arial" w:hAnsi="Arial"/>
                <w:sz w:val="20"/>
                <w:szCs w:val="20"/>
              </w:rPr>
              <w:t xml:space="preserve">DNI: 27.043.243</w:t>
            </w:r>
          </w:p>
          <w:p>
            <w:pPr>
              <w:spacing w:before="0" w:after="45"/>
            </w:pPr>
            <w:r>
              <w:rPr>
                <w:rFonts w:ascii="Arial" w:cs="Arial" w:eastAsia="Arial" w:hAnsi="Arial"/>
                <w:sz w:val="20"/>
                <w:szCs w:val="20"/>
              </w:rPr>
              <w:t xml:space="preserve">Fecha: _________________________________</w:t>
            </w:r>
          </w:p>
        </w:tc>
        <w:tc>
          <w:tcPr>
            <w:tcW w:type="dxa" w:w="4680"/>
            <w:tcBorders>
              <w:top w:val="single" w:color="D3D1C7" w:sz="1"/>
              <w:left w:val="single" w:color="D3D1C7" w:sz="1"/>
              <w:bottom w:val="single" w:color="D3D1C7" w:sz="1"/>
              <w:right w:val="single" w:color="D3D1C7" w:sz="1"/>
            </w:tcBorders>
            <w:tcMar>
              <w:top w:type="dxa" w:w="120"/>
              <w:left w:type="dxa" w:w="140"/>
              <w:bottom w:type="dxa" w:w="140"/>
              <w:right w:type="dxa" w:w="140"/>
            </w:tcMar>
          </w:tcPr>
          <w:p>
            <w:pPr>
              <w:spacing w:before="0" w:after="300"/>
            </w:pPr>
            <w:r>
              <w:rPr>
                <w:rFonts w:ascii="Arial" w:cs="Arial" w:eastAsia="Arial" w:hAnsi="Arial"/>
                <w:b/>
                <w:bCs/>
                <w:color w:val="1B3A6B"/>
                <w:sz w:val="20"/>
                <w:szCs w:val="20"/>
              </w:rPr>
              <w:t xml:space="preserve">Co-titular (si corresponde)</w:t>
            </w:r>
          </w:p>
          <w:p>
            <w:pPr>
              <w:spacing w:before="0" w:after="45"/>
            </w:pPr>
            <w:r>
              <w:rPr>
                <w:rFonts w:ascii="Arial" w:cs="Arial" w:eastAsia="Arial" w:hAnsi="Arial"/>
                <w:sz w:val="20"/>
                <w:szCs w:val="20"/>
              </w:rPr>
              <w:t xml:space="preserve"> </w:t>
            </w:r>
          </w:p>
          <w:p>
            <w:pPr>
              <w:spacing w:before="0" w:after="45"/>
            </w:pPr>
            <w:r>
              <w:rPr>
                <w:rFonts w:ascii="Arial" w:cs="Arial" w:eastAsia="Arial" w:hAnsi="Arial"/>
                <w:sz w:val="20"/>
                <w:szCs w:val="20"/>
              </w:rPr>
              <w:t xml:space="preserve">Firma: ________________________________</w:t>
            </w:r>
          </w:p>
          <w:p>
            <w:pPr>
              <w:spacing w:before="0" w:after="45"/>
            </w:pPr>
            <w:r>
              <w:rPr>
                <w:rFonts w:ascii="Arial" w:cs="Arial" w:eastAsia="Arial" w:hAnsi="Arial"/>
                <w:sz w:val="20"/>
                <w:szCs w:val="20"/>
              </w:rPr>
              <w:t xml:space="preserve">Aclaracion: ____________________________</w:t>
            </w:r>
          </w:p>
          <w:p>
            <w:pPr>
              <w:spacing w:before="0" w:after="45"/>
            </w:pPr>
            <w:r>
              <w:rPr>
                <w:rFonts w:ascii="Arial" w:cs="Arial" w:eastAsia="Arial" w:hAnsi="Arial"/>
                <w:sz w:val="20"/>
                <w:szCs w:val="20"/>
              </w:rPr>
              <w:t xml:space="preserve">DNI: 27.043.243</w:t>
            </w:r>
          </w:p>
          <w:p>
            <w:pPr>
              <w:spacing w:before="0" w:after="45"/>
            </w:pPr>
            <w:r>
              <w:rPr>
                <w:rFonts w:ascii="Arial" w:cs="Arial" w:eastAsia="Arial" w:hAnsi="Arial"/>
                <w:sz w:val="20"/>
                <w:szCs w:val="20"/>
              </w:rPr>
              <w:t xml:space="preserve">Fecha: _________________________________</w:t>
            </w:r>
          </w:p>
        </w:tc>
      </w:tr>
      <w:tr>
        <w:tc>
          <w:tcPr>
            <w:tcW w:type="dxa" w:w="4680"/>
            <w:tcBorders>
              <w:top w:val="single" w:color="D3D1C7" w:sz="1"/>
              <w:left w:val="single" w:color="D3D1C7" w:sz="1"/>
              <w:bottom w:val="single" w:color="D3D1C7" w:sz="1"/>
              <w:right w:val="single" w:color="D3D1C7" w:sz="1"/>
            </w:tcBorders>
            <w:tcMar>
              <w:top w:type="dxa" w:w="120"/>
              <w:left w:type="dxa" w:w="140"/>
              <w:bottom w:type="dxa" w:w="140"/>
              <w:right w:type="dxa" w:w="140"/>
            </w:tcMar>
          </w:tcPr>
          <w:p>
            <w:pPr>
              <w:spacing w:before="0" w:after="300"/>
            </w:pPr>
            <w:r>
              <w:rPr>
                <w:rFonts w:ascii="Arial" w:cs="Arial" w:eastAsia="Arial" w:hAnsi="Arial"/>
                <w:b/>
                <w:bCs/>
                <w:color w:val="1B3A6B"/>
                <w:sz w:val="20"/>
                <w:szCs w:val="20"/>
              </w:rPr>
              <w:t xml:space="preserve">Co-titular (si corresponde)</w:t>
            </w:r>
          </w:p>
          <w:p>
            <w:pPr>
              <w:spacing w:before="0" w:after="45"/>
            </w:pPr>
            <w:r>
              <w:rPr>
                <w:rFonts w:ascii="Arial" w:cs="Arial" w:eastAsia="Arial" w:hAnsi="Arial"/>
                <w:sz w:val="20"/>
                <w:szCs w:val="20"/>
              </w:rPr>
              <w:t xml:space="preserve"> </w:t>
            </w:r>
          </w:p>
          <w:p>
            <w:pPr>
              <w:spacing w:before="0" w:after="45"/>
            </w:pPr>
            <w:r>
              <w:rPr>
                <w:rFonts w:ascii="Arial" w:cs="Arial" w:eastAsia="Arial" w:hAnsi="Arial"/>
                <w:sz w:val="20"/>
                <w:szCs w:val="20"/>
              </w:rPr>
              <w:t xml:space="preserve">Firma: ________________________________</w:t>
            </w:r>
          </w:p>
          <w:p>
            <w:pPr>
              <w:spacing w:before="0" w:after="45"/>
            </w:pPr>
            <w:r>
              <w:rPr>
                <w:rFonts w:ascii="Arial" w:cs="Arial" w:eastAsia="Arial" w:hAnsi="Arial"/>
                <w:sz w:val="20"/>
                <w:szCs w:val="20"/>
              </w:rPr>
              <w:t xml:space="preserve">Aclaracion: ____________________________</w:t>
            </w:r>
          </w:p>
          <w:p>
            <w:pPr>
              <w:spacing w:before="0" w:after="45"/>
            </w:pPr>
            <w:r>
              <w:rPr>
                <w:rFonts w:ascii="Arial" w:cs="Arial" w:eastAsia="Arial" w:hAnsi="Arial"/>
                <w:sz w:val="20"/>
                <w:szCs w:val="20"/>
              </w:rPr>
              <w:t xml:space="preserve">DNI: 27.043.243</w:t>
            </w:r>
          </w:p>
          <w:p>
            <w:pPr>
              <w:spacing w:before="0" w:after="45"/>
            </w:pPr>
            <w:r>
              <w:rPr>
                <w:rFonts w:ascii="Arial" w:cs="Arial" w:eastAsia="Arial" w:hAnsi="Arial"/>
                <w:sz w:val="20"/>
                <w:szCs w:val="20"/>
              </w:rPr>
              <w:t xml:space="preserve">Fecha: _________________________________</w:t>
            </w:r>
          </w:p>
        </w:tc>
        <w:tc>
          <w:tcPr>
            <w:tcW w:type="dxa" w:w="4680"/>
            <w:tcBorders>
              <w:top w:val="single" w:color="D3D1C7" w:sz="1"/>
              <w:left w:val="single" w:color="D3D1C7" w:sz="1"/>
              <w:bottom w:val="single" w:color="D3D1C7" w:sz="1"/>
              <w:right w:val="single" w:color="D3D1C7" w:sz="1"/>
            </w:tcBorders>
            <w:tcMar>
              <w:top w:type="dxa" w:w="120"/>
              <w:left w:type="dxa" w:w="140"/>
              <w:bottom w:type="dxa" w:w="140"/>
              <w:right w:type="dxa" w:w="140"/>
            </w:tcMar>
          </w:tcPr>
          <w:p>
            <w:pPr>
              <w:spacing w:before="0" w:after="300"/>
            </w:pPr>
            <w:r>
              <w:rPr>
                <w:rFonts w:ascii="Arial" w:cs="Arial" w:eastAsia="Arial" w:hAnsi="Arial"/>
                <w:b/>
                <w:bCs/>
                <w:color w:val="1B3A6B"/>
                <w:sz w:val="20"/>
                <w:szCs w:val="20"/>
              </w:rPr>
              <w:t xml:space="preserve">Co-titular (si corresponde)</w:t>
            </w:r>
          </w:p>
          <w:p>
            <w:pPr>
              <w:spacing w:before="0" w:after="45"/>
            </w:pPr>
            <w:r>
              <w:rPr>
                <w:rFonts w:ascii="Arial" w:cs="Arial" w:eastAsia="Arial" w:hAnsi="Arial"/>
                <w:sz w:val="20"/>
                <w:szCs w:val="20"/>
              </w:rPr>
              <w:t xml:space="preserve"> </w:t>
            </w:r>
          </w:p>
          <w:p>
            <w:pPr>
              <w:spacing w:before="0" w:after="45"/>
            </w:pPr>
            <w:r>
              <w:rPr>
                <w:rFonts w:ascii="Arial" w:cs="Arial" w:eastAsia="Arial" w:hAnsi="Arial"/>
                <w:sz w:val="20"/>
                <w:szCs w:val="20"/>
              </w:rPr>
              <w:t xml:space="preserve">Firma: ________________________________</w:t>
            </w:r>
          </w:p>
          <w:p>
            <w:pPr>
              <w:spacing w:before="0" w:after="45"/>
            </w:pPr>
            <w:r>
              <w:rPr>
                <w:rFonts w:ascii="Arial" w:cs="Arial" w:eastAsia="Arial" w:hAnsi="Arial"/>
                <w:sz w:val="20"/>
                <w:szCs w:val="20"/>
              </w:rPr>
              <w:t xml:space="preserve">Aclaracion: ____________________________</w:t>
            </w:r>
          </w:p>
          <w:p>
            <w:pPr>
              <w:spacing w:before="0" w:after="45"/>
            </w:pPr>
            <w:r>
              <w:rPr>
                <w:rFonts w:ascii="Arial" w:cs="Arial" w:eastAsia="Arial" w:hAnsi="Arial"/>
                <w:sz w:val="20"/>
                <w:szCs w:val="20"/>
              </w:rPr>
              <w:t xml:space="preserve">DNI: 27.043.243</w:t>
            </w:r>
          </w:p>
          <w:p>
            <w:pPr>
              <w:spacing w:before="0" w:after="45"/>
            </w:pPr>
            <w:r>
              <w:rPr>
                <w:rFonts w:ascii="Arial" w:cs="Arial" w:eastAsia="Arial" w:hAnsi="Arial"/>
                <w:sz w:val="20"/>
                <w:szCs w:val="20"/>
              </w:rPr>
              <w:t xml:space="preserve">Fecha: _________________________________</w:t>
            </w:r>
          </w:p>
        </w:tc>
      </w:tr>
    </w:tbl>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1B3A6B" w:sz="4"/>
              <w:left w:val="double" w:color="1B3A6B" w:sz="4"/>
              <w:bottom w:val="double" w:color="1B3A6B" w:sz="4"/>
              <w:right w:val="double" w:color="1B3A6B" w:sz="4"/>
            </w:tcBorders>
            <w:tcMar>
              <w:top w:type="dxa" w:w="160"/>
              <w:left w:type="dxa" w:w="200"/>
              <w:bottom w:type="dxa" w:w="160"/>
              <w:right w:type="dxa" w:w="200"/>
            </w:tcMar>
          </w:tcPr>
          <w:p>
            <w:pPr>
              <w:spacing w:before="0" w:after="80"/>
              <w:jc w:val="center"/>
            </w:pPr>
            <w:r>
              <w:rPr>
                <w:rFonts w:ascii="Arial" w:cs="Arial" w:eastAsia="Arial" w:hAnsi="Arial"/>
                <w:b/>
                <w:bCs/>
                <w:color w:val="1B3A6B"/>
                <w:sz w:val="22"/>
                <w:szCs w:val="22"/>
              </w:rPr>
              <w:t xml:space="preserve">ESPACIO RESERVADO PARA CERTIFICACION NOTARIAL (OPCIONAL)</w:t>
            </w:r>
          </w:p>
          <w:p>
            <w:pPr>
              <w:spacing w:before="0" w:after="60"/>
              <w:jc w:val="center"/>
            </w:pPr>
            <w:r>
              <w:rPr>
                <w:rFonts w:ascii="Arial" w:cs="Arial" w:eastAsia="Arial" w:hAnsi="Arial"/>
                <w:i/>
                <w:iCs/>
                <w:color w:val="5F5E5A"/>
                <w:sz w:val="18"/>
                <w:szCs w:val="18"/>
              </w:rPr>
              <w:t xml:space="preserve">Si se opta por certificar las firmas ante escribano publico, completar este espacio:</w:t>
            </w:r>
          </w:p>
          <w:p>
            <w:pPr>
              <w:spacing w:before="0" w:after="40"/>
            </w:pPr>
            <w:r>
              <w:rPr>
                <w:rFonts w:ascii="Arial" w:cs="Arial" w:eastAsia="Arial" w:hAnsi="Arial"/>
                <w:sz w:val="20"/>
                <w:szCs w:val="20"/>
              </w:rPr>
              <w:t xml:space="preserve">Escribano/a: ________________________________________ Mat. N.o: __________</w:t>
            </w:r>
          </w:p>
          <w:p>
            <w:pPr>
              <w:spacing w:before="0" w:after="40"/>
            </w:pPr>
            <w:r>
              <w:rPr>
                <w:rFonts w:ascii="Arial" w:cs="Arial" w:eastAsia="Arial" w:hAnsi="Arial"/>
                <w:sz w:val="20"/>
                <w:szCs w:val="20"/>
              </w:rPr>
              <w:t xml:space="preserve">Registro: __________________________________________ Folio: _____________</w:t>
            </w:r>
          </w:p>
          <w:p>
            <w:pPr>
              <w:spacing w:before="0" w:after="0"/>
            </w:pPr>
            <w:r>
              <w:rPr>
                <w:rFonts w:ascii="Arial" w:cs="Arial" w:eastAsia="Arial" w:hAnsi="Arial"/>
                <w:sz w:val="20"/>
                <w:szCs w:val="20"/>
              </w:rPr>
              <w:t xml:space="preserve">Fecha de certificacion: ___________________________________________________</w:t>
            </w:r>
          </w:p>
        </w:tc>
      </w:tr>
    </w:tbl>
    <w:p>
      <w:pPr>
        <w:spacing w:before="30" w:after="30"/>
      </w:pPr>
      <w:r>
        <w:rPr>
          <w:rFonts w:ascii="Arial" w:cs="Arial" w:eastAsia="Arial" w:hAnsi="Arial"/>
          <w:sz w:val="22"/>
          <w:szCs w:val="22"/>
        </w:rPr>
        <w:t xml:space="preserve"> </w:t>
      </w:r>
    </w:p>
    <w:p>
      <w:pPr>
        <w:spacing w:before="0" w:after="0"/>
      </w:pPr>
      <w:r>
        <w:br w:type="page"/>
      </w:r>
    </w:p>
    <w:p>
      <w:pPr>
        <w:pStyle w:val="Heading1"/>
        <w:pBdr>
          <w:bottom w:val="single" w:color="1B3A6B" w:sz="6" w:space="4"/>
        </w:pBdr>
        <w:spacing w:before="360" w:after="140"/>
      </w:pPr>
      <w:r>
        <w:rPr>
          <w:rFonts w:ascii="Arial" w:cs="Arial" w:eastAsia="Arial" w:hAnsi="Arial"/>
          <w:b/>
          <w:bCs/>
          <w:color w:val="1B3A6B"/>
          <w:sz w:val="32"/>
          <w:szCs w:val="32"/>
        </w:rPr>
        <w:t xml:space="preserve">ANEXO A — REGISTRO DE HASHES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0F6E56" w:sz="14"/>
              <w:bottom w:val="single" w:color="D3D1C7" w:sz="1"/>
              <w:right w:val="single" w:color="D3D1C7" w:sz="1"/>
            </w:tcBorders>
            <w:shd w:fill="E1F5EE" w:val="clear"/>
            <w:tcMar>
              <w:top w:type="dxa" w:w="130"/>
              <w:left w:type="dxa" w:w="180"/>
              <w:bottom w:type="dxa" w:w="130"/>
              <w:right w:type="dxa" w:w="180"/>
            </w:tcMar>
          </w:tcPr>
          <w:p>
            <w:pPr>
              <w:spacing w:before="0" w:after="0"/>
            </w:pPr>
            <w:r>
              <w:rPr>
                <w:rFonts w:ascii="Arial" w:cs="Arial" w:eastAsia="Arial" w:hAnsi="Arial"/>
                <w:b/>
                <w:bCs/>
                <w:color w:val="0F6E56"/>
                <w:sz w:val="22"/>
                <w:szCs w:val="22"/>
              </w:rPr>
              <w:t xml:space="preserve">Proposito del Anexo A: </w:t>
            </w:r>
            <w:r>
              <w:rPr>
                <w:rFonts w:ascii="Arial" w:cs="Arial" w:eastAsia="Arial" w:hAnsi="Arial"/>
                <w:sz w:val="22"/>
                <w:szCs w:val="22"/>
              </w:rPr>
              <w:t xml:space="preserve">Los valores hash SHA-256 a continuacion acreditan de forma criptografica que los archivos listados existian en su forma exacta en la fecha indicada. Cualquier modificacion de un solo bit del archivo produce un hash completamente diferente. Este mecanismo complementa el registro ante DNDA como evidencia de anterioridad tecnicamente irrefutable.</w:t>
            </w:r>
          </w:p>
        </w:tc>
      </w:tr>
    </w:tbl>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Archivo</w:t>
            </w:r>
          </w:p>
        </w:tc>
        <w:tc>
          <w:tcPr>
            <w:tcW w:type="dxa" w:w="180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Fecha de calculo</w:t>
            </w:r>
          </w:p>
        </w:tc>
        <w:tc>
          <w:tcPr>
            <w:tcW w:type="dxa" w:w="5160"/>
            <w:tcBorders>
              <w:top w:val="single" w:color="D3D1C7" w:sz="1"/>
              <w:left w:val="single" w:color="D3D1C7" w:sz="1"/>
              <w:bottom w:val="single" w:color="D3D1C7" w:sz="1"/>
              <w:right w:val="single" w:color="D3D1C7" w:sz="1"/>
            </w:tcBorders>
            <w:shd w:fill="1B3A6B" w:val="clear"/>
            <w:tcMar>
              <w:top w:type="dxa" w:w="90"/>
              <w:left w:type="dxa" w:w="120"/>
              <w:bottom w:type="dxa" w:w="90"/>
              <w:right w:type="dxa" w:w="120"/>
            </w:tcMar>
            <w:vAlign w:val="center"/>
          </w:tcPr>
          <w:p>
            <w:pPr>
              <w:spacing w:before="0" w:after="0"/>
              <w:jc w:val="left"/>
            </w:pPr>
            <w:r>
              <w:rPr>
                <w:rFonts w:ascii="Arial" w:cs="Arial" w:eastAsia="Arial" w:hAnsi="Arial"/>
                <w:b/>
                <w:bCs/>
                <w:color w:val="FFFFFF"/>
                <w:sz w:val="19"/>
                <w:szCs w:val="19"/>
              </w:rPr>
              <w:t xml:space="preserve">Hash SHA-256 (64 caracteres hexadecimales)</w:t>
            </w:r>
          </w:p>
        </w:tc>
      </w:tr>
      <w:tr>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Analisis_Inicial.docx</w:t>
            </w:r>
          </w:p>
        </w:tc>
        <w:tc>
          <w:tcPr>
            <w:tcW w:type="dxa" w:w="1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5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i/>
                <w:iCs/>
                <w:color w:val="5F5E5A"/>
                <w:sz w:val="19"/>
                <w:szCs w:val="19"/>
              </w:rPr>
              <w:t xml:space="preserve">A completar por el titular antes de la presentacion ante DNDA</w:t>
            </w:r>
          </w:p>
        </w:tc>
      </w:tr>
      <w:tr>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Protocolo_Cientifico_Legal_EndoEdge_v1.0.docx</w:t>
            </w:r>
          </w:p>
        </w:tc>
        <w:tc>
          <w:tcPr>
            <w:tcW w:type="dxa" w:w="1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5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i/>
                <w:iCs/>
                <w:color w:val="5F5E5A"/>
                <w:sz w:val="19"/>
                <w:szCs w:val="19"/>
              </w:rPr>
              <w:t xml:space="preserve">A completar por el titular antes de la presentacion ante DNDA</w:t>
            </w:r>
          </w:p>
        </w:tc>
      </w:tr>
      <w:tr>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Doc_Precision_Metrologica_EndoEdge_v1.1.docx</w:t>
            </w:r>
          </w:p>
        </w:tc>
        <w:tc>
          <w:tcPr>
            <w:tcW w:type="dxa" w:w="1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5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i/>
                <w:iCs/>
                <w:color w:val="5F5E5A"/>
                <w:sz w:val="19"/>
                <w:szCs w:val="19"/>
              </w:rPr>
              <w:t xml:space="preserve">A completar por el titular antes de la presentacion ante DNDA</w:t>
            </w:r>
          </w:p>
        </w:tc>
      </w:tr>
      <w:tr>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Nexo_Endocrinologo_EndoEdge.docx</w:t>
            </w:r>
          </w:p>
        </w:tc>
        <w:tc>
          <w:tcPr>
            <w:tcW w:type="dxa" w:w="1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5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i/>
                <w:iCs/>
                <w:color w:val="5F5E5A"/>
                <w:sz w:val="19"/>
                <w:szCs w:val="19"/>
              </w:rPr>
              <w:t xml:space="preserve">A completar por el titular antes de la presentacion ante DNDA</w:t>
            </w:r>
          </w:p>
        </w:tc>
      </w:tr>
      <w:tr>
        <w:tc>
          <w:tcPr>
            <w:tcW w:type="dxa" w:w="24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Propuesta_Roles_Honorarios_Endocrinologo_EndoEdge.docx</w:t>
            </w:r>
          </w:p>
        </w:tc>
        <w:tc>
          <w:tcPr>
            <w:tcW w:type="dxa" w:w="180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5160"/>
            <w:tcBorders>
              <w:top w:val="single" w:color="D3D1C7" w:sz="1"/>
              <w:left w:val="single" w:color="D3D1C7" w:sz="1"/>
              <w:bottom w:val="single" w:color="D3D1C7" w:sz="1"/>
              <w:right w:val="single" w:color="D3D1C7" w:sz="1"/>
            </w:tcBorders>
            <w:tcMar>
              <w:top w:type="dxa" w:w="78"/>
              <w:left w:type="dxa" w:w="120"/>
              <w:bottom w:type="dxa" w:w="78"/>
              <w:right w:type="dxa" w:w="120"/>
            </w:tcMar>
            <w:vAlign w:val="top"/>
          </w:tcPr>
          <w:p>
            <w:pPr>
              <w:spacing w:before="0" w:after="0"/>
            </w:pPr>
            <w:r>
              <w:rPr>
                <w:rFonts w:ascii="Arial" w:cs="Arial" w:eastAsia="Arial" w:hAnsi="Arial"/>
                <w:i/>
                <w:iCs/>
                <w:color w:val="5F5E5A"/>
                <w:sz w:val="19"/>
                <w:szCs w:val="19"/>
              </w:rPr>
              <w:t xml:space="preserve">A completar por el titular antes de la presentacion ante DNDA</w:t>
            </w:r>
          </w:p>
        </w:tc>
      </w:tr>
      <w:tr>
        <w:tc>
          <w:tcPr>
            <w:tcW w:type="dxa" w:w="24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b/>
                <w:bCs/>
                <w:color w:val="1B3A6B"/>
                <w:sz w:val="19"/>
                <w:szCs w:val="19"/>
              </w:rPr>
              <w:t xml:space="preserve">PI-001_Declaracion_Titularidad_EndoEdge_v1.2.docx (este documento)</w:t>
            </w:r>
          </w:p>
        </w:tc>
        <w:tc>
          <w:tcPr>
            <w:tcW w:type="dxa" w:w="180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color w:val="5F5E5A"/>
                <w:sz w:val="19"/>
                <w:szCs w:val="19"/>
              </w:rPr>
              <w:t xml:space="preserve">Marzo 2026</w:t>
            </w:r>
          </w:p>
        </w:tc>
        <w:tc>
          <w:tcPr>
            <w:tcW w:type="dxa" w:w="5160"/>
            <w:tcBorders>
              <w:top w:val="single" w:color="D3D1C7" w:sz="1"/>
              <w:left w:val="single" w:color="D3D1C7" w:sz="1"/>
              <w:bottom w:val="single" w:color="D3D1C7" w:sz="1"/>
              <w:right w:val="single" w:color="D3D1C7" w:sz="1"/>
            </w:tcBorders>
            <w:shd w:fill="F1EFE8" w:val="clear"/>
            <w:tcMar>
              <w:top w:type="dxa" w:w="78"/>
              <w:left w:type="dxa" w:w="120"/>
              <w:bottom w:type="dxa" w:w="78"/>
              <w:right w:type="dxa" w:w="120"/>
            </w:tcMar>
            <w:vAlign w:val="top"/>
          </w:tcPr>
          <w:p>
            <w:pPr>
              <w:spacing w:before="0" w:after="0"/>
            </w:pPr>
            <w:r>
              <w:rPr>
                <w:rFonts w:ascii="Arial" w:cs="Arial" w:eastAsia="Arial" w:hAnsi="Arial"/>
                <w:i/>
                <w:iCs/>
                <w:color w:val="854F0B"/>
                <w:sz w:val="18"/>
                <w:szCs w:val="18"/>
              </w:rPr>
              <w:t xml:space="preserve">Calcular el hash DESPUES de completar todos los datos del titular y firmar. Incluir en el deposito ante DNDA como archivo separado.</w:t>
            </w:r>
          </w:p>
        </w:tc>
      </w:tr>
    </w:tbl>
    <w:p>
      <w:pPr>
        <w:spacing w:before="30" w:after="30"/>
      </w:pPr>
      <w:r>
        <w:rPr>
          <w:rFonts w:ascii="Arial" w:cs="Arial" w:eastAsia="Arial" w:hAnsi="Arial"/>
          <w:sz w:val="22"/>
          <w:szCs w:val="22"/>
        </w:rPr>
        <w:t xml:space="preserve"> </w:t>
      </w:r>
    </w:p>
    <w:p>
      <w:pPr>
        <w:pStyle w:val="Heading2"/>
        <w:spacing w:before="260" w:after="90"/>
      </w:pPr>
      <w:r>
        <w:rPr>
          <w:rFonts w:ascii="Arial" w:cs="Arial" w:eastAsia="Arial" w:hAnsi="Arial"/>
          <w:b/>
          <w:bCs/>
          <w:color w:val="0F6E56"/>
          <w:sz w:val="26"/>
          <w:szCs w:val="26"/>
        </w:rPr>
        <w:t xml:space="preserve">Comando para calcular el hash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1"/>
              <w:bottom w:val="single" w:color="D3D1C7" w:sz="1"/>
              <w:right w:val="single" w:color="D3D1C7" w:sz="1"/>
            </w:tcBorders>
            <w:shd w:fill="F1EFE8" w:val="clear"/>
            <w:tcMar>
              <w:top w:type="dxa" w:w="120"/>
              <w:left w:type="dxa" w:w="180"/>
              <w:bottom w:type="dxa" w:w="120"/>
              <w:right w:type="dxa" w:w="180"/>
            </w:tcMar>
          </w:tcPr>
          <w:p>
            <w:pPr>
              <w:spacing w:before="0" w:after="40"/>
            </w:pPr>
            <w:r>
              <w:rPr>
                <w:rFonts w:ascii="Arial" w:cs="Arial" w:eastAsia="Arial" w:hAnsi="Arial"/>
                <w:b/>
                <w:bCs/>
                <w:color w:val="1B3A6B"/>
                <w:sz w:val="20"/>
                <w:szCs w:val="20"/>
              </w:rPr>
              <w:t xml:space="preserve">Windows (PowerShell):</w:t>
            </w:r>
          </w:p>
          <w:p>
            <w:pPr>
              <w:spacing w:before="0" w:after="60"/>
            </w:pPr>
            <w:r>
              <w:rPr>
                <w:rFonts w:ascii="Courier New" w:cs="Courier New" w:eastAsia="Courier New" w:hAnsi="Courier New"/>
                <w:color w:val="3C3489"/>
                <w:sz w:val="19"/>
                <w:szCs w:val="19"/>
              </w:rPr>
              <w:t xml:space="preserve">Get-FileHash "C:\ruta\al\archivo.docx" -Algorithm SHA256 | Select-Object Hash</w:t>
            </w:r>
          </w:p>
          <w:p>
            <w:pPr>
              <w:spacing w:before="0" w:after="40"/>
            </w:pPr>
            <w:r>
              <w:rPr>
                <w:rFonts w:ascii="Arial" w:cs="Arial" w:eastAsia="Arial" w:hAnsi="Arial"/>
                <w:b/>
                <w:bCs/>
                <w:color w:val="1B3A6B"/>
                <w:sz w:val="20"/>
                <w:szCs w:val="20"/>
              </w:rPr>
              <w:t xml:space="preserve">macOS / Linux (Terminal):</w:t>
            </w:r>
          </w:p>
          <w:p>
            <w:pPr>
              <w:spacing w:before="0" w:after="0"/>
            </w:pPr>
            <w:r>
              <w:rPr>
                <w:rFonts w:ascii="Courier New" w:cs="Courier New" w:eastAsia="Courier New" w:hAnsi="Courier New"/>
                <w:color w:val="3C3489"/>
                <w:sz w:val="19"/>
                <w:szCs w:val="19"/>
              </w:rPr>
              <w:t xml:space="preserve">shasum -a 256 /ruta/al/archivo.docx</w:t>
            </w:r>
          </w:p>
        </w:tc>
      </w:tr>
    </w:tbl>
    <w:p>
      <w:pPr>
        <w:spacing w:before="30" w:after="30"/>
      </w:pPr>
      <w:r>
        <w:rPr>
          <w:rFonts w:ascii="Arial" w:cs="Arial" w:eastAsia="Arial" w:hAnsi="Arial"/>
          <w:sz w:val="22"/>
          <w:szCs w:val="22"/>
        </w:rPr>
        <w:t xml:space="preserve"> </w:t>
      </w:r>
    </w:p>
    <w:p>
      <w:pPr>
        <w:spacing w:before="30" w:after="30"/>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thick" w:color="A32D2D" w:sz="14"/>
              <w:bottom w:val="single" w:color="D3D1C7" w:sz="1"/>
              <w:right w:val="single" w:color="D3D1C7" w:sz="1"/>
            </w:tcBorders>
            <w:shd w:fill="FCEBEB" w:val="clear"/>
            <w:tcMar>
              <w:top w:type="dxa" w:w="130"/>
              <w:left w:type="dxa" w:w="180"/>
              <w:bottom w:type="dxa" w:w="130"/>
              <w:right w:type="dxa" w:w="180"/>
            </w:tcMar>
          </w:tcPr>
          <w:p>
            <w:pPr>
              <w:spacing w:before="0" w:after="0"/>
            </w:pPr>
            <w:r>
              <w:rPr>
                <w:rFonts w:ascii="Arial" w:cs="Arial" w:eastAsia="Arial" w:hAnsi="Arial"/>
                <w:b/>
                <w:bCs/>
                <w:color w:val="A32D2D"/>
                <w:sz w:val="22"/>
                <w:szCs w:val="22"/>
              </w:rPr>
              <w:t xml:space="preserve">Paso final obligatorio antes de presentar ante DNDA: </w:t>
            </w:r>
            <w:r>
              <w:rPr>
                <w:rFonts w:ascii="Arial" w:cs="Arial" w:eastAsia="Arial" w:hAnsi="Arial"/>
                <w:sz w:val="22"/>
                <w:szCs w:val="22"/>
              </w:rPr>
              <w:t xml:space="preserve">Una vez completados los datos del titular (Seccion 1), calculados todos los hashes del Anexo A, y firmado el documento: (1) guardar el archivo en PDF/A para archivo permanente; (2) calcular el hash SHA-256 del PDF final y anotarlo; (3) presentar el PDF junto con los archivos originales listados en el Anexo A ante la DNDA. El certificado de deposito que emita la DNDA es el documento de proteccion primario — conservar en lugar seguro junto con este original firmado.</w:t>
            </w:r>
          </w:p>
        </w:tc>
      </w:tr>
    </w:tbl>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before="70" w:after="0"/>
      <w:jc w:val="center"/>
    </w:pPr>
    <w:r>
      <w:rPr>
        <w:rFonts w:ascii="Arial" w:cs="Arial" w:eastAsia="Arial" w:hAnsi="Arial"/>
        <w:color w:val="5F5E5A"/>
        <w:sz w:val="17"/>
        <w:szCs w:val="17"/>
      </w:rPr>
      <w:t xml:space="preserve">Pag. </w:t>
    </w:r>
    <w:r>
      <w:rPr>
        <w:rFonts w:ascii="Arial" w:cs="Arial" w:eastAsia="Arial" w:hAnsi="Arial"/>
        <w:color w:val="5F5E5A"/>
        <w:sz w:val="17"/>
        <w:szCs w:val="17"/>
      </w:rPr>
      <w:fldChar w:fldCharType="begin"/>
      <w:instrText xml:space="preserve">PAGE</w:instrText>
      <w:fldChar w:fldCharType="separate"/>
      <w:fldChar w:fldCharType="end"/>
    </w:r>
    <w:r>
      <w:rPr>
        <w:rFonts w:ascii="Arial" w:cs="Arial" w:eastAsia="Arial" w:hAnsi="Arial"/>
        <w:color w:val="5F5E5A"/>
        <w:sz w:val="17"/>
        <w:szCs w:val="17"/>
      </w:rPr>
      <w:t xml:space="preserve">  de  </w:t>
    </w:r>
    <w:r>
      <w:rPr>
        <w:rFonts w:ascii="Arial" w:cs="Arial" w:eastAsia="Arial" w:hAnsi="Arial"/>
        <w:color w:val="5F5E5A"/>
        <w:sz w:val="17"/>
        <w:szCs w:val="17"/>
      </w:rPr>
      <w:fldChar w:fldCharType="begin"/>
      <w:instrText xml:space="preserve">NUMPAGES</w:instrText>
      <w:fldChar w:fldCharType="separate"/>
      <w:fldChar w:fldCharType="end"/>
    </w:r>
    <w:r>
      <w:rPr>
        <w:rFonts w:ascii="Arial" w:cs="Arial" w:eastAsia="Arial" w:hAnsi="Arial"/>
        <w:color w:val="5F5E5A"/>
        <w:sz w:val="17"/>
        <w:szCs w:val="17"/>
      </w:rPr>
      <w:t xml:space="preserve">   |   PI-001 v1.2 — Endo-Edge — Para presentacion ante DNDA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before="0" w:after="70"/>
    </w:pPr>
    <w:r>
      <w:rPr>
        <w:rFonts w:ascii="Arial" w:cs="Arial" w:eastAsia="Arial" w:hAnsi="Arial"/>
        <w:b/>
        <w:bCs/>
        <w:color w:val="1B3A6B"/>
        <w:sz w:val="17"/>
        <w:szCs w:val="17"/>
      </w:rPr>
      <w:t xml:space="preserve">DECLARACION DE TITULARIDAD DE PI PREEXISTENTE — ENDO-EDGE</w:t>
    </w:r>
    <w:r>
      <w:rPr>
        <w:rFonts w:ascii="Arial" w:cs="Arial" w:eastAsia="Arial" w:hAnsi="Arial"/>
        <w:color w:val="5F5E5A"/>
        <w:sz w:val="17"/>
        <w:szCs w:val="17"/>
      </w:rPr>
      <w:t xml:space="preserve">   |   PI-001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6B"/>
      <w:sz w:val="32"/>
      <w:szCs w:val="32"/>
    </w:rPr>
  </w:style>
  <w:style w:type="paragraph" w:styleId="Heading2">
    <w:name w:val="Heading 2"/>
    <w:basedOn w:val="Normal"/>
    <w:next w:val="Normal"/>
    <w:qFormat/>
    <w:pPr>
      <w:spacing w:before="260" w:after="90"/>
      <w:outlineLvl w:val="1"/>
    </w:pPr>
    <w:rPr>
      <w:rFonts w:ascii="Arial" w:cs="Arial" w:eastAsia="Arial" w:hAnsi="Arial"/>
      <w:b/>
      <w:bCs/>
      <w:color w:val="0F6E5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PI-001 v1.2 Declaracion de Titularidad y Anterioridad de PI Preexistente — Sistema Endo-Edge</dc:title>
  <dc:creator>Proyecto Endo-Edge</dc:creator>
  <cp:lastModifiedBy>Un-named</cp:lastModifiedBy>
  <cp:revision>1</cp:revision>
  <dcterms:created xsi:type="dcterms:W3CDTF">2026-03-22T19:25:24.692Z</dcterms:created>
  <dcterms:modified xsi:type="dcterms:W3CDTF">2026-03-22T19:25:24.693Z</dcterms:modified>
</cp:coreProperties>
</file>

<file path=docProps/custom.xml><?xml version="1.0" encoding="utf-8"?>
<Properties xmlns="http://schemas.openxmlformats.org/officeDocument/2006/custom-properties" xmlns:vt="http://schemas.openxmlformats.org/officeDocument/2006/docPropsVTypes"/>
</file>