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0" w:after="80"/>
        <w:jc w:val="center"/>
      </w:pPr>
      <w:r>
        <w:rPr>
          <w:rFonts w:ascii="Arial" w:cs="Arial" w:eastAsia="Arial" w:hAnsi="Arial"/>
          <w:b/>
          <w:bCs/>
          <w:color w:val="1B3A6B"/>
          <w:sz w:val="52"/>
          <w:szCs w:val="52"/>
        </w:rPr>
        <w:t xml:space="preserve">SISTEMA CIBERFISICO ENDO-EDGE</w:t>
      </w:r>
    </w:p>
    <w:p>
      <w:pPr>
        <w:spacing w:before="0" w:after="60"/>
        <w:jc w:val="center"/>
      </w:pPr>
      <w:r>
        <w:rPr>
          <w:rFonts w:ascii="Arial" w:cs="Arial" w:eastAsia="Arial" w:hAnsi="Arial"/>
          <w:color w:val="0F6E56"/>
          <w:sz w:val="36"/>
          <w:szCs w:val="36"/>
        </w:rPr>
        <w:t xml:space="preserve">Protocolo de Investigacion Cientifico-Legal</w:t>
      </w:r>
    </w:p>
    <w:p>
      <w:pPr>
        <w:spacing w:before="0" w:after="40"/>
        <w:jc w:val="center"/>
      </w:pPr>
      <w:r>
        <w:rPr>
          <w:rFonts w:ascii="Arial" w:cs="Arial" w:eastAsia="Arial" w:hAnsi="Arial"/>
          <w:color w:val="5F5E5A"/>
          <w:sz w:val="26"/>
          <w:szCs w:val="26"/>
        </w:rPr>
        <w:t xml:space="preserve">Marco Regulatorio, Etico e IRB — Version 1.0</w:t>
      </w:r>
    </w:p>
    <w:p>
      <w:pPr>
        <w:spacing w:before="0" w:after="400"/>
        <w:jc w:val="center"/>
      </w:pPr>
      <w:r>
        <w:rPr>
          <w:rFonts w:ascii="Arial" w:cs="Arial" w:eastAsia="Arial" w:hAnsi="Arial"/>
          <w:color w:val="5F5E5A"/>
          <w:sz w:val="24"/>
          <w:szCs w:val="24"/>
        </w:rPr>
        <w:t xml:space="preserve">Marzo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Numero de Protocolo</w:t>
            </w:r>
          </w:p>
        </w:tc>
        <w:tc>
          <w:tcPr>
            <w:tcW w:type="dxa" w:w="4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EE-2026-001-FASE1</w:t>
            </w:r>
          </w:p>
        </w:tc>
      </w:tr>
      <w:tr>
        <w:tc>
          <w:tcPr>
            <w:tcW w:type="dxa" w:w="30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Titulo corto</w:t>
            </w:r>
          </w:p>
        </w:tc>
        <w:tc>
          <w:tcPr>
            <w:tcW w:type="dxa" w:w="4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ENDO-EDGE Fase I — Marco Legal y Cohorte Piloto</w:t>
            </w:r>
          </w:p>
        </w:tc>
      </w:tr>
      <w:tr>
        <w:tc>
          <w:tcPr>
            <w:tcW w:type="dxa" w:w="30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Tipo de estudio</w:t>
            </w:r>
          </w:p>
        </w:tc>
        <w:tc>
          <w:tcPr>
            <w:tcW w:type="dxa" w:w="4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Observacional longitudinal prospectivo, clase de riesgo minimo-moderado</w:t>
            </w:r>
          </w:p>
        </w:tc>
      </w:tr>
      <w:tr>
        <w:tc>
          <w:tcPr>
            <w:tcW w:type="dxa" w:w="30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Poblacion objetivo</w:t>
            </w:r>
          </w:p>
        </w:tc>
        <w:tc>
          <w:tcPr>
            <w:tcW w:type="dxa" w:w="4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Adultos sanos 25-55 anos, N=30 (cohorte piloto)</w:t>
            </w:r>
          </w:p>
        </w:tc>
      </w:tr>
      <w:tr>
        <w:tc>
          <w:tcPr>
            <w:tcW w:type="dxa" w:w="30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Duracion</w:t>
            </w:r>
          </w:p>
        </w:tc>
        <w:tc>
          <w:tcPr>
            <w:tcW w:type="dxa" w:w="4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12 meses totales (3 fases)</w:t>
            </w:r>
          </w:p>
        </w:tc>
      </w:tr>
      <w:tr>
        <w:tc>
          <w:tcPr>
            <w:tcW w:type="dxa" w:w="30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Clasificacion regulatoria</w:t>
            </w:r>
          </w:p>
        </w:tc>
        <w:tc>
          <w:tcPr>
            <w:tcW w:type="dxa" w:w="4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Dispositivo en investigacion (IDE) — Uso en ensayo no clinico de diagnostico</w:t>
            </w:r>
          </w:p>
        </w:tc>
      </w:tr>
      <w:tr>
        <w:tc>
          <w:tcPr>
            <w:tcW w:type="dxa" w:w="30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Normativas aplicables</w:t>
            </w:r>
          </w:p>
        </w:tc>
        <w:tc>
          <w:tcPr>
            <w:tcW w:type="dxa" w:w="4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ISO 14155, Declaracion de Helsinki, CIOMS 2016, GDPR/Ley 25.326, Ley 26.529 (Argentina)</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p>
      <w:pPr>
        <w:jc w:val="center"/>
      </w:pPr>
      <w:r>
        <w:rPr>
          <w:rFonts w:ascii="Arial" w:cs="Arial" w:eastAsia="Arial" w:hAnsi="Arial"/>
          <w:b/>
          <w:bCs/>
          <w:color w:val="A32D2D"/>
          <w:sz w:val="18"/>
          <w:szCs w:val="18"/>
        </w:rPr>
        <w:t xml:space="preserve">DOCUMENTO CONFIDENCIAL — Solo para uso del equipo de investigacion y revision etica</w:t>
      </w:r>
    </w:p>
    <w:p>
      <w:pPr>
        <w:spacing w:before="0" w:after="0"/>
      </w:pPr>
      <w:r>
        <w:br w:type="page"/>
      </w:r>
    </w:p>
    <w:p>
      <w:pPr>
        <w:pBdr>
          <w:bottom w:val="single" w:color="1B3A6B" w:sz="6" w:space="4"/>
        </w:pBdr>
        <w:spacing w:before="0" w:after="200"/>
      </w:pPr>
      <w:r>
        <w:rPr>
          <w:rFonts w:ascii="Arial" w:cs="Arial" w:eastAsia="Arial" w:hAnsi="Arial"/>
          <w:b/>
          <w:bCs/>
          <w:color w:val="1B3A6B"/>
          <w:sz w:val="28"/>
          <w:szCs w:val="28"/>
        </w:rPr>
        <w:t xml:space="preserve">INDICE DE CONTENIDOS</w:t>
      </w:r>
    </w:p>
    <w:sdt>
      <w:sdtPr>
        <w:alias w:val="Indice"/>
      </w:sdtPr>
      <w:sdtContent>
        <w:p>
          <w:r>
            <w:fldChar w:fldCharType="begin" w:dirty="true"/>
            <w:instrText xml:space="preserve">TOC \h \o "1-4"</w:instrText>
            <w:fldChar w:fldCharType="separate"/>
          </w:r>
        </w:p>
        <w:p>
          <w:r>
            <w:fldChar w:fldCharType="end"/>
          </w:r>
        </w:p>
      </w:sdtContent>
    </w:sdt>
    <w:p>
      <w:pPr>
        <w:spacing w:before="0" w:after="0"/>
      </w:pPr>
      <w:r>
        <w:br w:type="page"/>
      </w:r>
    </w:p>
    <w:p>
      <w:pPr>
        <w:pStyle w:val="Heading1"/>
        <w:pBdr>
          <w:bottom w:val="single" w:color="1B3A6B" w:sz="6" w:space="4"/>
        </w:pBdr>
        <w:spacing w:before="400" w:after="160"/>
      </w:pPr>
      <w:r>
        <w:rPr>
          <w:rFonts w:ascii="Arial" w:cs="Arial" w:eastAsia="Arial" w:hAnsi="Arial"/>
          <w:b/>
          <w:bCs/>
          <w:color w:val="1B3A6B"/>
          <w:sz w:val="36"/>
          <w:szCs w:val="36"/>
        </w:rPr>
        <w:t xml:space="preserve">1. ANTECEDENTES Y JUSTIFICACION CIENTIFICA</w:t>
      </w:r>
    </w:p>
    <w:p>
      <w:pPr>
        <w:pStyle w:val="Heading2"/>
        <w:spacing w:before="300" w:after="120"/>
      </w:pPr>
      <w:r>
        <w:rPr>
          <w:rFonts w:ascii="Arial" w:cs="Arial" w:eastAsia="Arial" w:hAnsi="Arial"/>
          <w:b/>
          <w:bCs/>
          <w:color w:val="0F6E56"/>
          <w:sz w:val="28"/>
          <w:szCs w:val="28"/>
        </w:rPr>
        <w:t xml:space="preserve">1.1 Fundamento del problema</w:t>
      </w:r>
    </w:p>
    <w:p>
      <w:pPr>
        <w:spacing w:before="80" w:after="80"/>
      </w:pPr>
      <w:r>
        <w:rPr>
          <w:rFonts w:ascii="Arial" w:cs="Arial" w:eastAsia="Arial" w:hAnsi="Arial"/>
          <w:sz w:val="22"/>
          <w:szCs w:val="22"/>
        </w:rPr>
        <w:t xml:space="preserve">Las enfermedades cronicas no transmisibles (ECNT) — diabetes tipo 2, sindrome metabolico, disfuncion tiroidea subclínica — comparten una caracteristica estructural: sus mecanismos patogenicos operan durante meses o anos antes de la manifestacion clinica detectable por biomarcadores convencionales. El diagnostico tardio no es falla del medico sino una limitacion instrumental: el sistema de salud solo observa el ecosistema endocrino en momentos discretos (analisis de laboratorio anuales) mientras la fisiopatologia avanza de manera continua.</w:t>
      </w:r>
    </w:p>
    <w:p>
      <w:pPr>
        <w:spacing w:before="80" w:after="80"/>
      </w:pPr>
      <w:r>
        <w:rPr>
          <w:rFonts w:ascii="Arial" w:cs="Arial" w:eastAsia="Arial" w:hAnsi="Arial"/>
          <w:sz w:val="22"/>
          <w:szCs w:val="22"/>
        </w:rPr>
        <w:t xml:space="preserve">El concepto central del proyecto es la 'simbiosis endocrina celular': la red de interacciones dinamicas entre los ejes pancreatico (insulina/glucagon), hipotalamo-hipofiso-suprarrenal (HPA, cortisol), autonomo (SNS/SNP, HRV) y metabolico celular (lactato, oxigenacion tisular). Cuando uno de estos ejes comienza a desregularse, los demas compensan — y es precisamente esa hipercompensacion la firma preclínica que buscamos capturar.</w:t>
      </w:r>
    </w:p>
    <w:p>
      <w:pPr>
        <w:pStyle w:val="Heading2"/>
        <w:spacing w:before="300" w:after="120"/>
      </w:pPr>
      <w:r>
        <w:rPr>
          <w:rFonts w:ascii="Arial" w:cs="Arial" w:eastAsia="Arial" w:hAnsi="Arial"/>
          <w:b/>
          <w:bCs/>
          <w:color w:val="0F6E56"/>
          <w:sz w:val="28"/>
          <w:szCs w:val="28"/>
        </w:rPr>
        <w:t xml:space="preserve">1.2 Estado del arte — Tecnologias habilitantes</w:t>
      </w:r>
    </w:p>
    <w:p>
      <w:pPr>
        <w:spacing w:before="80" w:after="80"/>
      </w:pPr>
      <w:r>
        <w:rPr>
          <w:rFonts w:ascii="Arial" w:cs="Arial" w:eastAsia="Arial" w:hAnsi="Arial"/>
          <w:sz w:val="22"/>
          <w:szCs w:val="22"/>
        </w:rPr>
        <w:t xml:space="preserve">Los avances recientes en tres areas tecnologicas convergentes hacen viable este proyecto en 2026:</w:t>
      </w:r>
    </w:p>
    <w:p>
      <w:pPr>
        <w:pStyle w:val="ListParagraph"/>
        <w:numPr>
          <w:ilvl w:val="0"/>
          <w:numId w:val="2"/>
        </w:numPr>
        <w:spacing w:before="40" w:after="40"/>
      </w:pPr>
      <w:r>
        <w:rPr>
          <w:rFonts w:ascii="Arial" w:cs="Arial" w:eastAsia="Arial" w:hAnsi="Arial"/>
          <w:sz w:val="22"/>
          <w:szCs w:val="22"/>
        </w:rPr>
        <w:t xml:space="preserve">Monitores de glucosa continuos (CGM) de tercera generacion con APIs abiertas para investigadores (Dexcom G7, MARD 8.2%).</w:t>
      </w:r>
    </w:p>
    <w:p>
      <w:pPr>
        <w:pStyle w:val="ListParagraph"/>
        <w:numPr>
          <w:ilvl w:val="0"/>
          <w:numId w:val="2"/>
        </w:numPr>
        <w:spacing w:before="40" w:after="40"/>
      </w:pPr>
      <w:r>
        <w:rPr>
          <w:rFonts w:ascii="Arial" w:cs="Arial" w:eastAsia="Arial" w:hAnsi="Arial"/>
          <w:sz w:val="22"/>
          <w:szCs w:val="22"/>
        </w:rPr>
        <w:t xml:space="preserve">Prendas inteligentes con electrodos textiles para ECG de precision e inferencia de HRV (Hexoskin ProShirt / Astroskin, validados en entornos de microgravedad por NASA/CSA).</w:t>
      </w:r>
    </w:p>
    <w:p>
      <w:pPr>
        <w:pStyle w:val="ListParagraph"/>
        <w:numPr>
          <w:ilvl w:val="0"/>
          <w:numId w:val="2"/>
        </w:numPr>
        <w:spacing w:before="40" w:after="40"/>
      </w:pPr>
      <w:r>
        <w:rPr>
          <w:rFonts w:ascii="Arial" w:cs="Arial" w:eastAsia="Arial" w:hAnsi="Arial"/>
          <w:sz w:val="22"/>
          <w:szCs w:val="22"/>
        </w:rPr>
        <w:t xml:space="preserve">Wearables de grado clinico para conductancia galvanica de la piel y temperatura periferica con validacion FDA (Empatica EmbracePlus).</w:t>
      </w:r>
    </w:p>
    <w:p>
      <w:pPr>
        <w:pStyle w:val="ListParagraph"/>
        <w:numPr>
          <w:ilvl w:val="0"/>
          <w:numId w:val="2"/>
        </w:numPr>
        <w:spacing w:before="40" w:after="40"/>
      </w:pPr>
      <w:r>
        <w:rPr>
          <w:rFonts w:ascii="Arial" w:cs="Arial" w:eastAsia="Arial" w:hAnsi="Arial"/>
          <w:sz w:val="22"/>
          <w:szCs w:val="22"/>
        </w:rPr>
        <w:t xml:space="preserve">Microcontroladores con aceleracion de inferencia neuronal de ultra-bajo consumo (Analog Devices MAX78000, ARM Cortex-M55 + NPU Ethos-U55).</w:t>
      </w:r>
    </w:p>
    <w:p>
      <w:pPr>
        <w:pStyle w:val="ListParagraph"/>
        <w:numPr>
          <w:ilvl w:val="0"/>
          <w:numId w:val="2"/>
        </w:numPr>
        <w:spacing w:before="40" w:after="40"/>
      </w:pPr>
      <w:r>
        <w:rPr>
          <w:rFonts w:ascii="Arial" w:cs="Arial" w:eastAsia="Arial" w:hAnsi="Arial"/>
          <w:sz w:val="22"/>
          <w:szCs w:val="22"/>
        </w:rPr>
        <w:t xml:space="preserve">Modelos TinyML cuantizados (LSTM, TCN) con capacidad de inferencia de series temporales en dispositivos de menos de 100 mW.</w:t>
      </w:r>
    </w:p>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1.3 Hipotesis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6F1FB" w:val="clear"/>
            <w:tcMar>
              <w:top w:type="dxa" w:w="120"/>
              <w:left w:type="dxa" w:w="160"/>
              <w:bottom w:type="dxa" w:w="120"/>
              <w:right w:type="dxa" w:w="160"/>
            </w:tcMar>
          </w:tcPr>
          <w:p>
            <w:pPr>
              <w:spacing w:before="0" w:after="0"/>
            </w:pPr>
            <w:r>
              <w:rPr>
                <w:rFonts w:ascii="Arial" w:cs="Arial" w:eastAsia="Arial" w:hAnsi="Arial"/>
                <w:b/>
                <w:bCs/>
                <w:color w:val="1B3A6B"/>
                <w:sz w:val="22"/>
                <w:szCs w:val="22"/>
              </w:rPr>
              <w:t xml:space="preserve">Hipotesis H1: </w:t>
            </w:r>
            <w:r>
              <w:rPr>
                <w:rFonts w:ascii="Arial" w:cs="Arial" w:eastAsia="Arial" w:hAnsi="Arial"/>
                <w:sz w:val="22"/>
                <w:szCs w:val="22"/>
              </w:rPr>
              <w:t xml:space="preserve">Es posible construir un indice cuantitativo de 'Desviacion Simbolica Sistemica' (DSS) — calculado exclusivamente a partir de variables fisiologicas no invasivas de acceso continuo (HRV, GSR, glucosa intersticial, temperatura, cinematica respiratoria) — que anticipe con una ventana de 30-90 dias la aparicion de biomarcadores bioquimicos clasicos de desregulacion metabolica (HbA1c elevado, perfil lipidico alterado, TSH fuera de rango, cortisol en saliva elevado medido por ELISA).</w:t>
            </w:r>
          </w:p>
        </w:tc>
      </w:tr>
    </w:tbl>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1.4 Brechas que cubre este protocolo</w:t>
      </w:r>
    </w:p>
    <w:p>
      <w:pPr>
        <w:spacing w:before="80" w:after="80"/>
      </w:pPr>
      <w:r>
        <w:rPr>
          <w:rFonts w:ascii="Arial" w:cs="Arial" w:eastAsia="Arial" w:hAnsi="Arial"/>
          <w:sz w:val="22"/>
          <w:szCs w:val="22"/>
        </w:rPr>
        <w:t xml:space="preserve">Este protocolo fue disenado para cubrir sistematicamente las seis brechas criticas identificadas en el analisis de factibilidad tecnica (Analisis_Inicial.docx, Marzo 2026):</w:t>
      </w:r>
    </w:p>
    <w:p>
      <w:pPr>
        <w:pStyle w:val="ListParagraph"/>
        <w:numPr>
          <w:ilvl w:val="0"/>
          <w:numId w:val="3"/>
        </w:numPr>
        <w:spacing w:before="40" w:after="40"/>
      </w:pPr>
      <w:r>
        <w:rPr>
          <w:rFonts w:ascii="Arial" w:cs="Arial" w:eastAsia="Arial" w:hAnsi="Arial"/>
          <w:sz w:val="22"/>
          <w:szCs w:val="22"/>
        </w:rPr>
        <w:t xml:space="preserve">Ausencia de protocolo etico e IRB — Cubierta en Seccion 3.</w:t>
      </w:r>
    </w:p>
    <w:p>
      <w:pPr>
        <w:pStyle w:val="ListParagraph"/>
        <w:numPr>
          <w:ilvl w:val="0"/>
          <w:numId w:val="3"/>
        </w:numPr>
        <w:spacing w:before="40" w:after="40"/>
      </w:pPr>
      <w:r>
        <w:rPr>
          <w:rFonts w:ascii="Arial" w:cs="Arial" w:eastAsia="Arial" w:hAnsi="Arial"/>
          <w:sz w:val="22"/>
          <w:szCs w:val="22"/>
        </w:rPr>
        <w:t xml:space="preserve">Ausencia de modelo de cohorte y criterios de inclusion — Cubierta en Seccion 5.</w:t>
      </w:r>
    </w:p>
    <w:p>
      <w:pPr>
        <w:pStyle w:val="ListParagraph"/>
        <w:numPr>
          <w:ilvl w:val="0"/>
          <w:numId w:val="3"/>
        </w:numPr>
        <w:spacing w:before="40" w:after="40"/>
      </w:pPr>
      <w:r>
        <w:rPr>
          <w:rFonts w:ascii="Arial" w:cs="Arial" w:eastAsia="Arial" w:hAnsi="Arial"/>
          <w:sz w:val="22"/>
          <w:szCs w:val="22"/>
        </w:rPr>
        <w:t xml:space="preserve">Fusion temporal no modelada — Cubierta en Seccion 7.</w:t>
      </w:r>
    </w:p>
    <w:p>
      <w:pPr>
        <w:pStyle w:val="ListParagraph"/>
        <w:numPr>
          <w:ilvl w:val="0"/>
          <w:numId w:val="3"/>
        </w:numPr>
        <w:spacing w:before="40" w:after="40"/>
      </w:pPr>
      <w:r>
        <w:rPr>
          <w:rFonts w:ascii="Arial" w:cs="Arial" w:eastAsia="Arial" w:hAnsi="Arial"/>
          <w:sz w:val="22"/>
          <w:szCs w:val="22"/>
        </w:rPr>
        <w:t xml:space="preserve">Consumo energetico no estimado — Cubierta en Seccion 8.</w:t>
      </w:r>
    </w:p>
    <w:p>
      <w:pPr>
        <w:pStyle w:val="ListParagraph"/>
        <w:numPr>
          <w:ilvl w:val="0"/>
          <w:numId w:val="3"/>
        </w:numPr>
        <w:spacing w:before="40" w:after="40"/>
      </w:pPr>
      <w:r>
        <w:rPr>
          <w:rFonts w:ascii="Arial" w:cs="Arial" w:eastAsia="Arial" w:hAnsi="Arial"/>
          <w:sz w:val="22"/>
          <w:szCs w:val="22"/>
        </w:rPr>
        <w:t xml:space="preserve">Ciclo menstrual como variable confusora — Cubierta en Seccion 5 y 7.</w:t>
      </w:r>
    </w:p>
    <w:p>
      <w:pPr>
        <w:pStyle w:val="ListParagraph"/>
        <w:numPr>
          <w:ilvl w:val="0"/>
          <w:numId w:val="3"/>
        </w:numPr>
        <w:spacing w:before="40" w:after="40"/>
      </w:pPr>
      <w:r>
        <w:rPr>
          <w:rFonts w:ascii="Arial" w:cs="Arial" w:eastAsia="Arial" w:hAnsi="Arial"/>
          <w:sz w:val="22"/>
          <w:szCs w:val="22"/>
        </w:rPr>
        <w:t xml:space="preserve">Costo y accesibilidad omitidos — Cubierta en Seccion 9.</w:t>
      </w:r>
    </w:p>
    <w:p>
      <w:pPr>
        <w:spacing w:before="0" w:after="0"/>
      </w:pPr>
      <w:r>
        <w:br w:type="page"/>
      </w:r>
    </w:p>
    <w:p>
      <w:pPr>
        <w:pStyle w:val="Heading1"/>
        <w:pBdr>
          <w:bottom w:val="single" w:color="1B3A6B" w:sz="6" w:space="4"/>
        </w:pBdr>
        <w:spacing w:before="400" w:after="160"/>
      </w:pPr>
      <w:r>
        <w:rPr>
          <w:rFonts w:ascii="Arial" w:cs="Arial" w:eastAsia="Arial" w:hAnsi="Arial"/>
          <w:b/>
          <w:bCs/>
          <w:color w:val="1B3A6B"/>
          <w:sz w:val="36"/>
          <w:szCs w:val="36"/>
        </w:rPr>
        <w:t xml:space="preserve">2. MARCO LEGAL Y REGULATORIO</w:t>
      </w:r>
    </w:p>
    <w:p>
      <w:pPr>
        <w:pStyle w:val="Heading2"/>
        <w:spacing w:before="300" w:after="120"/>
      </w:pPr>
      <w:r>
        <w:rPr>
          <w:rFonts w:ascii="Arial" w:cs="Arial" w:eastAsia="Arial" w:hAnsi="Arial"/>
          <w:b/>
          <w:bCs/>
          <w:color w:val="0F6E56"/>
          <w:sz w:val="28"/>
          <w:szCs w:val="28"/>
        </w:rPr>
        <w:t xml:space="preserve">2.1 Normativas internacionales aplicables</w:t>
      </w:r>
    </w:p>
    <w:p>
      <w:pPr>
        <w:spacing w:before="80" w:after="80"/>
      </w:pPr>
      <w:r>
        <w:rPr>
          <w:rFonts w:ascii="Arial" w:cs="Arial" w:eastAsia="Arial" w:hAnsi="Arial"/>
          <w:sz w:val="22"/>
          <w:szCs w:val="22"/>
        </w:rPr>
        <w:t xml:space="preserve">El proyecto opera bajo un marco regulatorio multinivel. La siguiente tabla establece cada normativa, su ambito de aplicacion dentro del proyecto y las obligaciones concretas que genera.</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Normativa</w:t>
            </w:r>
          </w:p>
        </w:tc>
        <w:tc>
          <w:tcPr>
            <w:tcW w:type="dxa" w:w="30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Ambito de aplicacion</w:t>
            </w:r>
          </w:p>
        </w:tc>
        <w:tc>
          <w:tcPr>
            <w:tcW w:type="dxa" w:w="416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Obligaciones clave del proyecto</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Declaracion de Helsinki (AMM, 2013)</w:t>
            </w:r>
          </w:p>
        </w:tc>
        <w:tc>
          <w:tcPr>
            <w:tcW w:type="dxa" w:w="3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Investigacion biomedica en seres humanos</w:t>
            </w:r>
          </w:p>
        </w:tc>
        <w:tc>
          <w:tcPr>
            <w:tcW w:type="dxa" w:w="41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Bienestar del participante sobre interes cientifico. Consentimiento informado previo. Revision etica independiente obligatoria.</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Pautas CIOMS 2016</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Investigacion en salud con seres humanos, especialmente en paises de bajos/medianos ingresos</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Evaluacion de riesgo/beneficio individual. Resguardo de poblaciones vulnerables. Diseno cientifico riguroso como requisito etico.</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ISO 14155:2020</w:t>
            </w:r>
          </w:p>
        </w:tc>
        <w:tc>
          <w:tcPr>
            <w:tcW w:type="dxa" w:w="3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Investigacion clinica con dispositivos medicos</w:t>
            </w:r>
          </w:p>
        </w:tc>
        <w:tc>
          <w:tcPr>
            <w:tcW w:type="dxa" w:w="41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Plan de investigacion clinica (CIP). Manejo de eventos adversos. Trazabilidad del dispositivo. Monitorizacion independiente.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ISO 13485:2016</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Sistemas de gestion de calidad para dispositivos medicos</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Control de diseno, trazabilidad de componentes, registros de gestion de riesgo ISO 14971.</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FDA 21 CFR Part 812 (IDE)</w:t>
            </w:r>
          </w:p>
        </w:tc>
        <w:tc>
          <w:tcPr>
            <w:tcW w:type="dxa" w:w="3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Dispositivos en investigacion (EE.UU.)</w:t>
            </w:r>
          </w:p>
        </w:tc>
        <w:tc>
          <w:tcPr>
            <w:tcW w:type="dxa" w:w="41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Aplicable por uso de hardware FDA-cleared (Empatica) en contexto de investigacion fuera de indicacion aprobada. Requiere exencion IDE o IDE abreviada.</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GDPR (UE) / Ley 25.326 (Argentina)</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Proteccion de datos personales de salud</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Datos biometricos = categoria especial. Consentimiento explicito, separado del CI clinico. Derecho de supresion, portabilidad y acceso. DPO designado.</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Ley 26.529 (Argentina) — Derechos del Paciente</w:t>
            </w:r>
          </w:p>
        </w:tc>
        <w:tc>
          <w:tcPr>
            <w:tcW w:type="dxa" w:w="3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Derechos en investigacion en salud</w:t>
            </w:r>
          </w:p>
        </w:tc>
        <w:tc>
          <w:tcPr>
            <w:tcW w:type="dxa" w:w="41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Consentimiento informado escrito. Revocabilidad sin penalidad. Acceso a resultados propios.</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Resolucion ANMAT 6677/2010</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Ensayos clinicos en Argentina</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Aprobacion previa de ANMAT para dispositivos en investigacion. Registro en REPEC.</w:t>
            </w:r>
          </w:p>
        </w:tc>
      </w:tr>
    </w:tbl>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2.2 Clasificacion del estudio y nivel de riesgo</w:t>
      </w:r>
    </w:p>
    <w:p>
      <w:pPr>
        <w:spacing w:before="80" w:after="80"/>
      </w:pPr>
      <w:r>
        <w:rPr>
          <w:rFonts w:ascii="Arial" w:cs="Arial" w:eastAsia="Arial" w:hAnsi="Arial"/>
          <w:sz w:val="22"/>
          <w:szCs w:val="22"/>
        </w:rPr>
        <w:t xml:space="preserve">Segun los criterios de la FDA (21 CFR 812.3(m)) y la Declaracion de Helsinki, el estudio se clasifica como: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EDA" w:val="clear"/>
            <w:tcMar>
              <w:top w:type="dxa" w:w="120"/>
              <w:left w:type="dxa" w:w="160"/>
              <w:bottom w:type="dxa" w:w="120"/>
              <w:right w:type="dxa" w:w="160"/>
            </w:tcMar>
          </w:tcPr>
          <w:p>
            <w:pPr>
              <w:spacing w:before="0" w:after="0"/>
            </w:pPr>
            <w:r>
              <w:rPr>
                <w:rFonts w:ascii="Arial" w:cs="Arial" w:eastAsia="Arial" w:hAnsi="Arial"/>
                <w:b/>
                <w:bCs/>
                <w:color w:val="854F0B"/>
                <w:sz w:val="22"/>
                <w:szCs w:val="22"/>
              </w:rPr>
              <w:t xml:space="preserve">Clasificacion de riesgo: </w:t>
            </w:r>
            <w:r>
              <w:rPr>
                <w:rFonts w:ascii="Arial" w:cs="Arial" w:eastAsia="Arial" w:hAnsi="Arial"/>
                <w:sz w:val="22"/>
                <w:szCs w:val="22"/>
              </w:rPr>
              <w:t xml:space="preserve">RIESGO MINIMO A MODERADO. Los dispositivos utilizados son de tipo observacional no intervencionista. El unico elemento de mayor consideracion es el sensor Dexcom G7, que requiere la insercion de un microfilamento subcutaneo de 4.4 mm con aprobacion de clase II de la FDA. Este procedimiento esta dentro del rango de 'riesgo minimo' segun 21 CFR 56.102(i) por su equivalencia con procedimientos de rutina clinica.</w:t>
            </w:r>
          </w:p>
        </w:tc>
      </w:tr>
    </w:tbl>
    <w:p>
      <w:pPr>
        <w:spacing w:before="60" w:after="60"/>
      </w:pPr>
      <w:r>
        <w:rPr>
          <w:rFonts w:ascii="Arial" w:cs="Arial" w:eastAsia="Arial" w:hAnsi="Arial"/>
          <w:sz w:val="22"/>
          <w:szCs w:val="22"/>
        </w:rPr>
        <w:t xml:space="preserve"/>
      </w:r>
    </w:p>
    <w:p>
      <w:pPr>
        <w:spacing w:before="80" w:after="80"/>
      </w:pPr>
      <w:r>
        <w:rPr>
          <w:rFonts w:ascii="Arial" w:cs="Arial" w:eastAsia="Arial" w:hAnsi="Arial"/>
          <w:sz w:val="22"/>
          <w:szCs w:val="22"/>
        </w:rPr>
        <w:t xml:space="preserve">Esto implica que el estudio puede tramitarse como revision expedita (no requiere reunion plenaria del CEI/IRB) si la cohorte no incluye poblaciones vulnerables. Ver criterios de exclusion en Seccion 5.</w:t>
      </w:r>
    </w:p>
    <w:p>
      <w:pPr>
        <w:pStyle w:val="Heading2"/>
        <w:spacing w:before="300" w:after="120"/>
      </w:pPr>
      <w:r>
        <w:rPr>
          <w:rFonts w:ascii="Arial" w:cs="Arial" w:eastAsia="Arial" w:hAnsi="Arial"/>
          <w:b/>
          <w:bCs/>
          <w:color w:val="0F6E56"/>
          <w:sz w:val="28"/>
          <w:szCs w:val="28"/>
        </w:rPr>
        <w:t xml:space="preserve">2.3 Registro obligatorio del ensayo</w:t>
      </w:r>
    </w:p>
    <w:p>
      <w:pPr>
        <w:spacing w:before="80" w:after="80"/>
      </w:pPr>
      <w:r>
        <w:rPr>
          <w:rFonts w:ascii="Arial" w:cs="Arial" w:eastAsia="Arial" w:hAnsi="Arial"/>
          <w:sz w:val="22"/>
          <w:szCs w:val="22"/>
        </w:rPr>
        <w:t xml:space="preserve">Previo al reclutamiento de cualquier participante, el protocolo debe estar registrado en al menos uno de los siguientes repositorios publicos:</w:t>
      </w:r>
    </w:p>
    <w:p>
      <w:pPr>
        <w:pStyle w:val="ListParagraph"/>
        <w:numPr>
          <w:ilvl w:val="0"/>
          <w:numId w:val="2"/>
        </w:numPr>
        <w:spacing w:before="40" w:after="40"/>
      </w:pPr>
      <w:r>
        <w:rPr>
          <w:rFonts w:ascii="Arial" w:cs="Arial" w:eastAsia="Arial" w:hAnsi="Arial"/>
          <w:sz w:val="22"/>
          <w:szCs w:val="22"/>
        </w:rPr>
        <w:t xml:space="preserve">ClinicalTrials.gov (EE.UU., NCT number) — obligatorio si cualquier dispositivo tiene aprobacion FDA.</w:t>
      </w:r>
    </w:p>
    <w:p>
      <w:pPr>
        <w:pStyle w:val="ListParagraph"/>
        <w:numPr>
          <w:ilvl w:val="0"/>
          <w:numId w:val="2"/>
        </w:numPr>
        <w:spacing w:before="40" w:after="40"/>
      </w:pPr>
      <w:r>
        <w:rPr>
          <w:rFonts w:ascii="Arial" w:cs="Arial" w:eastAsia="Arial" w:hAnsi="Arial"/>
          <w:sz w:val="22"/>
          <w:szCs w:val="22"/>
        </w:rPr>
        <w:t xml:space="preserve">ANMAT REPEC — obligatorio para investigacion en territorio argentino.</w:t>
      </w:r>
    </w:p>
    <w:p>
      <w:pPr>
        <w:pStyle w:val="ListParagraph"/>
        <w:numPr>
          <w:ilvl w:val="0"/>
          <w:numId w:val="2"/>
        </w:numPr>
        <w:spacing w:before="40" w:after="40"/>
      </w:pPr>
      <w:r>
        <w:rPr>
          <w:rFonts w:ascii="Arial" w:cs="Arial" w:eastAsia="Arial" w:hAnsi="Arial"/>
          <w:sz w:val="22"/>
          <w:szCs w:val="22"/>
        </w:rPr>
        <w:t xml:space="preserve">ISRCTN (International Standard Randomised Controlled Trial Number) — recomendado para publicacion en revistas indexadas.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20"/>
              <w:left w:type="dxa" w:w="160"/>
              <w:bottom w:type="dxa" w:w="120"/>
              <w:right w:type="dxa" w:w="160"/>
            </w:tcMar>
          </w:tcPr>
          <w:p>
            <w:pPr>
              <w:spacing w:before="0" w:after="0"/>
            </w:pPr>
            <w:r>
              <w:rPr>
                <w:rFonts w:ascii="Arial" w:cs="Arial" w:eastAsia="Arial" w:hAnsi="Arial"/>
                <w:b/>
                <w:bCs/>
                <w:color w:val="0F6E56"/>
                <w:sz w:val="22"/>
                <w:szCs w:val="22"/>
              </w:rPr>
              <w:t xml:space="preserve">Accion requerida: </w:t>
            </w:r>
            <w:r>
              <w:rPr>
                <w:rFonts w:ascii="Arial" w:cs="Arial" w:eastAsia="Arial" w:hAnsi="Arial"/>
                <w:sz w:val="22"/>
                <w:szCs w:val="22"/>
              </w:rPr>
              <w:t xml:space="preserve">El equipo debe registrar el protocolo en ClinicalTrials.gov y ANMAT REPEC antes de iniciar el reclutamiento. El numero de registro debe figurar en todos los documentos del consentimiento informado y publicaciones.</w:t>
            </w:r>
          </w:p>
        </w:tc>
      </w:tr>
    </w:tbl>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2.4 Propiedad intelectual y datos</w:t>
      </w:r>
    </w:p>
    <w:p>
      <w:pPr>
        <w:spacing w:before="80" w:after="80"/>
      </w:pPr>
      <w:r>
        <w:rPr>
          <w:rFonts w:ascii="Arial" w:cs="Arial" w:eastAsia="Arial" w:hAnsi="Arial"/>
          <w:sz w:val="22"/>
          <w:szCs w:val="22"/>
        </w:rPr>
        <w:t xml:space="preserve">Toda la propiedad intelectual generada — incluyendo algoritmos, modelos TinyML entrenados, arquitectura de fusión de sensores y la definicion del indice DSS — pertenece al equipo investigador y debe ser protegida mediante:</w:t>
      </w:r>
    </w:p>
    <w:p>
      <w:pPr>
        <w:pStyle w:val="ListParagraph"/>
        <w:numPr>
          <w:ilvl w:val="0"/>
          <w:numId w:val="2"/>
        </w:numPr>
        <w:spacing w:before="40" w:after="40"/>
      </w:pPr>
      <w:r>
        <w:rPr>
          <w:rFonts w:ascii="Arial" w:cs="Arial" w:eastAsia="Arial" w:hAnsi="Arial"/>
          <w:sz w:val="22"/>
          <w:szCs w:val="22"/>
        </w:rPr>
        <w:t xml:space="preserve">Registro de obra intelectual (modelos de software) ante el organismo correspondiente previo a cualquier publicacion.</w:t>
      </w:r>
    </w:p>
    <w:p>
      <w:pPr>
        <w:pStyle w:val="ListParagraph"/>
        <w:numPr>
          <w:ilvl w:val="0"/>
          <w:numId w:val="2"/>
        </w:numPr>
        <w:spacing w:before="40" w:after="40"/>
      </w:pPr>
      <w:r>
        <w:rPr>
          <w:rFonts w:ascii="Arial" w:cs="Arial" w:eastAsia="Arial" w:hAnsi="Arial"/>
          <w:sz w:val="22"/>
          <w:szCs w:val="22"/>
        </w:rPr>
        <w:t xml:space="preserve">Acuerdos de confidencialidad (NDA) firmados por todos los colaboradores externos, instituciones e investigadores invitados antes de compartir documentacion tecnica.</w:t>
      </w:r>
    </w:p>
    <w:p>
      <w:pPr>
        <w:pStyle w:val="ListParagraph"/>
        <w:numPr>
          <w:ilvl w:val="0"/>
          <w:numId w:val="2"/>
        </w:numPr>
        <w:spacing w:before="40" w:after="40"/>
      </w:pPr>
      <w:r>
        <w:rPr>
          <w:rFonts w:ascii="Arial" w:cs="Arial" w:eastAsia="Arial" w:hAnsi="Arial"/>
          <w:sz w:val="22"/>
          <w:szCs w:val="22"/>
        </w:rPr>
        <w:t xml:space="preserve">Clausulas de propiedad compartida en convenios con instituciones co-investigadoras, definiendo explicitamente la titularidad de los algoritmos generados.</w:t>
      </w:r>
    </w:p>
    <w:p>
      <w:pPr>
        <w:spacing w:before="0" w:after="0"/>
      </w:pPr>
      <w:r>
        <w:br w:type="page"/>
      </w:r>
    </w:p>
    <w:p>
      <w:pPr>
        <w:pStyle w:val="Heading1"/>
        <w:pBdr>
          <w:bottom w:val="single" w:color="1B3A6B" w:sz="6" w:space="4"/>
        </w:pBdr>
        <w:spacing w:before="400" w:after="160"/>
      </w:pPr>
      <w:r>
        <w:rPr>
          <w:rFonts w:ascii="Arial" w:cs="Arial" w:eastAsia="Arial" w:hAnsi="Arial"/>
          <w:b/>
          <w:bCs/>
          <w:color w:val="1B3A6B"/>
          <w:sz w:val="36"/>
          <w:szCs w:val="36"/>
        </w:rPr>
        <w:t xml:space="preserve">3. PROTOCOLO ETICO Y COMITE DE ETICA (IRB/CEI)</w:t>
      </w:r>
    </w:p>
    <w:p>
      <w:pPr>
        <w:pStyle w:val="Heading2"/>
        <w:spacing w:before="300" w:after="120"/>
      </w:pPr>
      <w:r>
        <w:rPr>
          <w:rFonts w:ascii="Arial" w:cs="Arial" w:eastAsia="Arial" w:hAnsi="Arial"/>
          <w:b/>
          <w:bCs/>
          <w:color w:val="0F6E56"/>
          <w:sz w:val="28"/>
          <w:szCs w:val="28"/>
        </w:rPr>
        <w:t xml:space="preserve">3.1 Estructura del Comite de Etica en Investigacion (CEI)</w:t>
      </w:r>
    </w:p>
    <w:p>
      <w:pPr>
        <w:spacing w:before="80" w:after="80"/>
      </w:pPr>
      <w:r>
        <w:rPr>
          <w:rFonts w:ascii="Arial" w:cs="Arial" w:eastAsia="Arial" w:hAnsi="Arial"/>
          <w:sz w:val="22"/>
          <w:szCs w:val="22"/>
        </w:rPr>
        <w:t xml:space="preserve">El proyecto debe contar con un Comite de Etica en Investigacion (CEI) independiente del equipo investigador. Este comite debe incluir, como minimo: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Rol en el CEI</w:t>
            </w:r>
          </w:p>
        </w:tc>
        <w:tc>
          <w:tcPr>
            <w:tcW w:type="dxa" w:w="22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Perfil requerido</w:t>
            </w:r>
          </w:p>
        </w:tc>
        <w:tc>
          <w:tcPr>
            <w:tcW w:type="dxa" w:w="42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Funcion</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Presidente</w:t>
            </w:r>
          </w:p>
        </w:tc>
        <w:tc>
          <w:tcPr>
            <w:tcW w:type="dxa" w:w="228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Medico con especialidad clinica, sin conflicto de interes</w:t>
            </w:r>
          </w:p>
        </w:tc>
        <w:tc>
          <w:tcPr>
            <w:tcW w:type="dxa" w:w="428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Revision integrada del protocolo. Voto de calidad.</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Eticista / Bioeticista</w:t>
            </w:r>
          </w:p>
        </w:tc>
        <w:tc>
          <w:tcPr>
            <w:tcW w:type="dxa" w:w="22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Doctorado en bioetica o filosofia medica</w:t>
            </w:r>
          </w:p>
        </w:tc>
        <w:tc>
          <w:tcPr>
            <w:tcW w:type="dxa" w:w="42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Evaluacion de consentimiento informado, equidad en reclutamiento, riesgo-beneficio.</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Especialista legal</w:t>
            </w:r>
          </w:p>
        </w:tc>
        <w:tc>
          <w:tcPr>
            <w:tcW w:type="dxa" w:w="228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Abogado con experiencia en derecho sanitario</w:t>
            </w:r>
          </w:p>
        </w:tc>
        <w:tc>
          <w:tcPr>
            <w:tcW w:type="dxa" w:w="428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Revision de clausulas de confidencialidad, GDPR/25.326, responsabilidad civil.</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Representante de la comunidad</w:t>
            </w:r>
          </w:p>
        </w:tc>
        <w:tc>
          <w:tcPr>
            <w:tcW w:type="dxa" w:w="22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Persona lega, sin formacion medica</w:t>
            </w:r>
          </w:p>
        </w:tc>
        <w:tc>
          <w:tcPr>
            <w:tcW w:type="dxa" w:w="42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Perspectiva del participante. Legibilidad del consentimiento informado.</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Estadistico independiente</w:t>
            </w:r>
          </w:p>
        </w:tc>
        <w:tc>
          <w:tcPr>
            <w:tcW w:type="dxa" w:w="228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PhD en estadistica o epidemiologia</w:t>
            </w:r>
          </w:p>
        </w:tc>
        <w:tc>
          <w:tcPr>
            <w:tcW w:type="dxa" w:w="428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Revision del plan estadistico, potencia, control de sesgos.</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Experto en dispositivos medicos</w:t>
            </w:r>
          </w:p>
        </w:tc>
        <w:tc>
          <w:tcPr>
            <w:tcW w:type="dxa" w:w="22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Ingeniero biomedico externo al equipo</w:t>
            </w:r>
          </w:p>
        </w:tc>
        <w:tc>
          <w:tcPr>
            <w:tcW w:type="dxa" w:w="42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Evaluacion de riesgo tecnico, fiabilidad del hardware, eventos adversos.</w:t>
            </w:r>
          </w:p>
        </w:tc>
      </w:tr>
    </w:tbl>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3.2 Principios eticos fundamentales</w:t>
      </w:r>
    </w:p>
    <w:p>
      <w:pPr>
        <w:spacing w:before="80" w:after="80"/>
      </w:pPr>
      <w:r>
        <w:rPr>
          <w:rFonts w:ascii="Arial" w:cs="Arial" w:eastAsia="Arial" w:hAnsi="Arial"/>
          <w:sz w:val="22"/>
          <w:szCs w:val="22"/>
        </w:rPr>
        <w:t xml:space="preserve">El diseno del estudio esta guiado por los cuatro principios de la bioetica principialista (Beauchamp y Childress) aplicados al contexto especifico de datos biometricos continuos:</w:t>
      </w:r>
    </w:p>
    <w:p>
      <w:pPr>
        <w:pStyle w:val="Heading4"/>
        <w:spacing w:before="160" w:after="60"/>
      </w:pPr>
      <w:r>
        <w:rPr>
          <w:rFonts w:ascii="Arial" w:cs="Arial" w:eastAsia="Arial" w:hAnsi="Arial"/>
          <w:b/>
          <w:bCs/>
          <w:color w:val="5F5E5A"/>
          <w:sz w:val="22"/>
          <w:szCs w:val="22"/>
        </w:rPr>
        <w:t xml:space="preserve">Autonomia</w:t>
      </w:r>
    </w:p>
    <w:p>
      <w:pPr>
        <w:spacing w:before="80" w:after="80"/>
      </w:pPr>
      <w:r>
        <w:rPr>
          <w:rFonts w:ascii="Arial" w:cs="Arial" w:eastAsia="Arial" w:hAnsi="Arial"/>
          <w:sz w:val="22"/>
          <w:szCs w:val="22"/>
        </w:rPr>
        <w:t xml:space="preserve">El participante tiene control absoluto sobre sus datos en todo momento. Puede retirar el consentimiento en cualquier momento sin consecuencias. Puede solicitar la eliminacion de todos sus datos biologicos del sistema. Recibe informacion comprensible sobre el uso de su informacion fisiologica.</w:t>
      </w:r>
    </w:p>
    <w:p>
      <w:pPr>
        <w:pStyle w:val="Heading4"/>
        <w:spacing w:before="160" w:after="60"/>
      </w:pPr>
      <w:r>
        <w:rPr>
          <w:rFonts w:ascii="Arial" w:cs="Arial" w:eastAsia="Arial" w:hAnsi="Arial"/>
          <w:b/>
          <w:bCs/>
          <w:color w:val="5F5E5A"/>
          <w:sz w:val="22"/>
          <w:szCs w:val="22"/>
        </w:rPr>
        <w:t xml:space="preserve">Beneficencia</w:t>
      </w:r>
    </w:p>
    <w:p>
      <w:pPr>
        <w:spacing w:before="80" w:after="80"/>
      </w:pPr>
      <w:r>
        <w:rPr>
          <w:rFonts w:ascii="Arial" w:cs="Arial" w:eastAsia="Arial" w:hAnsi="Arial"/>
          <w:sz w:val="22"/>
          <w:szCs w:val="22"/>
        </w:rPr>
        <w:t xml:space="preserve">El protocolo no promete beneficio clinico directo a los participantes de la cohorte piloto. El beneficio potencial es social (avance del conocimiento) e indirecto (posibilidad de recibir alertas de desviacion metabolica con recomendacion de consulta medica, sin caracter diagnostico).</w:t>
      </w:r>
    </w:p>
    <w:p>
      <w:pPr>
        <w:pStyle w:val="Heading4"/>
        <w:spacing w:before="160" w:after="60"/>
      </w:pPr>
      <w:r>
        <w:rPr>
          <w:rFonts w:ascii="Arial" w:cs="Arial" w:eastAsia="Arial" w:hAnsi="Arial"/>
          <w:b/>
          <w:bCs/>
          <w:color w:val="5F5E5A"/>
          <w:sz w:val="22"/>
          <w:szCs w:val="22"/>
        </w:rPr>
        <w:t xml:space="preserve">No maleficencia</w:t>
      </w:r>
    </w:p>
    <w:p>
      <w:pPr>
        <w:spacing w:before="80" w:after="80"/>
      </w:pPr>
      <w:r>
        <w:rPr>
          <w:rFonts w:ascii="Arial" w:cs="Arial" w:eastAsia="Arial" w:hAnsi="Arial"/>
          <w:sz w:val="22"/>
          <w:szCs w:val="22"/>
        </w:rPr>
        <w:t xml:space="preserve">El unico procedimiento invasivo (insercion del sensor CGM) es equivalente en riesgo a una extraccion de sangre capilar. Se establecen protocolos de respuesta ante eventos adversos dermatologicos (dermatitis de contacto, infeccion del sitio de insercion) con acceso garantizado a atencion medica sin costo para el participante.</w:t>
      </w:r>
    </w:p>
    <w:p>
      <w:pPr>
        <w:pStyle w:val="Heading4"/>
        <w:spacing w:before="160" w:after="60"/>
      </w:pPr>
      <w:r>
        <w:rPr>
          <w:rFonts w:ascii="Arial" w:cs="Arial" w:eastAsia="Arial" w:hAnsi="Arial"/>
          <w:b/>
          <w:bCs/>
          <w:color w:val="5F5E5A"/>
          <w:sz w:val="22"/>
          <w:szCs w:val="22"/>
        </w:rPr>
        <w:t xml:space="preserve">Justicia</w:t>
      </w:r>
    </w:p>
    <w:p>
      <w:pPr>
        <w:spacing w:before="80" w:after="80"/>
      </w:pPr>
      <w:r>
        <w:rPr>
          <w:rFonts w:ascii="Arial" w:cs="Arial" w:eastAsia="Arial" w:hAnsi="Arial"/>
          <w:sz w:val="22"/>
          <w:szCs w:val="22"/>
        </w:rPr>
        <w:t xml:space="preserve">El reclutamiento no debe sesgarse hacia participantes de mayor nivel socioeducativo. Se establecen cupos de diversidad en la cohorte (ver Seccion 5). Los participantes reciben compensacion economica justa por su tiempo, no condicionada a sus resultados biologicos.</w:t>
      </w:r>
    </w:p>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3.3 Proceso de consentimiento informado (CI)</w:t>
      </w:r>
    </w:p>
    <w:p>
      <w:pPr>
        <w:spacing w:before="80" w:after="80"/>
      </w:pPr>
      <w:r>
        <w:rPr>
          <w:rFonts w:ascii="Arial" w:cs="Arial" w:eastAsia="Arial" w:hAnsi="Arial"/>
          <w:sz w:val="22"/>
          <w:szCs w:val="22"/>
        </w:rPr>
        <w:t xml:space="preserve">El consentimiento informado es un proceso — no un documento — que incluye las siguientes etapas obligatorias:</w:t>
      </w:r>
    </w:p>
    <w:p>
      <w:pPr>
        <w:pStyle w:val="ListParagraph"/>
        <w:numPr>
          <w:ilvl w:val="0"/>
          <w:numId w:val="3"/>
        </w:numPr>
        <w:spacing w:before="40" w:after="40"/>
      </w:pPr>
      <w:r>
        <w:rPr>
          <w:rFonts w:ascii="Arial" w:cs="Arial" w:eastAsia="Arial" w:hAnsi="Arial"/>
          <w:sz w:val="22"/>
          <w:szCs w:val="22"/>
        </w:rPr>
        <w:t xml:space="preserve">Primera reunion informativa: presentacion del estudio por parte del investigador principal. Sin firma en esta instancia. Tiempo minimo de reflexion: 72 horas.</w:t>
      </w:r>
    </w:p>
    <w:p>
      <w:pPr>
        <w:pStyle w:val="ListParagraph"/>
        <w:numPr>
          <w:ilvl w:val="0"/>
          <w:numId w:val="3"/>
        </w:numPr>
        <w:spacing w:before="40" w:after="40"/>
      </w:pPr>
      <w:r>
        <w:rPr>
          <w:rFonts w:ascii="Arial" w:cs="Arial" w:eastAsia="Arial" w:hAnsi="Arial"/>
          <w:sz w:val="22"/>
          <w:szCs w:val="22"/>
        </w:rPr>
        <w:t xml:space="preserve">Segunda reunion de preguntas: el participante puede traer consultas, familiares o representante legal. Se resuelven todas las dudas por escrito.</w:t>
      </w:r>
    </w:p>
    <w:p>
      <w:pPr>
        <w:pStyle w:val="ListParagraph"/>
        <w:numPr>
          <w:ilvl w:val="0"/>
          <w:numId w:val="3"/>
        </w:numPr>
        <w:spacing w:before="40" w:after="40"/>
      </w:pPr>
      <w:r>
        <w:rPr>
          <w:rFonts w:ascii="Arial" w:cs="Arial" w:eastAsia="Arial" w:hAnsi="Arial"/>
          <w:sz w:val="22"/>
          <w:szCs w:val="22"/>
        </w:rPr>
        <w:t xml:space="preserve">Firma del consentimiento en presencia de testigo independiente (no miembro del equipo investigador).</w:t>
      </w:r>
    </w:p>
    <w:p>
      <w:pPr>
        <w:pStyle w:val="ListParagraph"/>
        <w:numPr>
          <w:ilvl w:val="0"/>
          <w:numId w:val="3"/>
        </w:numPr>
        <w:spacing w:before="40" w:after="40"/>
      </w:pPr>
      <w:r>
        <w:rPr>
          <w:rFonts w:ascii="Arial" w:cs="Arial" w:eastAsia="Arial" w:hAnsi="Arial"/>
          <w:sz w:val="22"/>
          <w:szCs w:val="22"/>
        </w:rPr>
        <w:t xml:space="preserve">Entrega de copia firmada al participante. Conservacion del original en archivo seguro del CEI.</w:t>
      </w:r>
    </w:p>
    <w:p>
      <w:pPr>
        <w:pStyle w:val="ListParagraph"/>
        <w:numPr>
          <w:ilvl w:val="0"/>
          <w:numId w:val="3"/>
        </w:numPr>
        <w:spacing w:before="40" w:after="40"/>
      </w:pPr>
      <w:r>
        <w:rPr>
          <w:rFonts w:ascii="Arial" w:cs="Arial" w:eastAsia="Arial" w:hAnsi="Arial"/>
          <w:sz w:val="22"/>
          <w:szCs w:val="22"/>
        </w:rPr>
        <w:t xml:space="preserve">Proceso de re-consentimiento si el protocolo es modificado sustancialmente.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20"/>
              <w:left w:type="dxa" w:w="160"/>
              <w:bottom w:type="dxa" w:w="120"/>
              <w:right w:type="dxa" w:w="160"/>
            </w:tcMar>
          </w:tcPr>
          <w:p>
            <w:pPr>
              <w:spacing w:before="0" w:after="0"/>
            </w:pPr>
            <w:r>
              <w:rPr>
                <w:rFonts w:ascii="Arial" w:cs="Arial" w:eastAsia="Arial" w:hAnsi="Arial"/>
                <w:b/>
                <w:bCs/>
                <w:color w:val="0F6E56"/>
                <w:sz w:val="22"/>
                <w:szCs w:val="22"/>
              </w:rPr>
              <w:t xml:space="preserve">Contenido obligatorio del documento CI: </w:t>
            </w:r>
            <w:r>
              <w:rPr>
                <w:rFonts w:ascii="Arial" w:cs="Arial" w:eastAsia="Arial" w:hAnsi="Arial"/>
                <w:sz w:val="22"/>
                <w:szCs w:val="22"/>
              </w:rPr>
              <w:t xml:space="preserve">El CI debe incluir: (1) objetivos del estudio en lenguaje llano; (2) descripcion exacta de cada dispositivo y procedimiento; (3) riesgos conocidos y posibles riesgos desconocidos; (4) beneficios realistas — sin promesas diagnosticas; (5) derechos del participante (retiro, acceso a datos, supresion); (6) datos de contacto del CEI independiente; (7) politica de datos (almacenamiento, cifrado, transferencia internacional si aplica); (8) compensacion economica; (9) seguro medico de cobertura ante eventos adversos.</w:t>
            </w:r>
          </w:p>
        </w:tc>
      </w:tr>
    </w:tbl>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3.4 Proteccion de datos biometricos (Privacy by Design)</w:t>
      </w:r>
    </w:p>
    <w:p>
      <w:pPr>
        <w:spacing w:before="80" w:after="80"/>
      </w:pPr>
      <w:r>
        <w:rPr>
          <w:rFonts w:ascii="Arial" w:cs="Arial" w:eastAsia="Arial" w:hAnsi="Arial"/>
          <w:sz w:val="22"/>
          <w:szCs w:val="22"/>
        </w:rPr>
        <w:t xml:space="preserve">Dado que el proyecto recolecta datos de categoria especial (biometricos y de salud) bajo GDPR Art. 9 y Ley 25.326 Art. 2, se implementa la arquitectura de privacidad por diseno:</w:t>
      </w:r>
    </w:p>
    <w:p>
      <w:pPr>
        <w:pStyle w:val="ListParagraph"/>
        <w:numPr>
          <w:ilvl w:val="0"/>
          <w:numId w:val="2"/>
        </w:numPr>
        <w:spacing w:before="40" w:after="40"/>
      </w:pPr>
      <w:r>
        <w:rPr>
          <w:rFonts w:ascii="Arial" w:cs="Arial" w:eastAsia="Arial" w:hAnsi="Arial"/>
          <w:sz w:val="22"/>
          <w:szCs w:val="22"/>
        </w:rPr>
        <w:t xml:space="preserve">Seudonimizacion obligatoria desde la captura: cada participante recibe un codigo alfa-numerico anonimo. La tabla de correspondencia nombre-codigo se almacena en un sistema fisicamente separado, bajo acceso exclusivo del investigador principal y el responsable legal del CEI.</w:t>
      </w:r>
    </w:p>
    <w:p>
      <w:pPr>
        <w:pStyle w:val="ListParagraph"/>
        <w:numPr>
          <w:ilvl w:val="0"/>
          <w:numId w:val="2"/>
        </w:numPr>
        <w:spacing w:before="40" w:after="40"/>
      </w:pPr>
      <w:r>
        <w:rPr>
          <w:rFonts w:ascii="Arial" w:cs="Arial" w:eastAsia="Arial" w:hAnsi="Arial"/>
          <w:sz w:val="22"/>
          <w:szCs w:val="22"/>
        </w:rPr>
        <w:t xml:space="preserve">Cifrado de extremo a extremo: todos los datos en transito (BLE, WiFi) se cifran con AES-256. Los datos en reposo en servidores se cifran con RSA-4096 + AES-256.</w:t>
      </w:r>
    </w:p>
    <w:p>
      <w:pPr>
        <w:pStyle w:val="ListParagraph"/>
        <w:numPr>
          <w:ilvl w:val="0"/>
          <w:numId w:val="2"/>
        </w:numPr>
        <w:spacing w:before="40" w:after="40"/>
      </w:pPr>
      <w:r>
        <w:rPr>
          <w:rFonts w:ascii="Arial" w:cs="Arial" w:eastAsia="Arial" w:hAnsi="Arial"/>
          <w:sz w:val="22"/>
          <w:szCs w:val="22"/>
        </w:rPr>
        <w:t xml:space="preserve">Minimizacion de datos: solo se recolectan los datos estrictamente necesarios para testear la hipotesis H1. No se recolectan datos de ubicacion GPS, contactos, ni ningun dato no biometrico.</w:t>
      </w:r>
    </w:p>
    <w:p>
      <w:pPr>
        <w:pStyle w:val="ListParagraph"/>
        <w:numPr>
          <w:ilvl w:val="0"/>
          <w:numId w:val="2"/>
        </w:numPr>
        <w:spacing w:before="40" w:after="40"/>
      </w:pPr>
      <w:r>
        <w:rPr>
          <w:rFonts w:ascii="Arial" w:cs="Arial" w:eastAsia="Arial" w:hAnsi="Arial"/>
          <w:sz w:val="22"/>
          <w:szCs w:val="22"/>
        </w:rPr>
        <w:t xml:space="preserve">Retension limitada: los datos crudos de alta frecuencia (ECG 256 Hz) se almacenan por 5 anos post-publicacion del estudio. Las etiquetas de ground-truth (cortisol, HbA1c) se retienen por 10 anos conforme a normativa de investigacion clinica.</w:t>
      </w:r>
    </w:p>
    <w:p>
      <w:pPr>
        <w:pStyle w:val="ListParagraph"/>
        <w:numPr>
          <w:ilvl w:val="0"/>
          <w:numId w:val="2"/>
        </w:numPr>
        <w:spacing w:before="40" w:after="40"/>
      </w:pPr>
      <w:r>
        <w:rPr>
          <w:rFonts w:ascii="Arial" w:cs="Arial" w:eastAsia="Arial" w:hAnsi="Arial"/>
          <w:sz w:val="22"/>
          <w:szCs w:val="22"/>
        </w:rPr>
        <w:t xml:space="preserve">Derecho de supresion efectivo: el sistema debe ser tecnicamente capaz de eliminar todos los datos de un participante especifico sin afectar la integridad del dataset anonimizado de otros participantes.</w:t>
      </w:r>
    </w:p>
    <w:p>
      <w:pPr>
        <w:pStyle w:val="ListParagraph"/>
        <w:numPr>
          <w:ilvl w:val="0"/>
          <w:numId w:val="2"/>
        </w:numPr>
        <w:spacing w:before="40" w:after="40"/>
      </w:pPr>
      <w:r>
        <w:rPr>
          <w:rFonts w:ascii="Arial" w:cs="Arial" w:eastAsia="Arial" w:hAnsi="Arial"/>
          <w:sz w:val="22"/>
          <w:szCs w:val="22"/>
        </w:rPr>
        <w:t xml:space="preserve">Evaluacion de impacto en la proteccion de datos (EIPD/DPIA): obligatoria antes del inicio, conforme a GDPR Art. 35.</w:t>
      </w:r>
    </w:p>
    <w:p>
      <w:pPr>
        <w:spacing w:before="0" w:after="0"/>
      </w:pPr>
      <w:r>
        <w:br w:type="page"/>
      </w:r>
    </w:p>
    <w:p>
      <w:pPr>
        <w:pStyle w:val="Heading1"/>
        <w:pBdr>
          <w:bottom w:val="single" w:color="1B3A6B" w:sz="6" w:space="4"/>
        </w:pBdr>
        <w:spacing w:before="400" w:after="160"/>
      </w:pPr>
      <w:r>
        <w:rPr>
          <w:rFonts w:ascii="Arial" w:cs="Arial" w:eastAsia="Arial" w:hAnsi="Arial"/>
          <w:b/>
          <w:bCs/>
          <w:color w:val="1B3A6B"/>
          <w:sz w:val="36"/>
          <w:szCs w:val="36"/>
        </w:rPr>
        <w:t xml:space="preserve">4. FASES DEL PROYECTO Y CRONOGRAMA</w:t>
      </w:r>
    </w:p>
    <w:p>
      <w:pPr>
        <w:pStyle w:val="Heading2"/>
        <w:spacing w:before="300" w:after="120"/>
      </w:pPr>
      <w:r>
        <w:rPr>
          <w:rFonts w:ascii="Arial" w:cs="Arial" w:eastAsia="Arial" w:hAnsi="Arial"/>
          <w:b/>
          <w:bCs/>
          <w:color w:val="0F6E56"/>
          <w:sz w:val="28"/>
          <w:szCs w:val="28"/>
        </w:rPr>
        <w:t xml:space="preserve">4.1 Estructura de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rPr>
          <w:tblHeader/>
        </w:trPr>
        <w:tc>
          <w:tcPr>
            <w:tcW w:type="dxa" w:w="12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Fase</w:t>
            </w:r>
          </w:p>
        </w:tc>
        <w:tc>
          <w:tcPr>
            <w:tcW w:type="dxa" w:w="18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Duracion</w:t>
            </w:r>
          </w:p>
        </w:tc>
        <w:tc>
          <w:tcPr>
            <w:tcW w:type="dxa" w:w="216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Hitos clave</w:t>
            </w:r>
          </w:p>
        </w:tc>
        <w:tc>
          <w:tcPr>
            <w:tcW w:type="dxa" w:w="42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Descripcion</w:t>
            </w:r>
          </w:p>
        </w:tc>
      </w:tr>
      <w:tr>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Fase 0</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Meses 1-3</w:t>
            </w:r>
          </w:p>
        </w:tc>
        <w:tc>
          <w:tcPr>
            <w:tcW w:type="dxa" w:w="21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Aprobacion CEI, registro ClinicalTrials, prototipo hardware</w:t>
            </w:r>
          </w:p>
        </w:tc>
        <w:tc>
          <w:tcPr>
            <w:tcW w:type="dxa" w:w="4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Marco legal completo. Revision y aprobacion del protocolo por el CEI. Construccion y validacion del prototipo del nodo Edge con hardware COTS. Pruebas de bancos de datos sinteticos para el pipeline de fusion temporal.</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Fase 1</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Meses 4-9</w:t>
            </w:r>
          </w:p>
        </w:tc>
        <w:tc>
          <w:tcPr>
            <w:tcW w:type="dxa" w:w="2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Reclutamiento N=30, recoleccion de datos</w:t>
            </w:r>
          </w:p>
        </w:tc>
        <w:tc>
          <w:tcPr>
            <w:tcW w:type="dxa" w:w="4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Reclutamiento y consentimiento de la cohorte piloto (30 sujetos). 90 dias de uso continuo del sistema por participante. Recoleccion de muestras biologicas (saliva, sangre) para ground-truth. Monitoreo de eventos adversos.</w:t>
            </w:r>
          </w:p>
        </w:tc>
      </w:tr>
      <w:tr>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Fase 2</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Meses 10-12</w:t>
            </w:r>
          </w:p>
        </w:tc>
        <w:tc>
          <w:tcPr>
            <w:tcW w:type="dxa" w:w="21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Entrenamiento modelos, validacion DSS</w:t>
            </w:r>
          </w:p>
        </w:tc>
        <w:tc>
          <w:tcPr>
            <w:tcW w:type="dxa" w:w="4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Entrenamiento de los modelos LSTM/TCN con los datos de la cohorte. Validacion cruzada del indice DSS contra los biomarcadores de laboratorio. Analisis estadistico primario. Preparacion de publicacion cientifica.</w:t>
            </w:r>
          </w:p>
        </w:tc>
      </w:tr>
    </w:tbl>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4.2 Criterios de detencion del estudio</w:t>
      </w:r>
    </w:p>
    <w:p>
      <w:pPr>
        <w:spacing w:before="80" w:after="80"/>
      </w:pPr>
      <w:r>
        <w:rPr>
          <w:rFonts w:ascii="Arial" w:cs="Arial" w:eastAsia="Arial" w:hAnsi="Arial"/>
          <w:sz w:val="22"/>
          <w:szCs w:val="22"/>
        </w:rPr>
        <w:t xml:space="preserve">El estudio debe detenerse inmediatamente y el CEI debe ser notificado si se produce cualquiera de los siguientes eventos:</w:t>
      </w:r>
    </w:p>
    <w:p>
      <w:pPr>
        <w:pStyle w:val="ListParagraph"/>
        <w:numPr>
          <w:ilvl w:val="0"/>
          <w:numId w:val="2"/>
        </w:numPr>
        <w:spacing w:before="40" w:after="40"/>
      </w:pPr>
      <w:r>
        <w:rPr>
          <w:rFonts w:ascii="Arial" w:cs="Arial" w:eastAsia="Arial" w:hAnsi="Arial"/>
          <w:sz w:val="22"/>
          <w:szCs w:val="22"/>
        </w:rPr>
        <w:t xml:space="preserve">Tasa de eventos adversos dermatologicos relacionados con dispositivos superior al 15% de la cohorte.</w:t>
      </w:r>
    </w:p>
    <w:p>
      <w:pPr>
        <w:pStyle w:val="ListParagraph"/>
        <w:numPr>
          <w:ilvl w:val="0"/>
          <w:numId w:val="2"/>
        </w:numPr>
        <w:spacing w:before="40" w:after="40"/>
      </w:pPr>
      <w:r>
        <w:rPr>
          <w:rFonts w:ascii="Arial" w:cs="Arial" w:eastAsia="Arial" w:hAnsi="Arial"/>
          <w:sz w:val="22"/>
          <w:szCs w:val="22"/>
        </w:rPr>
        <w:t xml:space="preserve">Brecha de seguridad de datos (acceso no autorizado a datos biometricos de participantes).</w:t>
      </w:r>
    </w:p>
    <w:p>
      <w:pPr>
        <w:pStyle w:val="ListParagraph"/>
        <w:numPr>
          <w:ilvl w:val="0"/>
          <w:numId w:val="2"/>
        </w:numPr>
        <w:spacing w:before="40" w:after="40"/>
      </w:pPr>
      <w:r>
        <w:rPr>
          <w:rFonts w:ascii="Arial" w:cs="Arial" w:eastAsia="Arial" w:hAnsi="Arial"/>
          <w:sz w:val="22"/>
          <w:szCs w:val="22"/>
        </w:rPr>
        <w:t xml:space="preserve">Falla sistematica del pipeline de datos que afecte a mas del 30% de los participantes por mas de 7 dias consecutivos.</w:t>
      </w:r>
    </w:p>
    <w:p>
      <w:pPr>
        <w:pStyle w:val="ListParagraph"/>
        <w:numPr>
          <w:ilvl w:val="0"/>
          <w:numId w:val="2"/>
        </w:numPr>
        <w:spacing w:before="40" w:after="40"/>
      </w:pPr>
      <w:r>
        <w:rPr>
          <w:rFonts w:ascii="Arial" w:cs="Arial" w:eastAsia="Arial" w:hAnsi="Arial"/>
          <w:sz w:val="22"/>
          <w:szCs w:val="22"/>
        </w:rPr>
        <w:t xml:space="preserve">Cualquier evento adverso serio (SAE) posiblemente relacionado con un dispositivo del sistema.</w:t>
      </w:r>
    </w:p>
    <w:p>
      <w:pPr>
        <w:pStyle w:val="ListParagraph"/>
        <w:numPr>
          <w:ilvl w:val="0"/>
          <w:numId w:val="2"/>
        </w:numPr>
        <w:spacing w:before="40" w:after="40"/>
      </w:pPr>
      <w:r>
        <w:rPr>
          <w:rFonts w:ascii="Arial" w:cs="Arial" w:eastAsia="Arial" w:hAnsi="Arial"/>
          <w:sz w:val="22"/>
          <w:szCs w:val="22"/>
        </w:rPr>
        <w:t xml:space="preserve">Instruccion del CEI, ANMAT o autoridad regulatoria competente.</w:t>
      </w:r>
    </w:p>
    <w:p>
      <w:pPr>
        <w:spacing w:before="0" w:after="0"/>
      </w:pPr>
      <w:r>
        <w:br w:type="page"/>
      </w:r>
    </w:p>
    <w:p>
      <w:pPr>
        <w:pStyle w:val="Heading1"/>
        <w:pBdr>
          <w:bottom w:val="single" w:color="1B3A6B" w:sz="6" w:space="4"/>
        </w:pBdr>
        <w:spacing w:before="400" w:after="160"/>
      </w:pPr>
      <w:r>
        <w:rPr>
          <w:rFonts w:ascii="Arial" w:cs="Arial" w:eastAsia="Arial" w:hAnsi="Arial"/>
          <w:b/>
          <w:bCs/>
          <w:color w:val="1B3A6B"/>
          <w:sz w:val="36"/>
          <w:szCs w:val="36"/>
        </w:rPr>
        <w:t xml:space="preserve">5. DISENO DE COHORTE Y CRITERIOS DE PARTICIPACION</w:t>
      </w:r>
    </w:p>
    <w:p>
      <w:pPr>
        <w:pStyle w:val="Heading2"/>
        <w:spacing w:before="300" w:after="120"/>
      </w:pPr>
      <w:r>
        <w:rPr>
          <w:rFonts w:ascii="Arial" w:cs="Arial" w:eastAsia="Arial" w:hAnsi="Arial"/>
          <w:b/>
          <w:bCs/>
          <w:color w:val="0F6E56"/>
          <w:sz w:val="28"/>
          <w:szCs w:val="28"/>
        </w:rPr>
        <w:t xml:space="preserve">5.1 Justificacion del tamano muestral</w:t>
      </w:r>
    </w:p>
    <w:p>
      <w:pPr>
        <w:spacing w:before="80" w:after="80"/>
      </w:pPr>
      <w:r>
        <w:rPr>
          <w:rFonts w:ascii="Arial" w:cs="Arial" w:eastAsia="Arial" w:hAnsi="Arial"/>
          <w:sz w:val="22"/>
          <w:szCs w:val="22"/>
        </w:rPr>
        <w:t xml:space="preserve">Para la fase piloto (N=30), el calculo de potencia esta basado en el objetivo primario: detectar una diferencia de 0.5 desviaciones estandar en el indice DSS entre participantes con biomarcadores normales versus participantes con al menos un biomarcador fuera de rango al final del seguimiento.</w:t>
      </w:r>
    </w:p>
    <w:p>
      <w:pPr>
        <w:pStyle w:val="ListParagraph"/>
        <w:numPr>
          <w:ilvl w:val="0"/>
          <w:numId w:val="2"/>
        </w:numPr>
        <w:spacing w:before="40" w:after="40"/>
      </w:pPr>
      <w:r>
        <w:rPr>
          <w:rFonts w:ascii="Arial" w:cs="Arial" w:eastAsia="Arial" w:hAnsi="Arial"/>
          <w:sz w:val="22"/>
          <w:szCs w:val="22"/>
        </w:rPr>
        <w:t xml:space="preserve">Potencia estadistica: 80% (beta = 0.20)</w:t>
      </w:r>
    </w:p>
    <w:p>
      <w:pPr>
        <w:pStyle w:val="ListParagraph"/>
        <w:numPr>
          <w:ilvl w:val="0"/>
          <w:numId w:val="2"/>
        </w:numPr>
        <w:spacing w:before="40" w:after="40"/>
      </w:pPr>
      <w:r>
        <w:rPr>
          <w:rFonts w:ascii="Arial" w:cs="Arial" w:eastAsia="Arial" w:hAnsi="Arial"/>
          <w:sz w:val="22"/>
          <w:szCs w:val="22"/>
        </w:rPr>
        <w:t xml:space="preserve">Nivel de significancia: alfa = 0.05 (bilateral)</w:t>
      </w:r>
    </w:p>
    <w:p>
      <w:pPr>
        <w:pStyle w:val="ListParagraph"/>
        <w:numPr>
          <w:ilvl w:val="0"/>
          <w:numId w:val="2"/>
        </w:numPr>
        <w:spacing w:before="40" w:after="40"/>
      </w:pPr>
      <w:r>
        <w:rPr>
          <w:rFonts w:ascii="Arial" w:cs="Arial" w:eastAsia="Arial" w:hAnsi="Arial"/>
          <w:sz w:val="22"/>
          <w:szCs w:val="22"/>
        </w:rPr>
        <w:t xml:space="preserve">Tamano del efecto esperado: d de Cohen = 0.5 (moderado, basado en estudios previos de HRV como predictor metabolico)</w:t>
      </w:r>
    </w:p>
    <w:p>
      <w:pPr>
        <w:pStyle w:val="ListParagraph"/>
        <w:numPr>
          <w:ilvl w:val="0"/>
          <w:numId w:val="2"/>
        </w:numPr>
        <w:spacing w:before="40" w:after="40"/>
      </w:pPr>
      <w:r>
        <w:rPr>
          <w:rFonts w:ascii="Arial" w:cs="Arial" w:eastAsia="Arial" w:hAnsi="Arial"/>
          <w:sz w:val="22"/>
          <w:szCs w:val="22"/>
        </w:rPr>
        <w:t xml:space="preserve">Resultado: n = 26 participantes por brazo. Se reclutan 30 para compensar un abandono estimado del 15%.</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EDA" w:val="clear"/>
            <w:tcMar>
              <w:top w:type="dxa" w:w="120"/>
              <w:left w:type="dxa" w:w="160"/>
              <w:bottom w:type="dxa" w:w="120"/>
              <w:right w:type="dxa" w:w="160"/>
            </w:tcMar>
          </w:tcPr>
          <w:p>
            <w:pPr>
              <w:spacing w:before="0" w:after="0"/>
            </w:pPr>
            <w:r>
              <w:rPr>
                <w:rFonts w:ascii="Arial" w:cs="Arial" w:eastAsia="Arial" w:hAnsi="Arial"/>
                <w:b/>
                <w:bCs/>
                <w:color w:val="854F0B"/>
                <w:sz w:val="22"/>
                <w:szCs w:val="22"/>
              </w:rPr>
              <w:t xml:space="preserve">Nota estadistica: </w:t>
            </w:r>
            <w:r>
              <w:rPr>
                <w:rFonts w:ascii="Arial" w:cs="Arial" w:eastAsia="Arial" w:hAnsi="Arial"/>
                <w:sz w:val="22"/>
                <w:szCs w:val="22"/>
              </w:rPr>
              <w:t xml:space="preserve">Esta es una fase exploratoria. El tamano muestral es insuficiente para validacion clinica (que requiere N &gt; 200 con diseno de casos y controles). Los resultados de Fase I son hipotesis-generadores, no evidencia de grado diagnostico.</w:t>
            </w:r>
          </w:p>
        </w:tc>
      </w:tr>
    </w:tbl>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5.2 Criterios de inclusion</w:t>
      </w:r>
    </w:p>
    <w:p>
      <w:pPr>
        <w:pStyle w:val="ListParagraph"/>
        <w:numPr>
          <w:ilvl w:val="0"/>
          <w:numId w:val="3"/>
        </w:numPr>
        <w:spacing w:before="40" w:after="40"/>
      </w:pPr>
      <w:r>
        <w:rPr>
          <w:rFonts w:ascii="Arial" w:cs="Arial" w:eastAsia="Arial" w:hAnsi="Arial"/>
          <w:sz w:val="22"/>
          <w:szCs w:val="22"/>
        </w:rPr>
        <w:t xml:space="preserve">Edad entre 25 y 55 anos cumplidos al momento del reclutamiento.</w:t>
      </w:r>
    </w:p>
    <w:p>
      <w:pPr>
        <w:pStyle w:val="ListParagraph"/>
        <w:numPr>
          <w:ilvl w:val="0"/>
          <w:numId w:val="3"/>
        </w:numPr>
        <w:spacing w:before="40" w:after="40"/>
      </w:pPr>
      <w:r>
        <w:rPr>
          <w:rFonts w:ascii="Arial" w:cs="Arial" w:eastAsia="Arial" w:hAnsi="Arial"/>
          <w:sz w:val="22"/>
          <w:szCs w:val="22"/>
        </w:rPr>
        <w:t xml:space="preserve">Indice de masa corporal (IMC) entre 18.5 y 34.9 kg/m2.</w:t>
      </w:r>
    </w:p>
    <w:p>
      <w:pPr>
        <w:pStyle w:val="ListParagraph"/>
        <w:numPr>
          <w:ilvl w:val="0"/>
          <w:numId w:val="3"/>
        </w:numPr>
        <w:spacing w:before="40" w:after="40"/>
      </w:pPr>
      <w:r>
        <w:rPr>
          <w:rFonts w:ascii="Arial" w:cs="Arial" w:eastAsia="Arial" w:hAnsi="Arial"/>
          <w:sz w:val="22"/>
          <w:szCs w:val="22"/>
        </w:rPr>
        <w:t xml:space="preserve">Sin diagnostico previo de diabetes mellitus tipo 1 o 2, sindrome metabolico, hiper/hipotiroidismo, insuficiencia suprarrenal o cualquier otra endocrinopatia diagnosticada.</w:t>
      </w:r>
    </w:p>
    <w:p>
      <w:pPr>
        <w:pStyle w:val="ListParagraph"/>
        <w:numPr>
          <w:ilvl w:val="0"/>
          <w:numId w:val="3"/>
        </w:numPr>
        <w:spacing w:before="40" w:after="40"/>
      </w:pPr>
      <w:r>
        <w:rPr>
          <w:rFonts w:ascii="Arial" w:cs="Arial" w:eastAsia="Arial" w:hAnsi="Arial"/>
          <w:sz w:val="22"/>
          <w:szCs w:val="22"/>
        </w:rPr>
        <w:t xml:space="preserve">Sin medicacion cronica que afecte el metabolismo de la glucosa, el eje HPA, la funcion tiroidea o el sistema nervioso autonomo (incluye corticoides, betabloqueantes, antidepresivos, anticonceptivos hormonales — ver excepcion en 5.3).</w:t>
      </w:r>
    </w:p>
    <w:p>
      <w:pPr>
        <w:pStyle w:val="ListParagraph"/>
        <w:numPr>
          <w:ilvl w:val="0"/>
          <w:numId w:val="3"/>
        </w:numPr>
        <w:spacing w:before="40" w:after="40"/>
      </w:pPr>
      <w:r>
        <w:rPr>
          <w:rFonts w:ascii="Arial" w:cs="Arial" w:eastAsia="Arial" w:hAnsi="Arial"/>
          <w:sz w:val="22"/>
          <w:szCs w:val="22"/>
        </w:rPr>
        <w:t xml:space="preserve">Capacidad de comprender y firmar el consentimiento informado en castellano.</w:t>
      </w:r>
    </w:p>
    <w:p>
      <w:pPr>
        <w:pStyle w:val="ListParagraph"/>
        <w:numPr>
          <w:ilvl w:val="0"/>
          <w:numId w:val="3"/>
        </w:numPr>
        <w:spacing w:before="40" w:after="40"/>
      </w:pPr>
      <w:r>
        <w:rPr>
          <w:rFonts w:ascii="Arial" w:cs="Arial" w:eastAsia="Arial" w:hAnsi="Arial"/>
          <w:sz w:val="22"/>
          <w:szCs w:val="22"/>
        </w:rPr>
        <w:t xml:space="preserve">Disponibilidad para usar el sistema de sensores de forma continua durante 90 dias.</w:t>
      </w:r>
    </w:p>
    <w:p>
      <w:pPr>
        <w:pStyle w:val="ListParagraph"/>
        <w:numPr>
          <w:ilvl w:val="0"/>
          <w:numId w:val="3"/>
        </w:numPr>
        <w:spacing w:before="40" w:after="40"/>
      </w:pPr>
      <w:r>
        <w:rPr>
          <w:rFonts w:ascii="Arial" w:cs="Arial" w:eastAsia="Arial" w:hAnsi="Arial"/>
          <w:sz w:val="22"/>
          <w:szCs w:val="22"/>
        </w:rPr>
        <w:t xml:space="preserve">Acceso a smartphone compatible (iOS 15+ / Android 10+) para la aplicacion de monitoreo.</w:t>
      </w:r>
    </w:p>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5.3 Criterios de exclusion</w:t>
      </w:r>
    </w:p>
    <w:p>
      <w:pPr>
        <w:pStyle w:val="ListParagraph"/>
        <w:numPr>
          <w:ilvl w:val="0"/>
          <w:numId w:val="3"/>
        </w:numPr>
        <w:spacing w:before="40" w:after="40"/>
      </w:pPr>
      <w:r>
        <w:rPr>
          <w:rFonts w:ascii="Arial" w:cs="Arial" w:eastAsia="Arial" w:hAnsi="Arial"/>
          <w:sz w:val="22"/>
          <w:szCs w:val="22"/>
        </w:rPr>
        <w:t xml:space="preserve">Embarazo confirmado o planificado durante el periodo del estudio.</w:t>
      </w:r>
    </w:p>
    <w:p>
      <w:pPr>
        <w:pStyle w:val="ListParagraph"/>
        <w:numPr>
          <w:ilvl w:val="0"/>
          <w:numId w:val="3"/>
        </w:numPr>
        <w:spacing w:before="40" w:after="40"/>
      </w:pPr>
      <w:r>
        <w:rPr>
          <w:rFonts w:ascii="Arial" w:cs="Arial" w:eastAsia="Arial" w:hAnsi="Arial"/>
          <w:sz w:val="22"/>
          <w:szCs w:val="22"/>
        </w:rPr>
        <w:t xml:space="preserve">Uso de dispositivos medicos implantados (marcapasos, DAI, bomba de insulina).</w:t>
      </w:r>
    </w:p>
    <w:p>
      <w:pPr>
        <w:pStyle w:val="ListParagraph"/>
        <w:numPr>
          <w:ilvl w:val="0"/>
          <w:numId w:val="3"/>
        </w:numPr>
        <w:spacing w:before="40" w:after="40"/>
      </w:pPr>
      <w:r>
        <w:rPr>
          <w:rFonts w:ascii="Arial" w:cs="Arial" w:eastAsia="Arial" w:hAnsi="Arial"/>
          <w:sz w:val="22"/>
          <w:szCs w:val="22"/>
        </w:rPr>
        <w:t xml:space="preserve">Alergia conocida a adhesivos medicos, polimeros de silicona o metales (niquel, plata).</w:t>
      </w:r>
    </w:p>
    <w:p>
      <w:pPr>
        <w:pStyle w:val="ListParagraph"/>
        <w:numPr>
          <w:ilvl w:val="0"/>
          <w:numId w:val="3"/>
        </w:numPr>
        <w:spacing w:before="40" w:after="40"/>
      </w:pPr>
      <w:r>
        <w:rPr>
          <w:rFonts w:ascii="Arial" w:cs="Arial" w:eastAsia="Arial" w:hAnsi="Arial"/>
          <w:sz w:val="22"/>
          <w:szCs w:val="22"/>
        </w:rPr>
        <w:t xml:space="preserve">Enfermedad dermatologica activa en los sitios de colocacion de sensores.</w:t>
      </w:r>
    </w:p>
    <w:p>
      <w:pPr>
        <w:pStyle w:val="ListParagraph"/>
        <w:numPr>
          <w:ilvl w:val="0"/>
          <w:numId w:val="3"/>
        </w:numPr>
        <w:spacing w:before="40" w:after="40"/>
      </w:pPr>
      <w:r>
        <w:rPr>
          <w:rFonts w:ascii="Arial" w:cs="Arial" w:eastAsia="Arial" w:hAnsi="Arial"/>
          <w:sz w:val="22"/>
          <w:szCs w:val="22"/>
        </w:rPr>
        <w:t xml:space="preserve">Participacion simultanea en otro estudio de investigacion clinica.</w:t>
      </w:r>
    </w:p>
    <w:p>
      <w:pPr>
        <w:pStyle w:val="ListParagraph"/>
        <w:numPr>
          <w:ilvl w:val="0"/>
          <w:numId w:val="3"/>
        </w:numPr>
        <w:spacing w:before="40" w:after="40"/>
      </w:pPr>
      <w:r>
        <w:rPr>
          <w:rFonts w:ascii="Arial" w:cs="Arial" w:eastAsia="Arial" w:hAnsi="Arial"/>
          <w:sz w:val="22"/>
          <w:szCs w:val="22"/>
        </w:rPr>
        <w:t xml:space="preserve">Personas privadas de libertad o bajo tutela legal (poblacion vulnerable per CIOMS 2016).</w:t>
      </w:r>
    </w:p>
    <w:p>
      <w:pPr>
        <w:pStyle w:val="ListParagraph"/>
        <w:numPr>
          <w:ilvl w:val="0"/>
          <w:numId w:val="3"/>
        </w:numPr>
        <w:spacing w:before="40" w:after="40"/>
      </w:pPr>
      <w:r>
        <w:rPr>
          <w:rFonts w:ascii="Arial" w:cs="Arial" w:eastAsia="Arial" w:hAnsi="Arial"/>
          <w:sz w:val="22"/>
          <w:szCs w:val="22"/>
        </w:rPr>
        <w:t xml:space="preserve">Atletas de elite (entrenamiento &gt; 20 horas semanales) por ser un fenotipo autonomico atipico.</w:t>
      </w:r>
    </w:p>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5.4 Estructura de diversidad de la cohorte (N=30)</w:t>
      </w:r>
    </w:p>
    <w:p>
      <w:pPr>
        <w:spacing w:before="80" w:after="80"/>
      </w:pPr>
      <w:r>
        <w:rPr>
          <w:rFonts w:ascii="Arial" w:cs="Arial" w:eastAsia="Arial" w:hAnsi="Arial"/>
          <w:sz w:val="22"/>
          <w:szCs w:val="22"/>
        </w:rPr>
        <w:t xml:space="preserve">Para asegurar la representatividad del modelo y evitar sesgos en el entrenamiento del algoritmo, se establece la siguiente estructura de cupos: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Subgrupo</w:t>
            </w:r>
          </w:p>
        </w:tc>
        <w:tc>
          <w:tcPr>
            <w:tcW w:type="dxa" w:w="2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N objetivo</w:t>
            </w:r>
          </w:p>
        </w:tc>
        <w:tc>
          <w:tcPr>
            <w:tcW w:type="dxa" w:w="2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Rango etario</w:t>
            </w:r>
          </w:p>
        </w:tc>
        <w:tc>
          <w:tcPr>
            <w:tcW w:type="dxa" w:w="23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Consideracion metodologica</w:t>
            </w:r>
          </w:p>
        </w:tc>
      </w:tr>
      <w:tr>
        <w:tc>
          <w:tcPr>
            <w:tcW w:type="dxa" w:w="3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Mujeres (ciclicas, sin ACO)</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8</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25-40 anos</w:t>
            </w:r>
          </w:p>
        </w:tc>
        <w:tc>
          <w:tcPr>
            <w:tcW w:type="dxa" w:w="23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Registro obligatorio del dia del ciclo menstrual (ver 5.5)</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Mujeres (post-menopausicas o ACO)</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4</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40-55 anos</w:t>
            </w:r>
          </w:p>
        </w:tc>
        <w:tc>
          <w:tcPr>
            <w:tcW w:type="dxa" w:w="2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Fenotipo hormonal estable — menos variable</w:t>
            </w:r>
          </w:p>
        </w:tc>
      </w:tr>
      <w:tr>
        <w:tc>
          <w:tcPr>
            <w:tcW w:type="dxa" w:w="3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Varones (25-40 anos)</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8</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25-40 anos</w:t>
            </w:r>
          </w:p>
        </w:tc>
        <w:tc>
          <w:tcPr>
            <w:tcW w:type="dxa" w:w="23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Perfil hormonal de referencia joven</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Varones (40-55 anos)</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7</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40-55 anos</w:t>
            </w:r>
          </w:p>
        </w:tc>
        <w:tc>
          <w:tcPr>
            <w:tcW w:type="dxa" w:w="2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Perfil con mayor variabilidad metabolica esperada</w:t>
            </w:r>
          </w:p>
        </w:tc>
      </w:tr>
      <w:tr>
        <w:tc>
          <w:tcPr>
            <w:tcW w:type="dxa" w:w="3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IMC elevado (30-34.9, cualquier sexo)</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3</w:t>
            </w:r>
          </w:p>
        </w:tc>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30-50 anos</w:t>
            </w:r>
          </w:p>
        </w:tc>
        <w:tc>
          <w:tcPr>
            <w:tcW w:type="dxa" w:w="23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Fenotipo de mayor riesgo metabolico subclínico</w:t>
            </w:r>
          </w:p>
        </w:tc>
      </w:tr>
    </w:tbl>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5.5 Protocolo especifico para ciclo menstrual (Brecha critica cubierta)</w:t>
      </w:r>
    </w:p>
    <w:p>
      <w:pPr>
        <w:spacing w:before="80" w:after="80"/>
      </w:pPr>
      <w:r>
        <w:rPr>
          <w:rFonts w:ascii="Arial" w:cs="Arial" w:eastAsia="Arial" w:hAnsi="Arial"/>
          <w:sz w:val="22"/>
          <w:szCs w:val="22"/>
        </w:rPr>
        <w:t xml:space="preserve">El ciclo menstrual es una variable confusora de primer orden en cualquier modelo predictivo endocrino femenino. La fase lutea produce elevacion de temperatura basal (+0.3 a 0.5°C), alteracion del patron de HRV, cambios en la sensibilidad a la insulina y elevacion de la progesterona con efectos sobre el tono vagal. Sin control de esta variable, el modelo generaria falsos positivos de 'alerta metabolica' en el 50% de los sujetos femeninos.</w:t>
      </w:r>
    </w:p>
    <w:p>
      <w:pPr>
        <w:spacing w:before="80" w:after="80"/>
      </w:pPr>
      <w:r>
        <w:rPr>
          <w:rFonts w:ascii="Arial" w:cs="Arial" w:eastAsia="Arial" w:hAnsi="Arial"/>
          <w:sz w:val="22"/>
          <w:szCs w:val="22"/>
        </w:rPr>
        <w:t xml:space="preserve">Protocolo de control:</w:t>
      </w:r>
    </w:p>
    <w:p>
      <w:pPr>
        <w:pStyle w:val="ListParagraph"/>
        <w:numPr>
          <w:ilvl w:val="0"/>
          <w:numId w:val="2"/>
        </w:numPr>
        <w:spacing w:before="40" w:after="40"/>
      </w:pPr>
      <w:r>
        <w:rPr>
          <w:rFonts w:ascii="Arial" w:cs="Arial" w:eastAsia="Arial" w:hAnsi="Arial"/>
          <w:sz w:val="22"/>
          <w:szCs w:val="22"/>
        </w:rPr>
        <w:t xml:space="preserve">Todas las participantes femeninas con ciclos activos registraran diariamente la fase del ciclo en la aplicacion movil del estudio.</w:t>
      </w:r>
    </w:p>
    <w:p>
      <w:pPr>
        <w:pStyle w:val="ListParagraph"/>
        <w:numPr>
          <w:ilvl w:val="0"/>
          <w:numId w:val="2"/>
        </w:numPr>
        <w:spacing w:before="40" w:after="40"/>
      </w:pPr>
      <w:r>
        <w:rPr>
          <w:rFonts w:ascii="Arial" w:cs="Arial" w:eastAsia="Arial" w:hAnsi="Arial"/>
          <w:sz w:val="22"/>
          <w:szCs w:val="22"/>
        </w:rPr>
        <w:t xml:space="preserve">Se utilizara el metodo del termometro basal combinado con la aplicacion de seguimiento de ciclo (Clue o Tempdrop) como referencia externa.</w:t>
      </w:r>
    </w:p>
    <w:p>
      <w:pPr>
        <w:pStyle w:val="ListParagraph"/>
        <w:numPr>
          <w:ilvl w:val="0"/>
          <w:numId w:val="2"/>
        </w:numPr>
        <w:spacing w:before="40" w:after="40"/>
      </w:pPr>
      <w:r>
        <w:rPr>
          <w:rFonts w:ascii="Arial" w:cs="Arial" w:eastAsia="Arial" w:hAnsi="Arial"/>
          <w:sz w:val="22"/>
          <w:szCs w:val="22"/>
        </w:rPr>
        <w:t xml:space="preserve">El modelo TinyML incorporara la fase del ciclo como variable de entrada covariante: el umbral de alerta del DSS se ajustara dinamicamente segun la fase (folicula, ovulacion, lutea, menstruacion).</w:t>
      </w:r>
    </w:p>
    <w:p>
      <w:pPr>
        <w:pStyle w:val="ListParagraph"/>
        <w:numPr>
          <w:ilvl w:val="0"/>
          <w:numId w:val="2"/>
        </w:numPr>
        <w:spacing w:before="40" w:after="40"/>
      </w:pPr>
      <w:r>
        <w:rPr>
          <w:rFonts w:ascii="Arial" w:cs="Arial" w:eastAsia="Arial" w:hAnsi="Arial"/>
          <w:sz w:val="22"/>
          <w:szCs w:val="22"/>
        </w:rPr>
        <w:t xml:space="preserve">El analisis estadistico utilizara modelos de efectos mixtos con la fase del ciclo como variable de control (covariable nuisance).</w:t>
      </w:r>
    </w:p>
    <w:p>
      <w:pPr>
        <w:pStyle w:val="ListParagraph"/>
        <w:numPr>
          <w:ilvl w:val="0"/>
          <w:numId w:val="2"/>
        </w:numPr>
        <w:spacing w:before="40" w:after="40"/>
      </w:pPr>
      <w:r>
        <w:rPr>
          <w:rFonts w:ascii="Arial" w:cs="Arial" w:eastAsia="Arial" w:hAnsi="Arial"/>
          <w:sz w:val="22"/>
          <w:szCs w:val="22"/>
        </w:rPr>
        <w:t xml:space="preserve">Los datos de participantes femeninas seran analizados tambien en sub-cohorte separada para evitar que la variabilidad ciclica enmascare la senal de desviacion metabolica en la cohorte mixta.</w:t>
      </w:r>
    </w:p>
    <w:p>
      <w:pPr>
        <w:spacing w:before="0" w:after="0"/>
      </w:pPr>
      <w:r>
        <w:br w:type="page"/>
      </w:r>
    </w:p>
    <w:p>
      <w:pPr>
        <w:pStyle w:val="Heading1"/>
        <w:pBdr>
          <w:bottom w:val="single" w:color="1B3A6B" w:sz="6" w:space="4"/>
        </w:pBdr>
        <w:spacing w:before="400" w:after="160"/>
      </w:pPr>
      <w:r>
        <w:rPr>
          <w:rFonts w:ascii="Arial" w:cs="Arial" w:eastAsia="Arial" w:hAnsi="Arial"/>
          <w:b/>
          <w:bCs/>
          <w:color w:val="1B3A6B"/>
          <w:sz w:val="36"/>
          <w:szCs w:val="36"/>
        </w:rPr>
        <w:t xml:space="preserve">6. HARDWARE DEL SISTEMA Y PROTOCOLO DE DATOS</w:t>
      </w:r>
    </w:p>
    <w:p>
      <w:pPr>
        <w:pStyle w:val="Heading2"/>
        <w:spacing w:before="300" w:after="120"/>
      </w:pPr>
      <w:r>
        <w:rPr>
          <w:rFonts w:ascii="Arial" w:cs="Arial" w:eastAsia="Arial" w:hAnsi="Arial"/>
          <w:b/>
          <w:bCs/>
          <w:color w:val="0F6E56"/>
          <w:sz w:val="28"/>
          <w:szCs w:val="28"/>
        </w:rPr>
        <w:t xml:space="preserve">6.1 Dispositivos aprobados para el 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60"/>
        <w:gridCol w:w="1800"/>
      </w:tblGrid>
      <w:tr>
        <w:trPr>
          <w:tblHeader/>
        </w:trPr>
        <w:tc>
          <w:tcPr>
            <w:tcW w:type="dxa" w:w="20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Dispositivo</w:t>
            </w:r>
          </w:p>
        </w:tc>
        <w:tc>
          <w:tcPr>
            <w:tcW w:type="dxa" w:w="18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Fabricante</w:t>
            </w:r>
          </w:p>
        </w:tc>
        <w:tc>
          <w:tcPr>
            <w:tcW w:type="dxa" w:w="18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Estado regulatorio</w:t>
            </w:r>
          </w:p>
        </w:tc>
        <w:tc>
          <w:tcPr>
            <w:tcW w:type="dxa" w:w="196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Variable medida</w:t>
            </w:r>
          </w:p>
        </w:tc>
        <w:tc>
          <w:tcPr>
            <w:tcW w:type="dxa" w:w="18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Modalidad</w:t>
            </w:r>
          </w:p>
        </w:tc>
      </w:tr>
      <w:tr>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Dexcom G7</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Dexcom Inc.</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FDA Class II, CE Mark</w:t>
            </w:r>
          </w:p>
        </w:tc>
        <w:tc>
          <w:tcPr>
            <w:tcW w:type="dxa" w:w="19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Glucosa intersticial</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Subcutaneo continuo, 10 dias</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Hexoskin ProShirt</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Hexoskin Inc.</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Health Canada, CE Mark</w:t>
            </w:r>
          </w:p>
        </w:tc>
        <w:tc>
          <w:tcPr>
            <w:tcW w:type="dxa" w:w="1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ECG, HRV, respiracion</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Textil, continuo</w:t>
            </w:r>
          </w:p>
        </w:tc>
      </w:tr>
      <w:tr>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Empatica EmbracePlus</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Empatica S.r.l.</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FDA clearance (EEG/EDA)</w:t>
            </w:r>
          </w:p>
        </w:tc>
        <w:tc>
          <w:tcPr>
            <w:tcW w:type="dxa" w:w="19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GSR, temperatura, acelerometria</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Muneca, continuo</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PKvitality K'Watch Athlete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PKvitality</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Grado investigacion (no CE comercial)</w:t>
            </w:r>
          </w:p>
        </w:tc>
        <w:tc>
          <w:tcPr>
            <w:tcW w:type="dxa" w:w="1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Lactato en sudor</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Parche braza, intermitente</w:t>
            </w:r>
          </w:p>
        </w:tc>
      </w:tr>
      <w:tr>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MAX78000 Edge Pod</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Analog Devices / Custom</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Prototipo de investigacion</w:t>
            </w:r>
          </w:p>
        </w:tc>
        <w:tc>
          <w:tcPr>
            <w:tcW w:type="dxa" w:w="19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Inferencia neuronal local</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Pod magnetico en prenda</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Salimetrics cortisol kit</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Salimetrics LLC</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Uso en investigacion (no clinico)</w:t>
            </w:r>
          </w:p>
        </w:tc>
        <w:tc>
          <w:tcPr>
            <w:tcW w:type="dxa" w:w="1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Cortisol en saliva (ground truth)</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4 muestras/dia x 2 dias/semana</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EDA" w:val="clear"/>
            <w:tcMar>
              <w:top w:type="dxa" w:w="120"/>
              <w:left w:type="dxa" w:w="160"/>
              <w:bottom w:type="dxa" w:w="120"/>
              <w:right w:type="dxa" w:w="160"/>
            </w:tcMar>
          </w:tcPr>
          <w:p>
            <w:pPr>
              <w:spacing w:before="0" w:after="0"/>
            </w:pPr>
            <w:r>
              <w:rPr>
                <w:rFonts w:ascii="Arial" w:cs="Arial" w:eastAsia="Arial" w:hAnsi="Arial"/>
                <w:b/>
                <w:bCs/>
                <w:color w:val="854F0B"/>
                <w:sz w:val="22"/>
                <w:szCs w:val="22"/>
              </w:rPr>
              <w:t xml:space="preserve">Nota regulatoria: </w:t>
            </w:r>
            <w:r>
              <w:rPr>
                <w:rFonts w:ascii="Arial" w:cs="Arial" w:eastAsia="Arial" w:hAnsi="Arial"/>
                <w:sz w:val="22"/>
                <w:szCs w:val="22"/>
              </w:rPr>
              <w:t xml:space="preserve">El K'Watch Athlete de PKvitality se utilizara exclusivamente en su capacidad de dispositivo de investigacion, no como dispositivo diagnostico. Los participantes seran informados de este estatus en el CI. Los datos de lactato no generaran alertas clinicas directas.</w:t>
            </w:r>
          </w:p>
        </w:tc>
      </w:tr>
    </w:tbl>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6.2 Protocolo de instalacion y capacitacion del participante</w:t>
      </w:r>
    </w:p>
    <w:p>
      <w:pPr>
        <w:spacing w:before="80" w:after="80"/>
      </w:pPr>
      <w:r>
        <w:rPr>
          <w:rFonts w:ascii="Arial" w:cs="Arial" w:eastAsia="Arial" w:hAnsi="Arial"/>
          <w:sz w:val="22"/>
          <w:szCs w:val="22"/>
        </w:rPr>
        <w:t xml:space="preserve">Cada participante recibira una sesion de capacitacion de 2 horas en las instalaciones del estudio antes de iniciar el periodo de uso:</w:t>
      </w:r>
    </w:p>
    <w:p>
      <w:pPr>
        <w:pStyle w:val="ListParagraph"/>
        <w:numPr>
          <w:ilvl w:val="0"/>
          <w:numId w:val="3"/>
        </w:numPr>
        <w:spacing w:before="40" w:after="40"/>
      </w:pPr>
      <w:r>
        <w:rPr>
          <w:rFonts w:ascii="Arial" w:cs="Arial" w:eastAsia="Arial" w:hAnsi="Arial"/>
          <w:sz w:val="22"/>
          <w:szCs w:val="22"/>
        </w:rPr>
        <w:t xml:space="preserve">Demostracion de insercion del sensor Dexcom G7 por personal de enfermeria certificado.</w:t>
      </w:r>
    </w:p>
    <w:p>
      <w:pPr>
        <w:pStyle w:val="ListParagraph"/>
        <w:numPr>
          <w:ilvl w:val="0"/>
          <w:numId w:val="3"/>
        </w:numPr>
        <w:spacing w:before="40" w:after="40"/>
      </w:pPr>
      <w:r>
        <w:rPr>
          <w:rFonts w:ascii="Arial" w:cs="Arial" w:eastAsia="Arial" w:hAnsi="Arial"/>
          <w:sz w:val="22"/>
          <w:szCs w:val="22"/>
        </w:rPr>
        <w:t xml:space="preserve">Instrucciones de colocacion de la prenda Hexoskin y calibracion de electrodos (verificacion de contacto).</w:t>
      </w:r>
    </w:p>
    <w:p>
      <w:pPr>
        <w:pStyle w:val="ListParagraph"/>
        <w:numPr>
          <w:ilvl w:val="0"/>
          <w:numId w:val="3"/>
        </w:numPr>
        <w:spacing w:before="40" w:after="40"/>
      </w:pPr>
      <w:r>
        <w:rPr>
          <w:rFonts w:ascii="Arial" w:cs="Arial" w:eastAsia="Arial" w:hAnsi="Arial"/>
          <w:sz w:val="22"/>
          <w:szCs w:val="22"/>
        </w:rPr>
        <w:t xml:space="preserve">Configuracion del Empatica EmbracePlus y sincronizacion con la aplicacion del estudio.</w:t>
      </w:r>
    </w:p>
    <w:p>
      <w:pPr>
        <w:pStyle w:val="ListParagraph"/>
        <w:numPr>
          <w:ilvl w:val="0"/>
          <w:numId w:val="3"/>
        </w:numPr>
        <w:spacing w:before="40" w:after="40"/>
      </w:pPr>
      <w:r>
        <w:rPr>
          <w:rFonts w:ascii="Arial" w:cs="Arial" w:eastAsia="Arial" w:hAnsi="Arial"/>
          <w:sz w:val="22"/>
          <w:szCs w:val="22"/>
        </w:rPr>
        <w:t xml:space="preserve">Protocolo de recoleccion de saliva para Salimetrics (ayuno previo, horario estandarizado: 8 am, 12 pm, 4 pm, 8 pm).</w:t>
      </w:r>
    </w:p>
    <w:p>
      <w:pPr>
        <w:pStyle w:val="ListParagraph"/>
        <w:numPr>
          <w:ilvl w:val="0"/>
          <w:numId w:val="3"/>
        </w:numPr>
        <w:spacing w:before="40" w:after="40"/>
      </w:pPr>
      <w:r>
        <w:rPr>
          <w:rFonts w:ascii="Arial" w:cs="Arial" w:eastAsia="Arial" w:hAnsi="Arial"/>
          <w:sz w:val="22"/>
          <w:szCs w:val="22"/>
        </w:rPr>
        <w:t xml:space="preserve">Simulacro de uso del sistema completo durante 2 horas supervisadas. Aprobacion formal antes de retiro a domicilio.</w:t>
      </w:r>
    </w:p>
    <w:p>
      <w:pPr>
        <w:pStyle w:val="ListParagraph"/>
        <w:numPr>
          <w:ilvl w:val="0"/>
          <w:numId w:val="3"/>
        </w:numPr>
        <w:spacing w:before="40" w:after="40"/>
      </w:pPr>
      <w:r>
        <w:rPr>
          <w:rFonts w:ascii="Arial" w:cs="Arial" w:eastAsia="Arial" w:hAnsi="Arial"/>
          <w:sz w:val="22"/>
          <w:szCs w:val="22"/>
        </w:rPr>
        <w:t xml:space="preserve">Entrega de manual de usuario impreso, numero de telefono de guardia 24/7 del equipo de investigacion.</w:t>
      </w:r>
    </w:p>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6.3 Eventos adversos — Definicion y protocolo de respuesta</w:t>
      </w:r>
    </w:p>
    <w:p>
      <w:pPr>
        <w:spacing w:before="80" w:after="80"/>
      </w:pPr>
      <w:r>
        <w:rPr>
          <w:rFonts w:ascii="Arial" w:cs="Arial" w:eastAsia="Arial" w:hAnsi="Arial"/>
          <w:sz w:val="22"/>
          <w:szCs w:val="22"/>
        </w:rPr>
        <w:t xml:space="preserve">Se definen los siguientes niveles de evento adverso (EA) relacionados con dispositivos:</w:t>
      </w:r>
    </w:p>
    <w:p>
      <w:pPr>
        <w:pStyle w:val="ListParagraph"/>
        <w:numPr>
          <w:ilvl w:val="0"/>
          <w:numId w:val="2"/>
        </w:numPr>
        <w:spacing w:before="40" w:after="40"/>
      </w:pPr>
      <w:r>
        <w:rPr>
          <w:rFonts w:ascii="Arial" w:cs="Arial" w:eastAsia="Arial" w:hAnsi="Arial"/>
          <w:sz w:val="22"/>
          <w:szCs w:val="22"/>
        </w:rPr>
        <w:t xml:space="preserve">EA Grado 1 (leve): Eritema o prurito en sitio de sensor CGM. Accion: aplicacion de crema hidrocortisona topica, registro en base de datos de EA. Continua el estudio.</w:t>
      </w:r>
    </w:p>
    <w:p>
      <w:pPr>
        <w:pStyle w:val="ListParagraph"/>
        <w:numPr>
          <w:ilvl w:val="0"/>
          <w:numId w:val="2"/>
        </w:numPr>
        <w:spacing w:before="40" w:after="40"/>
      </w:pPr>
      <w:r>
        <w:rPr>
          <w:rFonts w:ascii="Arial" w:cs="Arial" w:eastAsia="Arial" w:hAnsi="Arial"/>
          <w:sz w:val="22"/>
          <w:szCs w:val="22"/>
        </w:rPr>
        <w:t xml:space="preserve">EA Grado 2 (moderado): Infeccion localizada en sitio de insercion CGM. Accion: retiro del sensor, evaluacion medica dentro de 24 horas, antibiotico topico. Suspension temporal del dispositivo CGM.</w:t>
      </w:r>
    </w:p>
    <w:p>
      <w:pPr>
        <w:pStyle w:val="ListParagraph"/>
        <w:numPr>
          <w:ilvl w:val="0"/>
          <w:numId w:val="2"/>
        </w:numPr>
        <w:spacing w:before="40" w:after="40"/>
      </w:pPr>
      <w:r>
        <w:rPr>
          <w:rFonts w:ascii="Arial" w:cs="Arial" w:eastAsia="Arial" w:hAnsi="Arial"/>
          <w:sz w:val="22"/>
          <w:szCs w:val="22"/>
        </w:rPr>
        <w:t xml:space="preserve">EA Grado 3 (severo / SAE): Reaccion alergica sistemica, infeccion profunda, cualquier evento que requiera atencion de emergencia. Accion: retiro inmediato de todos los dispositivos, atencion medica urgente cubierta por seguro del estudio, notificacion al CEI en 24 horas, notificacion a ANMAT en 72 horas.</w:t>
      </w:r>
    </w:p>
    <w:p>
      <w:pPr>
        <w:spacing w:before="0" w:after="0"/>
      </w:pPr>
      <w:r>
        <w:br w:type="page"/>
      </w:r>
    </w:p>
    <w:p>
      <w:pPr>
        <w:pStyle w:val="Heading1"/>
        <w:pBdr>
          <w:bottom w:val="single" w:color="1B3A6B" w:sz="6" w:space="4"/>
        </w:pBdr>
        <w:spacing w:before="400" w:after="160"/>
      </w:pPr>
      <w:r>
        <w:rPr>
          <w:rFonts w:ascii="Arial" w:cs="Arial" w:eastAsia="Arial" w:hAnsi="Arial"/>
          <w:b/>
          <w:bCs/>
          <w:color w:val="1B3A6B"/>
          <w:sz w:val="36"/>
          <w:szCs w:val="36"/>
        </w:rPr>
        <w:t xml:space="preserve">7. PIPELINE DE FUSION TEMPORAL Y ARQUITECTURA DE MODELOS</w:t>
      </w:r>
    </w:p>
    <w:p>
      <w:pPr>
        <w:pStyle w:val="Heading2"/>
        <w:spacing w:before="300" w:after="120"/>
      </w:pPr>
      <w:r>
        <w:rPr>
          <w:rFonts w:ascii="Arial" w:cs="Arial" w:eastAsia="Arial" w:hAnsi="Arial"/>
          <w:b/>
          <w:bCs/>
          <w:color w:val="0F6E56"/>
          <w:sz w:val="28"/>
          <w:szCs w:val="28"/>
        </w:rPr>
        <w:t xml:space="preserve">7.1 El problema de la asincronía de senales (brecha cubierta)</w:t>
      </w:r>
    </w:p>
    <w:p>
      <w:pPr>
        <w:spacing w:before="80" w:after="80"/>
      </w:pPr>
      <w:r>
        <w:rPr>
          <w:rFonts w:ascii="Arial" w:cs="Arial" w:eastAsia="Arial" w:hAnsi="Arial"/>
          <w:sz w:val="22"/>
          <w:szCs w:val="22"/>
        </w:rPr>
        <w:t xml:space="preserve">El sistema integra senales con diferencias de hasta 5 ordenes de magnitud en frecuencia de muestreo: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Senal</w:t>
            </w:r>
          </w:p>
        </w:tc>
        <w:tc>
          <w:tcPr>
            <w:tcW w:type="dxa" w:w="16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Frecuencia</w:t>
            </w:r>
          </w:p>
        </w:tc>
        <w:tc>
          <w:tcPr>
            <w:tcW w:type="dxa" w:w="18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Retraso fisiologico</w:t>
            </w:r>
          </w:p>
        </w:tc>
        <w:tc>
          <w:tcPr>
            <w:tcW w:type="dxa" w:w="356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Estrategia de alineacion</w:t>
            </w:r>
          </w:p>
        </w:tc>
      </w:tr>
      <w:tr>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ECG / HRV</w:t>
            </w:r>
          </w:p>
        </w:tc>
        <w:tc>
          <w:tcPr>
            <w:tcW w:type="dxa" w:w="1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256 Hz</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0 ms</w:t>
            </w:r>
          </w:p>
        </w:tc>
        <w:tc>
          <w:tcPr>
            <w:tcW w:type="dxa" w:w="35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Senial de referencia temporal maestra</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Respiracion (plestimografia)</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128 Hz</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0 ms</w:t>
            </w:r>
          </w:p>
        </w:tc>
        <w:tc>
          <w:tcPr>
            <w:tcW w:type="dxa" w:w="3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Alineacion directa con ECG</w:t>
            </w:r>
          </w:p>
        </w:tc>
      </w:tr>
      <w:tr>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GSR / EDA</w:t>
            </w:r>
          </w:p>
        </w:tc>
        <w:tc>
          <w:tcPr>
            <w:tcW w:type="dxa" w:w="1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4-32 Hz</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2-5 seg</w:t>
            </w:r>
          </w:p>
        </w:tc>
        <w:tc>
          <w:tcPr>
            <w:tcW w:type="dxa" w:w="35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Convolucion con ventana de HRV</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Temperatura periferica</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 Hz</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30-120 seg</w:t>
            </w:r>
          </w:p>
        </w:tc>
        <w:tc>
          <w:tcPr>
            <w:tcW w:type="dxa" w:w="3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Interpolacion lineal + filtro Kalman</w:t>
            </w:r>
          </w:p>
        </w:tc>
      </w:tr>
      <w:tr>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Glucosa intersticial</w:t>
            </w:r>
          </w:p>
        </w:tc>
        <w:tc>
          <w:tcPr>
            <w:tcW w:type="dxa" w:w="1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1/300 Hz (5 min)</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5-10 min</w:t>
            </w:r>
          </w:p>
        </w:tc>
        <w:tc>
          <w:tcPr>
            <w:tcW w:type="dxa" w:w="35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Modelo de transferencia ISF-plasma + interpolacion cubica</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Lactato en sudor</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1/60 - 1/300 Hz</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Variable</w:t>
            </w:r>
          </w:p>
        </w:tc>
        <w:tc>
          <w:tcPr>
            <w:tcW w:type="dxa" w:w="3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Imputacion bayesiana con prior metabolico</w:t>
            </w:r>
          </w:p>
        </w:tc>
      </w:tr>
      <w:tr>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Cortisol (saliva)</w:t>
            </w:r>
          </w:p>
        </w:tc>
        <w:tc>
          <w:tcPr>
            <w:tcW w:type="dxa" w:w="1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4/dia</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15-30 min</w:t>
            </w:r>
          </w:p>
        </w:tc>
        <w:tc>
          <w:tcPr>
            <w:tcW w:type="dxa" w:w="35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Variable de etiqueta, no en inferencia en tiempo real</w:t>
            </w:r>
          </w:p>
        </w:tc>
      </w:tr>
    </w:tbl>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7.2 Arquitectura del pipeline de preprocesamiento</w:t>
      </w:r>
    </w:p>
    <w:p>
      <w:pPr>
        <w:spacing w:before="80" w:after="80"/>
      </w:pPr>
      <w:r>
        <w:rPr>
          <w:rFonts w:ascii="Arial" w:cs="Arial" w:eastAsia="Arial" w:hAnsi="Arial"/>
          <w:sz w:val="22"/>
          <w:szCs w:val="22"/>
        </w:rPr>
        <w:t xml:space="preserve">El pipeline de preprocesamiento opera en tres capas:</w:t>
      </w:r>
    </w:p>
    <w:p>
      <w:pPr>
        <w:pStyle w:val="Heading4"/>
        <w:spacing w:before="160" w:after="60"/>
      </w:pPr>
      <w:r>
        <w:rPr>
          <w:rFonts w:ascii="Arial" w:cs="Arial" w:eastAsia="Arial" w:hAnsi="Arial"/>
          <w:b/>
          <w:bCs/>
          <w:color w:val="5F5E5A"/>
          <w:sz w:val="22"/>
          <w:szCs w:val="22"/>
        </w:rPr>
        <w:t xml:space="preserve">Capa 1 — Preprocesamiento en el nodo Edge (MAX78000)</w:t>
      </w:r>
    </w:p>
    <w:p>
      <w:pPr>
        <w:spacing w:before="80" w:after="80"/>
      </w:pPr>
      <w:r>
        <w:rPr>
          <w:rFonts w:ascii="Arial" w:cs="Arial" w:eastAsia="Arial" w:hAnsi="Arial"/>
          <w:sz w:val="22"/>
          <w:szCs w:val="22"/>
        </w:rPr>
        <w:t xml:space="preserve">Ejecuta en el dispositivo, en tiempo real. Latencia maxima permitida: 50 ms.</w:t>
      </w:r>
    </w:p>
    <w:p>
      <w:pPr>
        <w:pStyle w:val="ListParagraph"/>
        <w:numPr>
          <w:ilvl w:val="0"/>
          <w:numId w:val="2"/>
        </w:numPr>
        <w:spacing w:before="40" w:after="40"/>
      </w:pPr>
      <w:r>
        <w:rPr>
          <w:rFonts w:ascii="Arial" w:cs="Arial" w:eastAsia="Arial" w:hAnsi="Arial"/>
          <w:sz w:val="22"/>
          <w:szCs w:val="22"/>
        </w:rPr>
        <w:t xml:space="preserve">Filtrado de artefactos de movimiento en ECG mediante filtro de media movil adaptativo (ventana 200 ms).</w:t>
      </w:r>
    </w:p>
    <w:p>
      <w:pPr>
        <w:pStyle w:val="ListParagraph"/>
        <w:numPr>
          <w:ilvl w:val="0"/>
          <w:numId w:val="2"/>
        </w:numPr>
        <w:spacing w:before="40" w:after="40"/>
      </w:pPr>
      <w:r>
        <w:rPr>
          <w:rFonts w:ascii="Arial" w:cs="Arial" w:eastAsia="Arial" w:hAnsi="Arial"/>
          <w:sz w:val="22"/>
          <w:szCs w:val="22"/>
        </w:rPr>
        <w:t xml:space="preserve">Deteccion de picos R para calculo de RR-intervals y dominio de frecuencia HRV (LF, HF, LF/HF ratio).</w:t>
      </w:r>
    </w:p>
    <w:p>
      <w:pPr>
        <w:pStyle w:val="ListParagraph"/>
        <w:numPr>
          <w:ilvl w:val="0"/>
          <w:numId w:val="2"/>
        </w:numPr>
        <w:spacing w:before="40" w:after="40"/>
      </w:pPr>
      <w:r>
        <w:rPr>
          <w:rFonts w:ascii="Arial" w:cs="Arial" w:eastAsia="Arial" w:hAnsi="Arial"/>
          <w:sz w:val="22"/>
          <w:szCs w:val="22"/>
        </w:rPr>
        <w:t xml:space="preserve">Normalizacion Z-score individual: cada senal se normaliza contra la linea de base de 7 dias del participante.</w:t>
      </w:r>
    </w:p>
    <w:p>
      <w:pPr>
        <w:pStyle w:val="ListParagraph"/>
        <w:numPr>
          <w:ilvl w:val="0"/>
          <w:numId w:val="2"/>
        </w:numPr>
        <w:spacing w:before="40" w:after="40"/>
      </w:pPr>
      <w:r>
        <w:rPr>
          <w:rFonts w:ascii="Arial" w:cs="Arial" w:eastAsia="Arial" w:hAnsi="Arial"/>
          <w:sz w:val="22"/>
          <w:szCs w:val="22"/>
        </w:rPr>
        <w:t xml:space="preserve">Marcado de contexto: el modulo IMU etiqueta automaticamente periodos de reposo, actividad fisica leve, moderada e intensa. Las senales durante actividad fisica intensa se excluyen del computo del DSS.</w:t>
      </w:r>
    </w:p>
    <w:p>
      <w:pPr>
        <w:pStyle w:val="Heading4"/>
        <w:spacing w:before="160" w:after="60"/>
      </w:pPr>
      <w:r>
        <w:rPr>
          <w:rFonts w:ascii="Arial" w:cs="Arial" w:eastAsia="Arial" w:hAnsi="Arial"/>
          <w:b/>
          <w:bCs/>
          <w:color w:val="5F5E5A"/>
          <w:sz w:val="22"/>
          <w:szCs w:val="22"/>
        </w:rPr>
        <w:t xml:space="preserve">Capa 2 — Fusion temporal en el servidor de procesamiento pesado</w:t>
      </w:r>
    </w:p>
    <w:p>
      <w:pPr>
        <w:spacing w:before="80" w:after="80"/>
      </w:pPr>
      <w:r>
        <w:rPr>
          <w:rFonts w:ascii="Arial" w:cs="Arial" w:eastAsia="Arial" w:hAnsi="Arial"/>
          <w:sz w:val="22"/>
          <w:szCs w:val="22"/>
        </w:rPr>
        <w:t xml:space="preserve">Opera en la nube, en diferido (batch procesado cada 15 minutos). Input: vectores normalizados del Edge.</w:t>
      </w:r>
    </w:p>
    <w:p>
      <w:pPr>
        <w:pStyle w:val="ListParagraph"/>
        <w:numPr>
          <w:ilvl w:val="0"/>
          <w:numId w:val="2"/>
        </w:numPr>
        <w:spacing w:before="40" w:after="40"/>
      </w:pPr>
      <w:r>
        <w:rPr>
          <w:rFonts w:ascii="Arial" w:cs="Arial" w:eastAsia="Arial" w:hAnsi="Arial"/>
          <w:sz w:val="22"/>
          <w:szCs w:val="22"/>
        </w:rPr>
        <w:t xml:space="preserve">Alineacion temporal mediante marca de tiempo UTC sincronizada en el Edge via NTP en cada sincronizacion con smartphone.</w:t>
      </w:r>
    </w:p>
    <w:p>
      <w:pPr>
        <w:pStyle w:val="ListParagraph"/>
        <w:numPr>
          <w:ilvl w:val="0"/>
          <w:numId w:val="2"/>
        </w:numPr>
        <w:spacing w:before="40" w:after="40"/>
      </w:pPr>
      <w:r>
        <w:rPr>
          <w:rFonts w:ascii="Arial" w:cs="Arial" w:eastAsia="Arial" w:hAnsi="Arial"/>
          <w:sz w:val="22"/>
          <w:szCs w:val="22"/>
        </w:rPr>
        <w:t xml:space="preserve">Construccion de tensor de entrada: ventana deslizante de 24 horas con paso de 5 minutos. Dimensiones: [288 pasos temporales x 12 caracteristicas].</w:t>
      </w:r>
    </w:p>
    <w:p>
      <w:pPr>
        <w:pStyle w:val="ListParagraph"/>
        <w:numPr>
          <w:ilvl w:val="0"/>
          <w:numId w:val="2"/>
        </w:numPr>
        <w:spacing w:before="40" w:after="40"/>
      </w:pPr>
      <w:r>
        <w:rPr>
          <w:rFonts w:ascii="Arial" w:cs="Arial" w:eastAsia="Arial" w:hAnsi="Arial"/>
          <w:sz w:val="22"/>
          <w:szCs w:val="22"/>
        </w:rPr>
        <w:t xml:space="preserve">Para senales de baja frecuencia (glucosa, temperatura): interpolacion cubica tipo Hermite preservando la forma de la curva. NO se usa interpolacion lineal para glucosa dado que los transitorios postprandiales tienen curvatura diagnosticamente relevante.</w:t>
      </w:r>
    </w:p>
    <w:p>
      <w:pPr>
        <w:pStyle w:val="ListParagraph"/>
        <w:numPr>
          <w:ilvl w:val="0"/>
          <w:numId w:val="2"/>
        </w:numPr>
        <w:spacing w:before="40" w:after="40"/>
      </w:pPr>
      <w:r>
        <w:rPr>
          <w:rFonts w:ascii="Arial" w:cs="Arial" w:eastAsia="Arial" w:hAnsi="Arial"/>
          <w:sz w:val="22"/>
          <w:szCs w:val="22"/>
        </w:rPr>
        <w:t xml:space="preserve">Para datos faltantes (sensor CGM despegado, prenda no usada): imputacion por modelo bayesiano entrenado en datos historicos del mismo participante. Si el porcentaje de datos faltantes en una ventana de 24 horas supera el 30%, esa ventana se marca como invalida y se excluye del analisis.</w:t>
      </w:r>
    </w:p>
    <w:p>
      <w:pPr>
        <w:pStyle w:val="Heading4"/>
        <w:spacing w:before="160" w:after="60"/>
      </w:pPr>
      <w:r>
        <w:rPr>
          <w:rFonts w:ascii="Arial" w:cs="Arial" w:eastAsia="Arial" w:hAnsi="Arial"/>
          <w:b/>
          <w:bCs/>
          <w:color w:val="5F5E5A"/>
          <w:sz w:val="22"/>
          <w:szCs w:val="22"/>
        </w:rPr>
        <w:t xml:space="preserve">Capa 3 — Modelo de inferencia TinyML en el Edge (DSS en tiempo real)</w:t>
      </w:r>
    </w:p>
    <w:p>
      <w:pPr>
        <w:spacing w:before="80" w:after="80"/>
      </w:pPr>
      <w:r>
        <w:rPr>
          <w:rFonts w:ascii="Arial" w:cs="Arial" w:eastAsia="Arial" w:hAnsi="Arial"/>
          <w:sz w:val="22"/>
          <w:szCs w:val="22"/>
        </w:rPr>
        <w:t xml:space="preserve">La inferencia final del indice DSS se ejecuta localmente en el pod MAX78000. El modelo desplegado en Edge es una version cuantizada a INT8 del modelo entrenado en la nube:</w:t>
      </w:r>
    </w:p>
    <w:p>
      <w:pPr>
        <w:pStyle w:val="ListParagraph"/>
        <w:numPr>
          <w:ilvl w:val="0"/>
          <w:numId w:val="2"/>
        </w:numPr>
        <w:spacing w:before="40" w:after="40"/>
      </w:pPr>
      <w:r>
        <w:rPr>
          <w:rFonts w:ascii="Arial" w:cs="Arial" w:eastAsia="Arial" w:hAnsi="Arial"/>
          <w:sz w:val="22"/>
          <w:szCs w:val="22"/>
        </w:rPr>
        <w:t xml:space="preserve">Arquitectura base: LSTM bidireccional con 2 capas de 64 unidades + capa de atencion temporal.</w:t>
      </w:r>
    </w:p>
    <w:p>
      <w:pPr>
        <w:pStyle w:val="ListParagraph"/>
        <w:numPr>
          <w:ilvl w:val="0"/>
          <w:numId w:val="2"/>
        </w:numPr>
        <w:spacing w:before="40" w:after="40"/>
      </w:pPr>
      <w:r>
        <w:rPr>
          <w:rFonts w:ascii="Arial" w:cs="Arial" w:eastAsia="Arial" w:hAnsi="Arial"/>
          <w:sz w:val="22"/>
          <w:szCs w:val="22"/>
        </w:rPr>
        <w:t xml:space="preserve">Input reducido para Edge: 6 caracteristicas criticas (HRV LF/HF ratio, glucosa normalizada, GSR media, temperatura delta, frecuencia respiratoria, actividad IMU). El resto de caracteristicas se usan solo en el analisis en nube.</w:t>
      </w:r>
    </w:p>
    <w:p>
      <w:pPr>
        <w:pStyle w:val="ListParagraph"/>
        <w:numPr>
          <w:ilvl w:val="0"/>
          <w:numId w:val="2"/>
        </w:numPr>
        <w:spacing w:before="40" w:after="40"/>
      </w:pPr>
      <w:r>
        <w:rPr>
          <w:rFonts w:ascii="Arial" w:cs="Arial" w:eastAsia="Arial" w:hAnsi="Arial"/>
          <w:sz w:val="22"/>
          <w:szCs w:val="22"/>
        </w:rPr>
        <w:t xml:space="preserve">Output: escalar DSS en rango [0-100]. Umbral de alerta preclínica: DSS &gt; 72 sostenido por mas de 6 horas. Umbral de alerta de atencion urgente: DSS &gt; 88 en cualquier ventana de 30 minutos.</w:t>
      </w:r>
    </w:p>
    <w:p>
      <w:pPr>
        <w:pStyle w:val="ListParagraph"/>
        <w:numPr>
          <w:ilvl w:val="0"/>
          <w:numId w:val="2"/>
        </w:numPr>
        <w:spacing w:before="40" w:after="40"/>
      </w:pPr>
      <w:r>
        <w:rPr>
          <w:rFonts w:ascii="Arial" w:cs="Arial" w:eastAsia="Arial" w:hAnsi="Arial"/>
          <w:sz w:val="22"/>
          <w:szCs w:val="22"/>
        </w:rPr>
        <w:t xml:space="preserve">Cuantizacion: el modelo se cuantiza a 8 bits (INT8) usando TensorFlow Lite / ONNX con calibracion sobre dataset de entrenamiento para preservar precision diagnostica.</w:t>
      </w:r>
    </w:p>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7.3 Validacion del pipeline</w:t>
      </w:r>
    </w:p>
    <w:p>
      <w:pPr>
        <w:spacing w:before="80" w:after="80"/>
      </w:pPr>
      <w:r>
        <w:rPr>
          <w:rFonts w:ascii="Arial" w:cs="Arial" w:eastAsia="Arial" w:hAnsi="Arial"/>
          <w:sz w:val="22"/>
          <w:szCs w:val="22"/>
        </w:rPr>
        <w:t xml:space="preserve">Antes del inicio de Fase I, el pipeline debe ser validado con datos sinteticos generados por modelos fisiologicos computacionales (PhysioNet / MIMIC-III) bajo los siguientes criterios:</w:t>
      </w:r>
    </w:p>
    <w:p>
      <w:pPr>
        <w:pStyle w:val="ListParagraph"/>
        <w:numPr>
          <w:ilvl w:val="0"/>
          <w:numId w:val="2"/>
        </w:numPr>
        <w:spacing w:before="40" w:after="40"/>
      </w:pPr>
      <w:r>
        <w:rPr>
          <w:rFonts w:ascii="Arial" w:cs="Arial" w:eastAsia="Arial" w:hAnsi="Arial"/>
          <w:sz w:val="22"/>
          <w:szCs w:val="22"/>
        </w:rPr>
        <w:t xml:space="preserve">Precision de la interpolacion cubica de glucosa: error cuadratico medio (RMSE) &lt; 1.2 mg/dL respecto a señal sintetica de referencia.</w:t>
      </w:r>
    </w:p>
    <w:p>
      <w:pPr>
        <w:pStyle w:val="ListParagraph"/>
        <w:numPr>
          <w:ilvl w:val="0"/>
          <w:numId w:val="2"/>
        </w:numPr>
        <w:spacing w:before="40" w:after="40"/>
      </w:pPr>
      <w:r>
        <w:rPr>
          <w:rFonts w:ascii="Arial" w:cs="Arial" w:eastAsia="Arial" w:hAnsi="Arial"/>
          <w:sz w:val="22"/>
          <w:szCs w:val="22"/>
        </w:rPr>
        <w:t xml:space="preserve">Latencia del modelo Edge en MAX78000: &lt; 50 ms por inferencia en condiciones de bateria baja.</w:t>
      </w:r>
    </w:p>
    <w:p>
      <w:pPr>
        <w:pStyle w:val="ListParagraph"/>
        <w:numPr>
          <w:ilvl w:val="0"/>
          <w:numId w:val="2"/>
        </w:numPr>
        <w:spacing w:before="40" w:after="40"/>
      </w:pPr>
      <w:r>
        <w:rPr>
          <w:rFonts w:ascii="Arial" w:cs="Arial" w:eastAsia="Arial" w:hAnsi="Arial"/>
          <w:sz w:val="22"/>
          <w:szCs w:val="22"/>
        </w:rPr>
        <w:t xml:space="preserve">Robustez ante datos faltantes: el modelo debe mantener AUROC &gt; 0.70 con hasta el 25% de datos de glucosa faltantes.</w:t>
      </w:r>
    </w:p>
    <w:p>
      <w:pPr>
        <w:pStyle w:val="ListParagraph"/>
        <w:numPr>
          <w:ilvl w:val="0"/>
          <w:numId w:val="2"/>
        </w:numPr>
        <w:spacing w:before="40" w:after="40"/>
      </w:pPr>
      <w:r>
        <w:rPr>
          <w:rFonts w:ascii="Arial" w:cs="Arial" w:eastAsia="Arial" w:hAnsi="Arial"/>
          <w:sz w:val="22"/>
          <w:szCs w:val="22"/>
        </w:rPr>
        <w:t xml:space="preserve">Prueba de regresion completa del pipeline tras cada actualizacion del firmware del pod.</w:t>
      </w:r>
    </w:p>
    <w:p>
      <w:pPr>
        <w:spacing w:before="0" w:after="0"/>
      </w:pPr>
      <w:r>
        <w:br w:type="page"/>
      </w:r>
    </w:p>
    <w:p>
      <w:pPr>
        <w:pStyle w:val="Heading1"/>
        <w:pBdr>
          <w:bottom w:val="single" w:color="1B3A6B" w:sz="6" w:space="4"/>
        </w:pBdr>
        <w:spacing w:before="400" w:after="160"/>
      </w:pPr>
      <w:r>
        <w:rPr>
          <w:rFonts w:ascii="Arial" w:cs="Arial" w:eastAsia="Arial" w:hAnsi="Arial"/>
          <w:b/>
          <w:bCs/>
          <w:color w:val="1B3A6B"/>
          <w:sz w:val="36"/>
          <w:szCs w:val="36"/>
        </w:rPr>
        <w:t xml:space="preserve">8. MODELADO DE CONSUMO ENERGETICO Y AUTONOMIA</w:t>
      </w:r>
    </w:p>
    <w:p>
      <w:pPr>
        <w:pStyle w:val="Heading2"/>
        <w:spacing w:before="300" w:after="120"/>
      </w:pPr>
      <w:r>
        <w:rPr>
          <w:rFonts w:ascii="Arial" w:cs="Arial" w:eastAsia="Arial" w:hAnsi="Arial"/>
          <w:b/>
          <w:bCs/>
          <w:color w:val="0F6E56"/>
          <w:sz w:val="28"/>
          <w:szCs w:val="28"/>
        </w:rPr>
        <w:t xml:space="preserve">8.1 Presupuesto energetico del pod Edge (brecha cubierta)</w:t>
      </w:r>
    </w:p>
    <w:p>
      <w:pPr>
        <w:spacing w:before="80" w:after="80"/>
      </w:pPr>
      <w:r>
        <w:rPr>
          <w:rFonts w:ascii="Arial" w:cs="Arial" w:eastAsia="Arial" w:hAnsi="Arial"/>
          <w:sz w:val="22"/>
          <w:szCs w:val="22"/>
        </w:rPr>
        <w:t xml:space="preserve">El pod Edge debe operar 24/7 durante 90 dias. El dimensionamiento de bateria requiere un modelo de consumo preciso por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1800"/>
        <w:gridCol w:w="1360"/>
      </w:tblGrid>
      <w:tr>
        <w:trPr>
          <w:tblHeader/>
        </w:trPr>
        <w:tc>
          <w:tcPr>
            <w:tcW w:type="dxa" w:w="28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Componente</w:t>
            </w:r>
          </w:p>
        </w:tc>
        <w:tc>
          <w:tcPr>
            <w:tcW w:type="dxa" w:w="16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Modo activo (mA)</w:t>
            </w:r>
          </w:p>
        </w:tc>
        <w:tc>
          <w:tcPr>
            <w:tcW w:type="dxa" w:w="18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Modo sleep (uA)</w:t>
            </w:r>
          </w:p>
        </w:tc>
        <w:tc>
          <w:tcPr>
            <w:tcW w:type="dxa" w:w="18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Ciclo de trabajo est.</w:t>
            </w:r>
          </w:p>
        </w:tc>
        <w:tc>
          <w:tcPr>
            <w:tcW w:type="dxa" w:w="136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Consumo medio (mA)</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MCU ARM Cortex-M55</w:t>
            </w:r>
          </w:p>
        </w:tc>
        <w:tc>
          <w:tcPr>
            <w:tcW w:type="dxa" w:w="1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10 mA</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5 uA</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20% activo</w:t>
            </w:r>
          </w:p>
        </w:tc>
        <w:tc>
          <w:tcPr>
            <w:tcW w:type="dxa" w:w="13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2.0 mA</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NPU Ethos-U55 (inferencia)</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15 mA</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0</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5% activo (inferencia cada 5 min)</w:t>
            </w:r>
          </w:p>
        </w:tc>
        <w:tc>
          <w:tcPr>
            <w:tcW w:type="dxa" w:w="1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0.75 mA</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nRF52840 (BLE hub)</w:t>
            </w:r>
          </w:p>
        </w:tc>
        <w:tc>
          <w:tcPr>
            <w:tcW w:type="dxa" w:w="1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6.5 mA</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2 uA</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15% activo (recepcion BLE)</w:t>
            </w:r>
          </w:p>
        </w:tc>
        <w:tc>
          <w:tcPr>
            <w:tcW w:type="dxa" w:w="13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0.98 mA</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Bus I2C textil (recepcion nodos)</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0.8 mA</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50 uA</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30% activo</w:t>
            </w:r>
          </w:p>
        </w:tc>
        <w:tc>
          <w:tcPr>
            <w:tcW w:type="dxa" w:w="1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0.24 mA</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Display e-ink (estado)</w:t>
            </w:r>
          </w:p>
        </w:tc>
        <w:tc>
          <w:tcPr>
            <w:tcW w:type="dxa" w:w="1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0.5 mA</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5 uA</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2% activo (actualizacion horaria)</w:t>
            </w:r>
          </w:p>
        </w:tc>
        <w:tc>
          <w:tcPr>
            <w:tcW w:type="dxa" w:w="13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0.01 mA</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TOTAL estimado</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w:t>
            </w:r>
          </w:p>
        </w:tc>
        <w:tc>
          <w:tcPr>
            <w:tcW w:type="dxa" w:w="1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~4.0 mA promedio</w:t>
            </w:r>
          </w:p>
        </w:tc>
      </w:tr>
    </w:tbl>
    <w:p>
      <w:pPr>
        <w:spacing w:before="60" w:after="60"/>
      </w:pPr>
      <w:r>
        <w:rPr>
          <w:rFonts w:ascii="Arial" w:cs="Arial" w:eastAsia="Arial" w:hAnsi="Arial"/>
          <w:sz w:val="22"/>
          <w:szCs w:val="22"/>
        </w:rPr>
        <w:t xml:space="preserve"/>
      </w:r>
    </w:p>
    <w:p>
      <w:pPr>
        <w:spacing w:before="80" w:after="80"/>
      </w:pPr>
      <w:r>
        <w:rPr>
          <w:rFonts w:ascii="Arial" w:cs="Arial" w:eastAsia="Arial" w:hAnsi="Arial"/>
          <w:sz w:val="22"/>
          <w:szCs w:val="22"/>
        </w:rPr>
        <w:t xml:space="preserve">Con un consumo promedio de 4.0 mA, el dimensionamiento de bateria para diferentes autonomias:</w:t>
      </w:r>
    </w:p>
    <w:p>
      <w:pPr>
        <w:pStyle w:val="ListParagraph"/>
        <w:numPr>
          <w:ilvl w:val="0"/>
          <w:numId w:val="2"/>
        </w:numPr>
        <w:spacing w:before="40" w:after="40"/>
      </w:pPr>
      <w:r>
        <w:rPr>
          <w:rFonts w:ascii="Arial" w:cs="Arial" w:eastAsia="Arial" w:hAnsi="Arial"/>
          <w:sz w:val="22"/>
          <w:szCs w:val="22"/>
        </w:rPr>
        <w:t xml:space="preserve">Autonomia de 24 horas: bateria de 100 mAh (LiPo delgada, 2.5g, 8mm x 30mm x 40mm).</w:t>
      </w:r>
    </w:p>
    <w:p>
      <w:pPr>
        <w:pStyle w:val="ListParagraph"/>
        <w:numPr>
          <w:ilvl w:val="0"/>
          <w:numId w:val="2"/>
        </w:numPr>
        <w:spacing w:before="40" w:after="40"/>
      </w:pPr>
      <w:r>
        <w:rPr>
          <w:rFonts w:ascii="Arial" w:cs="Arial" w:eastAsia="Arial" w:hAnsi="Arial"/>
          <w:sz w:val="22"/>
          <w:szCs w:val="22"/>
        </w:rPr>
        <w:t xml:space="preserve">Autonomia de 48 horas: bateria de 200 mAh (carga cada 2 dias — impacto ergonomico aceptable).</w:t>
      </w:r>
    </w:p>
    <w:p>
      <w:pPr>
        <w:pStyle w:val="ListParagraph"/>
        <w:numPr>
          <w:ilvl w:val="0"/>
          <w:numId w:val="2"/>
        </w:numPr>
        <w:spacing w:before="40" w:after="40"/>
      </w:pPr>
      <w:r>
        <w:rPr>
          <w:rFonts w:ascii="Arial" w:cs="Arial" w:eastAsia="Arial" w:hAnsi="Arial"/>
          <w:sz w:val="22"/>
          <w:szCs w:val="22"/>
        </w:rPr>
        <w:t xml:space="preserve">Recomendacion: bateria de 180 mAh + carga inalambrica Qi integrada en la prenda. El participante carga el pod durante el sueno usando un pequeno parche cargador adherido a la camisa en la zona del escote.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EDA" w:val="clear"/>
            <w:tcMar>
              <w:top w:type="dxa" w:w="120"/>
              <w:left w:type="dxa" w:w="160"/>
              <w:bottom w:type="dxa" w:w="120"/>
              <w:right w:type="dxa" w:w="160"/>
            </w:tcMar>
          </w:tcPr>
          <w:p>
            <w:pPr>
              <w:spacing w:before="0" w:after="0"/>
            </w:pPr>
            <w:r>
              <w:rPr>
                <w:rFonts w:ascii="Arial" w:cs="Arial" w:eastAsia="Arial" w:hAnsi="Arial"/>
                <w:b/>
                <w:bCs/>
                <w:color w:val="854F0B"/>
                <w:sz w:val="22"/>
                <w:szCs w:val="22"/>
              </w:rPr>
              <w:t xml:space="preserve">Restriccion de diseno: </w:t>
            </w:r>
            <w:r>
              <w:rPr>
                <w:rFonts w:ascii="Arial" w:cs="Arial" w:eastAsia="Arial" w:hAnsi="Arial"/>
                <w:sz w:val="22"/>
                <w:szCs w:val="22"/>
              </w:rPr>
              <w:t xml:space="preserve">La bateria del pod NO debe superar 3.7V / 500 mAh para cumplir con las restricciones de transporte aereo (IATA DGR, Seccion 9.3.F). Esto es relevante si los participantes viajan durante el estudio.</w:t>
            </w:r>
          </w:p>
        </w:tc>
      </w:tr>
    </w:tbl>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8.2 Consumo de los sensores satelite</w:t>
      </w:r>
    </w:p>
    <w:p>
      <w:pPr>
        <w:spacing w:before="80" w:after="80"/>
      </w:pPr>
      <w:r>
        <w:rPr>
          <w:rFonts w:ascii="Arial" w:cs="Arial" w:eastAsia="Arial" w:hAnsi="Arial"/>
          <w:sz w:val="22"/>
          <w:szCs w:val="22"/>
        </w:rPr>
        <w:t xml:space="preserve">Los dispositivos comerciales (Dexcom G7, Empatica EmbracePlus, Hexoskin) tienen sus propias baterias y ciclos de carga. El protocolo establece recordatorios automaticos de carga a traves de la aplicacion movil para garantizar continuidad de datos. Se registra cualquier gap de datos superior a 30 minutos como evento de calidad de datos.</w:t>
      </w:r>
    </w:p>
    <w:p>
      <w:pPr>
        <w:spacing w:before="0" w:after="0"/>
      </w:pPr>
      <w:r>
        <w:br w:type="page"/>
      </w:r>
    </w:p>
    <w:p>
      <w:pPr>
        <w:pStyle w:val="Heading1"/>
        <w:pBdr>
          <w:bottom w:val="single" w:color="1B3A6B" w:sz="6" w:space="4"/>
        </w:pBdr>
        <w:spacing w:before="400" w:after="160"/>
      </w:pPr>
      <w:r>
        <w:rPr>
          <w:rFonts w:ascii="Arial" w:cs="Arial" w:eastAsia="Arial" w:hAnsi="Arial"/>
          <w:b/>
          <w:bCs/>
          <w:color w:val="1B3A6B"/>
          <w:sz w:val="36"/>
          <w:szCs w:val="36"/>
        </w:rPr>
        <w:t xml:space="preserve">9. PRESUPUESTO, COSTOS Y PLAN DE ACCESIBILIDAD</w:t>
      </w:r>
    </w:p>
    <w:p>
      <w:pPr>
        <w:pStyle w:val="Heading2"/>
        <w:spacing w:before="300" w:after="120"/>
      </w:pPr>
      <w:r>
        <w:rPr>
          <w:rFonts w:ascii="Arial" w:cs="Arial" w:eastAsia="Arial" w:hAnsi="Arial"/>
          <w:b/>
          <w:bCs/>
          <w:color w:val="0F6E56"/>
          <w:sz w:val="28"/>
          <w:szCs w:val="28"/>
        </w:rPr>
        <w:t xml:space="preserve">9.1 Costo estimado por participante (N=1)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Item</w:t>
            </w:r>
          </w:p>
        </w:tc>
        <w:tc>
          <w:tcPr>
            <w:tcW w:type="dxa" w:w="18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Costo unitario (USD)</w:t>
            </w:r>
          </w:p>
        </w:tc>
        <w:tc>
          <w:tcPr>
            <w:tcW w:type="dxa" w:w="18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N unidades</w:t>
            </w:r>
          </w:p>
        </w:tc>
        <w:tc>
          <w:tcPr>
            <w:tcW w:type="dxa" w:w="216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Subtotal (USD)</w:t>
            </w:r>
          </w:p>
        </w:tc>
      </w:tr>
      <w:tr>
        <w:tc>
          <w:tcPr>
            <w:tcW w:type="dxa" w:w="3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Dexcom G7 (sensor 10 dias x 9 sensores = 90 dias)</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89</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9</w:t>
            </w:r>
          </w:p>
        </w:tc>
        <w:tc>
          <w:tcPr>
            <w:tcW w:type="dxa" w:w="21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801</w:t>
            </w:r>
          </w:p>
        </w:tc>
      </w:tr>
      <w:tr>
        <w:tc>
          <w:tcPr>
            <w:tcW w:type="dxa" w:w="3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Hexoskin ProShirt (amortizado 30 participantes)</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450/30</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w:t>
            </w:r>
          </w:p>
        </w:tc>
        <w:tc>
          <w:tcPr>
            <w:tcW w:type="dxa" w:w="2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15</w:t>
            </w:r>
          </w:p>
        </w:tc>
      </w:tr>
      <w:tr>
        <w:tc>
          <w:tcPr>
            <w:tcW w:type="dxa" w:w="3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Empatica EmbracePlus (amortizado 30 participantes)</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3200/30</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w:t>
            </w:r>
          </w:p>
        </w:tc>
        <w:tc>
          <w:tcPr>
            <w:tcW w:type="dxa" w:w="21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107</w:t>
            </w:r>
          </w:p>
        </w:tc>
      </w:tr>
      <w:tr>
        <w:tc>
          <w:tcPr>
            <w:tcW w:type="dxa" w:w="3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PKvitality K'Watch Athlete (parches consumibles x 4/mes x 3 meses)</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25</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12</w:t>
            </w:r>
          </w:p>
        </w:tc>
        <w:tc>
          <w:tcPr>
            <w:tcW w:type="dxa" w:w="2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300</w:t>
            </w:r>
          </w:p>
        </w:tc>
      </w:tr>
      <w:tr>
        <w:tc>
          <w:tcPr>
            <w:tcW w:type="dxa" w:w="3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Salimetrics cortisol ELISA kit (8 muestras/semana x 12 semanas)</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12</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96</w:t>
            </w:r>
          </w:p>
        </w:tc>
        <w:tc>
          <w:tcPr>
            <w:tcW w:type="dxa" w:w="21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1.152</w:t>
            </w:r>
          </w:p>
        </w:tc>
      </w:tr>
      <w:tr>
        <w:tc>
          <w:tcPr>
            <w:tcW w:type="dxa" w:w="3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Analisis de laboratorio bioquimico (HbA1c, lipidos, TSH, hemograma — basal y final)</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120</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2</w:t>
            </w:r>
          </w:p>
        </w:tc>
        <w:tc>
          <w:tcPr>
            <w:tcW w:type="dxa" w:w="2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240</w:t>
            </w:r>
          </w:p>
        </w:tc>
      </w:tr>
      <w:tr>
        <w:tc>
          <w:tcPr>
            <w:tcW w:type="dxa" w:w="3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Compensacion al participante (tiempo, transporte)</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10/semana x 13 semanas</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w:t>
            </w:r>
          </w:p>
        </w:tc>
        <w:tc>
          <w:tcPr>
            <w:tcW w:type="dxa" w:w="21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130</w:t>
            </w:r>
          </w:p>
        </w:tc>
      </w:tr>
      <w:tr>
        <w:tc>
          <w:tcPr>
            <w:tcW w:type="dxa" w:w="3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Seguro medico por eventos adversos</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50</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1</w:t>
            </w:r>
          </w:p>
        </w:tc>
        <w:tc>
          <w:tcPr>
            <w:tcW w:type="dxa" w:w="2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50</w:t>
            </w:r>
          </w:p>
        </w:tc>
      </w:tr>
      <w:tr>
        <w:tc>
          <w:tcPr>
            <w:tcW w:type="dxa" w:w="3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TOTAL POR PARTICIPANTE</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w:t>
            </w:r>
          </w:p>
        </w:tc>
        <w:tc>
          <w:tcPr>
            <w:tcW w:type="dxa" w:w="21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~2.795</w:t>
            </w:r>
          </w:p>
        </w:tc>
      </w:tr>
    </w:tbl>
    <w:p>
      <w:pPr>
        <w:spacing w:before="60" w:after="60"/>
      </w:pPr>
      <w:r>
        <w:rPr>
          <w:rFonts w:ascii="Arial" w:cs="Arial" w:eastAsia="Arial" w:hAnsi="Arial"/>
          <w:sz w:val="22"/>
          <w:szCs w:val="22"/>
        </w:rPr>
        <w:t xml:space="preserve"/>
      </w:r>
    </w:p>
    <w:p>
      <w:pPr>
        <w:spacing w:before="80" w:after="80"/>
      </w:pPr>
      <w:r>
        <w:rPr>
          <w:rFonts w:ascii="Arial" w:cs="Arial" w:eastAsia="Arial" w:hAnsi="Arial"/>
          <w:sz w:val="22"/>
          <w:szCs w:val="22"/>
        </w:rPr>
        <w:t xml:space="preserve">Costo total estimado para cohorte piloto N=30: aproximadamente USD 83.850, sin incluir costos de desarrollo de hardware, salarios del equipo investigador, ni infraestructura IT.</w:t>
      </w:r>
    </w:p>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9.2 Fuentes de financiamiento recomendadas</w:t>
      </w:r>
    </w:p>
    <w:p>
      <w:pPr>
        <w:pStyle w:val="ListParagraph"/>
        <w:numPr>
          <w:ilvl w:val="0"/>
          <w:numId w:val="2"/>
        </w:numPr>
        <w:spacing w:before="40" w:after="40"/>
      </w:pPr>
      <w:r>
        <w:rPr>
          <w:rFonts w:ascii="Arial" w:cs="Arial" w:eastAsia="Arial" w:hAnsi="Arial"/>
          <w:sz w:val="22"/>
          <w:szCs w:val="22"/>
        </w:rPr>
        <w:t xml:space="preserve">FONCYT / ANPCyT (Argentina): convocatorias PICT para proyectos de innovacion tecnologica en salud.</w:t>
      </w:r>
    </w:p>
    <w:p>
      <w:pPr>
        <w:pStyle w:val="ListParagraph"/>
        <w:numPr>
          <w:ilvl w:val="0"/>
          <w:numId w:val="2"/>
        </w:numPr>
        <w:spacing w:before="40" w:after="40"/>
      </w:pPr>
      <w:r>
        <w:rPr>
          <w:rFonts w:ascii="Arial" w:cs="Arial" w:eastAsia="Arial" w:hAnsi="Arial"/>
          <w:sz w:val="22"/>
          <w:szCs w:val="22"/>
        </w:rPr>
        <w:t xml:space="preserve">CONICET: financiamiento de beca doctoral asociada al proyecto para investigadores junior.</w:t>
      </w:r>
    </w:p>
    <w:p>
      <w:pPr>
        <w:pStyle w:val="ListParagraph"/>
        <w:numPr>
          <w:ilvl w:val="0"/>
          <w:numId w:val="2"/>
        </w:numPr>
        <w:spacing w:before="40" w:after="40"/>
      </w:pPr>
      <w:r>
        <w:rPr>
          <w:rFonts w:ascii="Arial" w:cs="Arial" w:eastAsia="Arial" w:hAnsi="Arial"/>
          <w:sz w:val="22"/>
          <w:szCs w:val="22"/>
        </w:rPr>
        <w:t xml:space="preserve">NIH Small Business Innovation Research (SBIR) Phase I: aplicable si el proyecto tiene un componente de startup tecnologica.</w:t>
      </w:r>
    </w:p>
    <w:p>
      <w:pPr>
        <w:pStyle w:val="ListParagraph"/>
        <w:numPr>
          <w:ilvl w:val="0"/>
          <w:numId w:val="2"/>
        </w:numPr>
        <w:spacing w:before="40" w:after="40"/>
      </w:pPr>
      <w:r>
        <w:rPr>
          <w:rFonts w:ascii="Arial" w:cs="Arial" w:eastAsia="Arial" w:hAnsi="Arial"/>
          <w:sz w:val="22"/>
          <w:szCs w:val="22"/>
        </w:rPr>
        <w:t xml:space="preserve">Horizon Europe (ERC Starting Grant): para equipos con co-investigadores europeos.</w:t>
      </w:r>
    </w:p>
    <w:p>
      <w:pPr>
        <w:pStyle w:val="ListParagraph"/>
        <w:numPr>
          <w:ilvl w:val="0"/>
          <w:numId w:val="2"/>
        </w:numPr>
        <w:spacing w:before="40" w:after="40"/>
      </w:pPr>
      <w:r>
        <w:rPr>
          <w:rFonts w:ascii="Arial" w:cs="Arial" w:eastAsia="Arial" w:hAnsi="Arial"/>
          <w:sz w:val="22"/>
          <w:szCs w:val="22"/>
        </w:rPr>
        <w:t xml:space="preserve">Fondos de capital de riesgo en salud digital: Y Combinator Health, a16z Bio, Andreessen Horowitz Bio si el proyecto tiene trayectoria comercial.</w:t>
      </w:r>
    </w:p>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9.3 Plan de accesibilidad (escalabilidad post-piloto)</w:t>
      </w:r>
    </w:p>
    <w:p>
      <w:pPr>
        <w:spacing w:before="80" w:after="80"/>
      </w:pPr>
      <w:r>
        <w:rPr>
          <w:rFonts w:ascii="Arial" w:cs="Arial" w:eastAsia="Arial" w:hAnsi="Arial"/>
          <w:sz w:val="22"/>
          <w:szCs w:val="22"/>
        </w:rPr>
        <w:t xml:space="preserve">El costo por participante de USD 2.795 en la fase piloto no es representativo del costo de una intervencion a escala. La estrategia de reduccion de costos para Fase II y III incluye:</w:t>
      </w:r>
    </w:p>
    <w:p>
      <w:pPr>
        <w:pStyle w:val="ListParagraph"/>
        <w:numPr>
          <w:ilvl w:val="0"/>
          <w:numId w:val="2"/>
        </w:numPr>
        <w:spacing w:before="40" w:after="40"/>
      </w:pPr>
      <w:r>
        <w:rPr>
          <w:rFonts w:ascii="Arial" w:cs="Arial" w:eastAsia="Arial" w:hAnsi="Arial"/>
          <w:sz w:val="22"/>
          <w:szCs w:val="22"/>
        </w:rPr>
        <w:t xml:space="preserve">Reemplazo del Dexcom G7 (USD 89/sensor) por sensores CGM de grado medico de menor costo regulatorio (por ej. Libre 2 Plus en modalidad investigacion) o por sensores de glucosa en sudor no invasivos cuando alcancen TRL comercial (proyectado 2027-2028).</w:t>
      </w:r>
    </w:p>
    <w:p>
      <w:pPr>
        <w:pStyle w:val="ListParagraph"/>
        <w:numPr>
          <w:ilvl w:val="0"/>
          <w:numId w:val="2"/>
        </w:numPr>
        <w:spacing w:before="40" w:after="40"/>
      </w:pPr>
      <w:r>
        <w:rPr>
          <w:rFonts w:ascii="Arial" w:cs="Arial" w:eastAsia="Arial" w:hAnsi="Arial"/>
          <w:sz w:val="22"/>
          <w:szCs w:val="22"/>
        </w:rPr>
        <w:t xml:space="preserve">Economia de escala en Hexoskin y Empatica: a 500+ unidades, el costo por prenda cae a 60-80 USD.</w:t>
      </w:r>
    </w:p>
    <w:p>
      <w:pPr>
        <w:pStyle w:val="ListParagraph"/>
        <w:numPr>
          <w:ilvl w:val="0"/>
          <w:numId w:val="2"/>
        </w:numPr>
        <w:spacing w:before="40" w:after="40"/>
      </w:pPr>
      <w:r>
        <w:rPr>
          <w:rFonts w:ascii="Arial" w:cs="Arial" w:eastAsia="Arial" w:hAnsi="Arial"/>
          <w:sz w:val="22"/>
          <w:szCs w:val="22"/>
        </w:rPr>
        <w:t xml:space="preserve">El pod Edge (MAX78000 + bateria + carcasa) tiene un costo de componentes estimado en USD 35 en produccion de 1.000 unidades.</w:t>
      </w:r>
    </w:p>
    <w:p>
      <w:pPr>
        <w:pStyle w:val="ListParagraph"/>
        <w:numPr>
          <w:ilvl w:val="0"/>
          <w:numId w:val="2"/>
        </w:numPr>
        <w:spacing w:before="40" w:after="40"/>
      </w:pPr>
      <w:r>
        <w:rPr>
          <w:rFonts w:ascii="Arial" w:cs="Arial" w:eastAsia="Arial" w:hAnsi="Arial"/>
          <w:sz w:val="22"/>
          <w:szCs w:val="22"/>
        </w:rPr>
        <w:t xml:space="preserve">Objetivo de costo del sistema completo en Fase III: &lt; USD 300 por participante por 90 dias de seguimiento.</w:t>
      </w:r>
    </w:p>
    <w:p>
      <w:pPr>
        <w:spacing w:before="0" w:after="0"/>
      </w:pPr>
      <w:r>
        <w:br w:type="page"/>
      </w:r>
    </w:p>
    <w:p>
      <w:pPr>
        <w:pStyle w:val="Heading1"/>
        <w:pBdr>
          <w:bottom w:val="single" w:color="1B3A6B" w:sz="6" w:space="4"/>
        </w:pBdr>
        <w:spacing w:before="400" w:after="160"/>
      </w:pPr>
      <w:r>
        <w:rPr>
          <w:rFonts w:ascii="Arial" w:cs="Arial" w:eastAsia="Arial" w:hAnsi="Arial"/>
          <w:b/>
          <w:bCs/>
          <w:color w:val="1B3A6B"/>
          <w:sz w:val="36"/>
          <w:szCs w:val="36"/>
        </w:rPr>
        <w:t xml:space="preserve">10. PLAN ESTADISTICO Y GESTION DE DATOS</w:t>
      </w:r>
    </w:p>
    <w:p>
      <w:pPr>
        <w:pStyle w:val="Heading2"/>
        <w:spacing w:before="300" w:after="120"/>
      </w:pPr>
      <w:r>
        <w:rPr>
          <w:rFonts w:ascii="Arial" w:cs="Arial" w:eastAsia="Arial" w:hAnsi="Arial"/>
          <w:b/>
          <w:bCs/>
          <w:color w:val="0F6E56"/>
          <w:sz w:val="28"/>
          <w:szCs w:val="28"/>
        </w:rPr>
        <w:t xml:space="preserve">10.1 Objetivo estadistico primario</w:t>
      </w:r>
    </w:p>
    <w:p>
      <w:pPr>
        <w:spacing w:before="80" w:after="80"/>
      </w:pPr>
      <w:r>
        <w:rPr>
          <w:rFonts w:ascii="Arial" w:cs="Arial" w:eastAsia="Arial" w:hAnsi="Arial"/>
          <w:sz w:val="22"/>
          <w:szCs w:val="22"/>
        </w:rPr>
        <w:t xml:space="preserve">Determinar si el indice DSS calculado por el sistema Endo-Edge en la semana 8 del seguimiento predice la aparicion de al menos un biomarcador bioquimico fuera de rango clinico (HbA1c &gt;= 5.7%, LDL &gt; 130 mg/dL, TSH &lt; 0.4 o &gt; 4.0 mUI/L, cortisol en saliva matutino &gt; 25 ng/mL) al cierre del seguimiento (semana 12).</w:t>
      </w:r>
    </w:p>
    <w:p>
      <w:pPr>
        <w:pStyle w:val="Heading2"/>
        <w:spacing w:before="300" w:after="120"/>
      </w:pPr>
      <w:r>
        <w:rPr>
          <w:rFonts w:ascii="Arial" w:cs="Arial" w:eastAsia="Arial" w:hAnsi="Arial"/>
          <w:b/>
          <w:bCs/>
          <w:color w:val="0F6E56"/>
          <w:sz w:val="28"/>
          <w:szCs w:val="28"/>
        </w:rPr>
        <w:t xml:space="preserve">10.2 Metodos estadisticos</w:t>
      </w:r>
    </w:p>
    <w:p>
      <w:pPr>
        <w:pStyle w:val="ListParagraph"/>
        <w:numPr>
          <w:ilvl w:val="0"/>
          <w:numId w:val="2"/>
        </w:numPr>
        <w:spacing w:before="40" w:after="40"/>
      </w:pPr>
      <w:r>
        <w:rPr>
          <w:rFonts w:ascii="Arial" w:cs="Arial" w:eastAsia="Arial" w:hAnsi="Arial"/>
          <w:sz w:val="22"/>
          <w:szCs w:val="22"/>
        </w:rPr>
        <w:t xml:space="preserve">Regresion logistica multivariada con DSS como predictor principal y ajuste por edad, sexo, IMC y fase del ciclo menstrual.</w:t>
      </w:r>
    </w:p>
    <w:p>
      <w:pPr>
        <w:pStyle w:val="ListParagraph"/>
        <w:numPr>
          <w:ilvl w:val="0"/>
          <w:numId w:val="2"/>
        </w:numPr>
        <w:spacing w:before="40" w:after="40"/>
      </w:pPr>
      <w:r>
        <w:rPr>
          <w:rFonts w:ascii="Arial" w:cs="Arial" w:eastAsia="Arial" w:hAnsi="Arial"/>
          <w:sz w:val="22"/>
          <w:szCs w:val="22"/>
        </w:rPr>
        <w:t xml:space="preserve">Curvas ROC con calculo de AUROC, sensibilidad, especificidad, VPP y VPN para distintos umbrales del DSS.</w:t>
      </w:r>
    </w:p>
    <w:p>
      <w:pPr>
        <w:pStyle w:val="ListParagraph"/>
        <w:numPr>
          <w:ilvl w:val="0"/>
          <w:numId w:val="2"/>
        </w:numPr>
        <w:spacing w:before="40" w:after="40"/>
      </w:pPr>
      <w:r>
        <w:rPr>
          <w:rFonts w:ascii="Arial" w:cs="Arial" w:eastAsia="Arial" w:hAnsi="Arial"/>
          <w:sz w:val="22"/>
          <w:szCs w:val="22"/>
        </w:rPr>
        <w:t xml:space="preserve">Modelos de efectos mixtos longitudinales (lme4 en R) para el analisis de la trayectoria temporal del DSS con participantes como efecto aleatorio.</w:t>
      </w:r>
    </w:p>
    <w:p>
      <w:pPr>
        <w:pStyle w:val="ListParagraph"/>
        <w:numPr>
          <w:ilvl w:val="0"/>
          <w:numId w:val="2"/>
        </w:numPr>
        <w:spacing w:before="40" w:after="40"/>
      </w:pPr>
      <w:r>
        <w:rPr>
          <w:rFonts w:ascii="Arial" w:cs="Arial" w:eastAsia="Arial" w:hAnsi="Arial"/>
          <w:sz w:val="22"/>
          <w:szCs w:val="22"/>
        </w:rPr>
        <w:t xml:space="preserve">Analisis de supervivencia (Kaplan-Meier) para tiempo hasta primera alerta DSS &gt; 72 segun presencia o ausencia de biomarcador alterado al final.</w:t>
      </w:r>
    </w:p>
    <w:p>
      <w:pPr>
        <w:pStyle w:val="ListParagraph"/>
        <w:numPr>
          <w:ilvl w:val="0"/>
          <w:numId w:val="2"/>
        </w:numPr>
        <w:spacing w:before="40" w:after="40"/>
      </w:pPr>
      <w:r>
        <w:rPr>
          <w:rFonts w:ascii="Arial" w:cs="Arial" w:eastAsia="Arial" w:hAnsi="Arial"/>
          <w:sz w:val="22"/>
          <w:szCs w:val="22"/>
        </w:rPr>
        <w:t xml:space="preserve">Correccion de Bonferroni para comparaciones multiples (se testean 5 biomarcadores).</w:t>
      </w:r>
    </w:p>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10.3 Plan de gestion de datos</w:t>
      </w:r>
    </w:p>
    <w:p>
      <w:pPr>
        <w:pStyle w:val="ListParagraph"/>
        <w:numPr>
          <w:ilvl w:val="0"/>
          <w:numId w:val="2"/>
        </w:numPr>
        <w:spacing w:before="40" w:after="40"/>
      </w:pPr>
      <w:r>
        <w:rPr>
          <w:rFonts w:ascii="Arial" w:cs="Arial" w:eastAsia="Arial" w:hAnsi="Arial"/>
          <w:sz w:val="22"/>
          <w:szCs w:val="22"/>
        </w:rPr>
        <w:t xml:space="preserve">Repositorio de datos: servidor local cifrado + respaldo en nube privada (AWS GovCloud o equivalente con residencia de datos en region aplicable).</w:t>
      </w:r>
    </w:p>
    <w:p>
      <w:pPr>
        <w:pStyle w:val="ListParagraph"/>
        <w:numPr>
          <w:ilvl w:val="0"/>
          <w:numId w:val="2"/>
        </w:numPr>
        <w:spacing w:before="40" w:after="40"/>
      </w:pPr>
      <w:r>
        <w:rPr>
          <w:rFonts w:ascii="Arial" w:cs="Arial" w:eastAsia="Arial" w:hAnsi="Arial"/>
          <w:sz w:val="22"/>
          <w:szCs w:val="22"/>
        </w:rPr>
        <w:t xml:space="preserve">Formato de datos: series temporales en formato Parquet con metadatos en JSON-LD conforme a schema.org/MedicalObservation.</w:t>
      </w:r>
    </w:p>
    <w:p>
      <w:pPr>
        <w:pStyle w:val="ListParagraph"/>
        <w:numPr>
          <w:ilvl w:val="0"/>
          <w:numId w:val="2"/>
        </w:numPr>
        <w:spacing w:before="40" w:after="40"/>
      </w:pPr>
      <w:r>
        <w:rPr>
          <w:rFonts w:ascii="Arial" w:cs="Arial" w:eastAsia="Arial" w:hAnsi="Arial"/>
          <w:sz w:val="22"/>
          <w:szCs w:val="22"/>
        </w:rPr>
        <w:t xml:space="preserve">Interoperabilidad: los datos de biomarcadores se almacenan en formato HL7 FHIR R4 (Observation resource) para integracion futura con sistemas de historias clinicas electronicas.</w:t>
      </w:r>
    </w:p>
    <w:p>
      <w:pPr>
        <w:pStyle w:val="ListParagraph"/>
        <w:numPr>
          <w:ilvl w:val="0"/>
          <w:numId w:val="2"/>
        </w:numPr>
        <w:spacing w:before="40" w:after="40"/>
      </w:pPr>
      <w:r>
        <w:rPr>
          <w:rFonts w:ascii="Arial" w:cs="Arial" w:eastAsia="Arial" w:hAnsi="Arial"/>
          <w:sz w:val="22"/>
          <w:szCs w:val="22"/>
        </w:rPr>
        <w:t xml:space="preserve">Control de version: todos los scripts de analisis bajo control de version en repositorio Git privado con acceso auditado.</w:t>
      </w:r>
    </w:p>
    <w:p>
      <w:pPr>
        <w:pStyle w:val="ListParagraph"/>
        <w:numPr>
          <w:ilvl w:val="0"/>
          <w:numId w:val="2"/>
        </w:numPr>
        <w:spacing w:before="40" w:after="40"/>
      </w:pPr>
      <w:r>
        <w:rPr>
          <w:rFonts w:ascii="Arial" w:cs="Arial" w:eastAsia="Arial" w:hAnsi="Arial"/>
          <w:sz w:val="22"/>
          <w:szCs w:val="22"/>
        </w:rPr>
        <w:t xml:space="preserve">Auditoria de acceso: cada acceso al dataset es registrado con timestamp, usuario y justificacion. Reporte mensual al CEI.</w:t>
      </w:r>
    </w:p>
    <w:p>
      <w:pPr>
        <w:spacing w:before="0" w:after="0"/>
      </w:pPr>
      <w:r>
        <w:br w:type="page"/>
      </w:r>
    </w:p>
    <w:p>
      <w:pPr>
        <w:pStyle w:val="Heading1"/>
        <w:pBdr>
          <w:bottom w:val="single" w:color="1B3A6B" w:sz="6" w:space="4"/>
        </w:pBdr>
        <w:spacing w:before="400" w:after="160"/>
      </w:pPr>
      <w:r>
        <w:rPr>
          <w:rFonts w:ascii="Arial" w:cs="Arial" w:eastAsia="Arial" w:hAnsi="Arial"/>
          <w:b/>
          <w:bCs/>
          <w:color w:val="1B3A6B"/>
          <w:sz w:val="36"/>
          <w:szCs w:val="36"/>
        </w:rPr>
        <w:t xml:space="preserve">11. PLAN DE PUBLICACION Y COMUNICACION CIENTIFICA</w:t>
      </w:r>
    </w:p>
    <w:p>
      <w:pPr>
        <w:pStyle w:val="Heading2"/>
        <w:spacing w:before="300" w:after="120"/>
      </w:pPr>
      <w:r>
        <w:rPr>
          <w:rFonts w:ascii="Arial" w:cs="Arial" w:eastAsia="Arial" w:hAnsi="Arial"/>
          <w:b/>
          <w:bCs/>
          <w:color w:val="0F6E56"/>
          <w:sz w:val="28"/>
          <w:szCs w:val="28"/>
        </w:rPr>
        <w:t xml:space="preserve">11.1 Politica de publicacion</w:t>
      </w:r>
    </w:p>
    <w:p>
      <w:pPr>
        <w:spacing w:before="80" w:after="80"/>
      </w:pPr>
      <w:r>
        <w:rPr>
          <w:rFonts w:ascii="Arial" w:cs="Arial" w:eastAsia="Arial" w:hAnsi="Arial"/>
          <w:sz w:val="22"/>
          <w:szCs w:val="22"/>
        </w:rPr>
        <w:t xml:space="preserve">Los resultados del estudio seran publicados independientemente de su signo (positivos, negativos o inconclusos). El equipo se compromete a no suprimir resultados negativos. El preprint sera depositado en medRxiv o bioRxiv dentro de los 30 dias posteriores a la finalizacion del analisis primario, antes de la submission a revista indexada.</w:t>
      </w:r>
    </w:p>
    <w:p>
      <w:pPr>
        <w:pStyle w:val="Heading2"/>
        <w:spacing w:before="300" w:after="120"/>
      </w:pPr>
      <w:r>
        <w:rPr>
          <w:rFonts w:ascii="Arial" w:cs="Arial" w:eastAsia="Arial" w:hAnsi="Arial"/>
          <w:b/>
          <w:bCs/>
          <w:color w:val="0F6E56"/>
          <w:sz w:val="28"/>
          <w:szCs w:val="28"/>
        </w:rPr>
        <w:t xml:space="preserve">11.2 Revistas objetivo</w:t>
      </w:r>
    </w:p>
    <w:p>
      <w:pPr>
        <w:pStyle w:val="ListParagraph"/>
        <w:numPr>
          <w:ilvl w:val="0"/>
          <w:numId w:val="2"/>
        </w:numPr>
        <w:spacing w:before="40" w:after="40"/>
      </w:pPr>
      <w:r>
        <w:rPr>
          <w:rFonts w:ascii="Arial" w:cs="Arial" w:eastAsia="Arial" w:hAnsi="Arial"/>
          <w:sz w:val="22"/>
          <w:szCs w:val="22"/>
        </w:rPr>
        <w:t xml:space="preserve">Journals primarios: npj Digital Medicine (Nature), The Lancet Digital Health, IEEE Journal of Biomedical and Health Informatics.</w:t>
      </w:r>
    </w:p>
    <w:p>
      <w:pPr>
        <w:pStyle w:val="ListParagraph"/>
        <w:numPr>
          <w:ilvl w:val="0"/>
          <w:numId w:val="2"/>
        </w:numPr>
        <w:spacing w:before="40" w:after="40"/>
      </w:pPr>
      <w:r>
        <w:rPr>
          <w:rFonts w:ascii="Arial" w:cs="Arial" w:eastAsia="Arial" w:hAnsi="Arial"/>
          <w:sz w:val="22"/>
          <w:szCs w:val="22"/>
        </w:rPr>
        <w:t xml:space="preserve">Journals de dispositivos: Biosensors &amp; Bioelectronics, Advanced Healthcare Materials.</w:t>
      </w:r>
    </w:p>
    <w:p>
      <w:pPr>
        <w:pStyle w:val="ListParagraph"/>
        <w:numPr>
          <w:ilvl w:val="0"/>
          <w:numId w:val="2"/>
        </w:numPr>
        <w:spacing w:before="40" w:after="40"/>
      </w:pPr>
      <w:r>
        <w:rPr>
          <w:rFonts w:ascii="Arial" w:cs="Arial" w:eastAsia="Arial" w:hAnsi="Arial"/>
          <w:sz w:val="22"/>
          <w:szCs w:val="22"/>
        </w:rPr>
        <w:t xml:space="preserve">Conferencias: IEEE EMBC, AAAI Health, NeurIPS workshop on ML for Health.</w:t>
      </w:r>
    </w:p>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11.3 Autoria y contribuciones (CRediT taxonomy)</w:t>
      </w:r>
    </w:p>
    <w:p>
      <w:pPr>
        <w:spacing w:before="80" w:after="80"/>
      </w:pPr>
      <w:r>
        <w:rPr>
          <w:rFonts w:ascii="Arial" w:cs="Arial" w:eastAsia="Arial" w:hAnsi="Arial"/>
          <w:sz w:val="22"/>
          <w:szCs w:val="22"/>
        </w:rPr>
        <w:t xml:space="preserve">La autoria se determinara siguiendo los criterios ICMJE. Se utilizara la taxonomia CRediT (Contributor Roles Taxonomy) para documentar las contribuciones individuales de cada integrante del equipo en la publicacion (conceptualizacion, metodologia, software, validacion, curación de datos, redaccion, etc.). Los participantes del estudio no tendran autoria pero seran reconocidos en la seccion de agradecimientos.</w:t>
      </w:r>
    </w:p>
    <w:p>
      <w:pPr>
        <w:spacing w:before="0" w:after="0"/>
      </w:pPr>
      <w:r>
        <w:br w:type="page"/>
      </w:r>
    </w:p>
    <w:p>
      <w:pPr>
        <w:pStyle w:val="Heading1"/>
        <w:pBdr>
          <w:bottom w:val="single" w:color="1B3A6B" w:sz="6" w:space="4"/>
        </w:pBdr>
        <w:spacing w:before="400" w:after="160"/>
      </w:pPr>
      <w:r>
        <w:rPr>
          <w:rFonts w:ascii="Arial" w:cs="Arial" w:eastAsia="Arial" w:hAnsi="Arial"/>
          <w:b/>
          <w:bCs/>
          <w:color w:val="1B3A6B"/>
          <w:sz w:val="36"/>
          <w:szCs w:val="36"/>
        </w:rPr>
        <w:t xml:space="preserve">12. GESTION DE RIESGOS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rPr>
          <w:tblHeader/>
        </w:trPr>
        <w:tc>
          <w:tcPr>
            <w:tcW w:type="dxa" w:w="26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Riesgo</w:t>
            </w:r>
          </w:p>
        </w:tc>
        <w:tc>
          <w:tcPr>
            <w:tcW w:type="dxa" w:w="12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Probabilidad</w:t>
            </w:r>
          </w:p>
        </w:tc>
        <w:tc>
          <w:tcPr>
            <w:tcW w:type="dxa" w:w="12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Impacto</w:t>
            </w:r>
          </w:p>
        </w:tc>
        <w:tc>
          <w:tcPr>
            <w:tcW w:type="dxa" w:w="436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Mitigacion</w:t>
            </w:r>
          </w:p>
        </w:tc>
      </w:tr>
      <w:tr>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Rechazo del protocolo por el CEI</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Media</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Alto</w:t>
            </w:r>
          </w:p>
        </w:tc>
        <w:tc>
          <w:tcPr>
            <w:tcW w:type="dxa" w:w="43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Contratar consultor externo en regulacion de dispositivos medicos para revision previa del protocolo. Presentar borrador al CEI informalmente (pre-submission meeting) antes de la submission formal.</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Alta tasa de abandono de participantes (&gt;20%)</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Media</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Alto</w:t>
            </w:r>
          </w:p>
        </w:tc>
        <w:tc>
          <w:tcPr>
            <w:tcW w:type="dxa" w:w="4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Reclutamiento sobredimensionado (30 en lugar de 26). Compensacion semanal para mantener adherencia. Contacto proactivo semanal del equipo con cada participante.</w:t>
            </w:r>
          </w:p>
        </w:tc>
      </w:tr>
      <w:tr>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Falla del CGM Dexcom G7 (sensor caido)</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Alta (15%/sensor)</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Medio</w:t>
            </w:r>
          </w:p>
        </w:tc>
        <w:tc>
          <w:tcPr>
            <w:tcW w:type="dxa" w:w="43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Protocolo de reemplazo de sensor en 24h. Stock de sensores de respaldo. Imputacion bayesiana para gaps &lt; 30 min.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El DSS no predice biomarcadores (hipotesis negativa)</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Media</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Bajo</w:t>
            </w:r>
          </w:p>
        </w:tc>
        <w:tc>
          <w:tcPr>
            <w:tcW w:type="dxa" w:w="4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Resultado publicable. Rediseno del modelo con mayor horizonte temporal o diferentes features. No compromete la arquitectura del sistema.</w:t>
            </w:r>
          </w:p>
        </w:tc>
      </w:tr>
      <w:tr>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Brecha de seguridad de datos biometricos</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Baja</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Muy alto</w:t>
            </w:r>
          </w:p>
        </w:tc>
        <w:tc>
          <w:tcPr>
            <w:tcW w:type="dxa" w:w="43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Cifrado end-to-end, seudonimizacion en la captura, auditoria de acceso, seguro de ciberseguridad, plan de respuesta a incidentes documentado.</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Cambio regulatorio (retiro del Dexcom G7 del mercado local)</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Muy baja</w:t>
            </w:r>
          </w:p>
        </w:tc>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Alto</w:t>
            </w:r>
          </w:p>
        </w:tc>
        <w:tc>
          <w:tcPr>
            <w:tcW w:type="dxa" w:w="4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Identificar proveedor alternativo (FreeStyle Libre 3) con plan de contingencia pre-aprobado por el CEI.</w:t>
            </w:r>
          </w:p>
        </w:tc>
      </w:tr>
      <w:tr>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Ciclo menstrual genera ruido excesivo en el modelo</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Media</w:t>
            </w:r>
          </w:p>
        </w:tc>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Medio</w:t>
            </w:r>
          </w:p>
        </w:tc>
        <w:tc>
          <w:tcPr>
            <w:tcW w:type="dxa" w:w="43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Sub-cohorte femenina analizada separadamente. Ajuste dinamico del umbral DSS por fase del ciclo ya incorporado en el diseno.</w:t>
            </w:r>
          </w:p>
        </w:tc>
      </w:tr>
    </w:tbl>
    <w:p>
      <w:pPr>
        <w:spacing w:before="0" w:after="0"/>
      </w:pPr>
      <w:r>
        <w:br w:type="page"/>
      </w:r>
    </w:p>
    <w:p>
      <w:pPr>
        <w:pStyle w:val="Heading1"/>
        <w:pBdr>
          <w:bottom w:val="single" w:color="1B3A6B" w:sz="6" w:space="4"/>
        </w:pBdr>
        <w:spacing w:before="400" w:after="160"/>
      </w:pPr>
      <w:r>
        <w:rPr>
          <w:rFonts w:ascii="Arial" w:cs="Arial" w:eastAsia="Arial" w:hAnsi="Arial"/>
          <w:b/>
          <w:bCs/>
          <w:color w:val="1B3A6B"/>
          <w:sz w:val="36"/>
          <w:szCs w:val="36"/>
        </w:rPr>
        <w:t xml:space="preserve">13. FIRMAS, APROBACIONES Y CONTROL DE VERSIONES</w:t>
      </w:r>
    </w:p>
    <w:p>
      <w:pPr>
        <w:pStyle w:val="Heading2"/>
        <w:spacing w:before="300" w:after="120"/>
      </w:pPr>
      <w:r>
        <w:rPr>
          <w:rFonts w:ascii="Arial" w:cs="Arial" w:eastAsia="Arial" w:hAnsi="Arial"/>
          <w:b/>
          <w:bCs/>
          <w:color w:val="0F6E56"/>
          <w:sz w:val="28"/>
          <w:szCs w:val="28"/>
        </w:rPr>
        <w:t xml:space="preserve">13.1 Historial de versiones del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3560"/>
      </w:tblGrid>
      <w:tr>
        <w:trPr>
          <w:tblHeader/>
        </w:trPr>
        <w:tc>
          <w:tcPr>
            <w:tcW w:type="dxa" w:w="12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Version</w:t>
            </w:r>
          </w:p>
        </w:tc>
        <w:tc>
          <w:tcPr>
            <w:tcW w:type="dxa" w:w="16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Fecha</w:t>
            </w:r>
          </w:p>
        </w:tc>
        <w:tc>
          <w:tcPr>
            <w:tcW w:type="dxa" w:w="300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Autor/Revisor</w:t>
            </w:r>
          </w:p>
        </w:tc>
        <w:tc>
          <w:tcPr>
            <w:tcW w:type="dxa" w:w="356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Descripcion del cambio</w:t>
            </w:r>
          </w:p>
        </w:tc>
      </w:tr>
      <w:tr>
        <w:tc>
          <w:tcPr>
            <w:tcW w:type="dxa" w:w="12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v0.1</w:t>
            </w:r>
          </w:p>
        </w:tc>
        <w:tc>
          <w:tcPr>
            <w:tcW w:type="dxa" w:w="16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Marzo 2026</w:t>
            </w:r>
          </w:p>
        </w:tc>
        <w:tc>
          <w:tcPr>
            <w:tcW w:type="dxa" w:w="300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Equipo Endo-Edge</w:t>
            </w:r>
          </w:p>
        </w:tc>
        <w:tc>
          <w:tcPr>
            <w:tcW w:type="dxa" w:w="3560"/>
            <w:tcBorders>
              <w:top w:val="single" w:color="D3D1C7" w:sz="1"/>
              <w:left w:val="single" w:color="D3D1C7" w:sz="1"/>
              <w:bottom w:val="single" w:color="D3D1C7" w:sz="1"/>
              <w:right w:val="single" w:color="D3D1C7" w:sz="1"/>
            </w:tcBorders>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Borrador inicial del marco legal y etico</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v1.0</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Marzo 2026</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Equipo Endo-Edge</w:t>
            </w:r>
          </w:p>
        </w:tc>
        <w:tc>
          <w:tcPr>
            <w:tcW w:type="dxa" w:w="35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top"/>
          </w:tcPr>
          <w:p>
            <w:pPr>
              <w:spacing w:before="0" w:after="0"/>
            </w:pPr>
            <w:r>
              <w:rPr>
                <w:rFonts w:ascii="Arial" w:cs="Arial" w:eastAsia="Arial" w:hAnsi="Arial"/>
                <w:b w:val="false"/>
                <w:bCs w:val="false"/>
                <w:color w:val="5F5E5A"/>
                <w:sz w:val="19"/>
                <w:szCs w:val="19"/>
              </w:rPr>
              <w:t xml:space="preserve">Version completa para presentacion al CEI</w:t>
            </w:r>
          </w:p>
        </w:tc>
      </w:tr>
    </w:tbl>
    <w:p>
      <w:pPr>
        <w:spacing w:before="60" w:after="60"/>
      </w:pPr>
      <w:r>
        <w:rPr>
          <w:rFonts w:ascii="Arial" w:cs="Arial" w:eastAsia="Arial" w:hAnsi="Arial"/>
          <w:sz w:val="22"/>
          <w:szCs w:val="22"/>
        </w:rPr>
        <w:t xml:space="preserve"/>
      </w:r>
    </w:p>
    <w:p>
      <w:pPr>
        <w:pStyle w:val="Heading2"/>
        <w:spacing w:before="300" w:after="120"/>
      </w:pPr>
      <w:r>
        <w:rPr>
          <w:rFonts w:ascii="Arial" w:cs="Arial" w:eastAsia="Arial" w:hAnsi="Arial"/>
          <w:b/>
          <w:bCs/>
          <w:color w:val="0F6E56"/>
          <w:sz w:val="28"/>
          <w:szCs w:val="28"/>
        </w:rPr>
        <w:t xml:space="preserve">13.2 Firmas de aprobacion</w:t>
      </w:r>
    </w:p>
    <w:p>
      <w:pPr>
        <w:spacing w:before="80" w:after="80"/>
      </w:pPr>
      <w:r>
        <w:rPr>
          <w:rFonts w:ascii="Arial" w:cs="Arial" w:eastAsia="Arial" w:hAnsi="Arial"/>
          <w:sz w:val="22"/>
          <w:szCs w:val="22"/>
        </w:rPr>
        <w:t xml:space="preserve">Las siguientes firmas certifican que los firmantes han leido el protocolo completo, comprenden sus obligaciones y aprueban su implementacion:</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Investigador Principal</w:t>
            </w:r>
          </w:p>
        </w:tc>
        <w:tc>
          <w:tcPr>
            <w:tcW w:type="dxa" w:w="312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Responsable Legal CEI</w:t>
            </w:r>
          </w:p>
        </w:tc>
        <w:tc>
          <w:tcPr>
            <w:tcW w:type="dxa" w:w="3120"/>
            <w:tcBorders>
              <w:top w:val="single" w:color="D3D1C7" w:sz="1"/>
              <w:left w:val="single" w:color="D3D1C7" w:sz="1"/>
              <w:bottom w:val="single" w:color="D3D1C7" w:sz="1"/>
              <w:right w:val="single" w:color="D3D1C7" w:sz="1"/>
            </w:tcBorders>
            <w:shd w:fill="1B3A6B" w:val="clear"/>
            <w:tcMar>
              <w:top w:type="dxa" w:w="80"/>
              <w:left w:type="dxa" w:w="120"/>
              <w:bottom w:type="dxa" w:w="80"/>
              <w:right w:type="dxa" w:w="120"/>
            </w:tcMar>
            <w:vAlign w:val="top"/>
          </w:tcPr>
          <w:p>
            <w:pPr>
              <w:spacing w:before="0" w:after="0"/>
            </w:pPr>
            <w:r>
              <w:rPr>
                <w:rFonts w:ascii="Arial" w:cs="Arial" w:eastAsia="Arial" w:hAnsi="Arial"/>
                <w:b/>
                <w:bCs/>
                <w:color w:val="FFFFFF"/>
                <w:sz w:val="20"/>
                <w:szCs w:val="20"/>
              </w:rPr>
              <w:t xml:space="preserve">Responsable de Proteccion de Datos (DPO)</w:t>
            </w:r>
          </w:p>
        </w:tc>
      </w:tr>
      <w:tr>
        <w:tc>
          <w:tcPr>
            <w:tcW w:type="dxa" w:w="3120"/>
            <w:tcBorders>
              <w:top w:val="single" w:color="D3D1C7" w:sz="1"/>
              <w:left w:val="single" w:color="D3D1C7" w:sz="1"/>
              <w:bottom w:val="single" w:color="D3D1C7" w:sz="1"/>
              <w:right w:val="single" w:color="D3D1C7" w:sz="1"/>
            </w:tcBorders>
            <w:tcMar>
              <w:top w:type="dxa" w:w="120"/>
              <w:left w:type="dxa" w:w="120"/>
              <w:bottom w:type="dxa" w:w="120"/>
              <w:right w:type="dxa" w:w="120"/>
            </w:tcMar>
          </w:tcPr>
          <w:p>
            <w:pPr>
              <w:spacing w:before="0" w:after="600"/>
            </w:pPr>
            <w:r>
              <w:rPr>
                <w:rFonts w:ascii="Arial" w:cs="Arial" w:eastAsia="Arial" w:hAnsi="Arial"/>
                <w:sz w:val="22"/>
                <w:szCs w:val="22"/>
              </w:rPr>
              <w:t xml:space="preserve"> </w:t>
            </w:r>
          </w:p>
          <w:p>
            <w:pPr>
              <w:spacing w:before="0" w:after="40"/>
            </w:pPr>
            <w:r>
              <w:rPr>
                <w:rFonts w:ascii="Arial" w:cs="Arial" w:eastAsia="Arial" w:hAnsi="Arial"/>
                <w:sz w:val="22"/>
                <w:szCs w:val="22"/>
              </w:rPr>
              <w:t xml:space="preserve">Firma: ________________________</w:t>
            </w:r>
          </w:p>
          <w:p>
            <w:pPr>
              <w:spacing w:before="0" w:after="40"/>
            </w:pPr>
            <w:r>
              <w:rPr>
                <w:rFonts w:ascii="Arial" w:cs="Arial" w:eastAsia="Arial" w:hAnsi="Arial"/>
                <w:sz w:val="22"/>
                <w:szCs w:val="22"/>
              </w:rPr>
              <w:t xml:space="preserve">Nombre: ______________________</w:t>
            </w:r>
          </w:p>
          <w:p>
            <w:pPr>
              <w:spacing w:before="0" w:after="40"/>
            </w:pPr>
            <w:r>
              <w:rPr>
                <w:rFonts w:ascii="Arial" w:cs="Arial" w:eastAsia="Arial" w:hAnsi="Arial"/>
                <w:sz w:val="22"/>
                <w:szCs w:val="22"/>
              </w:rPr>
              <w:t xml:space="preserve">Fecha: _______________________</w:t>
            </w:r>
          </w:p>
        </w:tc>
        <w:tc>
          <w:tcPr>
            <w:tcW w:type="dxa" w:w="3120"/>
            <w:tcBorders>
              <w:top w:val="single" w:color="D3D1C7" w:sz="1"/>
              <w:left w:val="single" w:color="D3D1C7" w:sz="1"/>
              <w:bottom w:val="single" w:color="D3D1C7" w:sz="1"/>
              <w:right w:val="single" w:color="D3D1C7" w:sz="1"/>
            </w:tcBorders>
            <w:tcMar>
              <w:top w:type="dxa" w:w="120"/>
              <w:left w:type="dxa" w:w="120"/>
              <w:bottom w:type="dxa" w:w="120"/>
              <w:right w:type="dxa" w:w="120"/>
            </w:tcMar>
          </w:tcPr>
          <w:p>
            <w:pPr>
              <w:spacing w:before="0" w:after="600"/>
            </w:pPr>
            <w:r>
              <w:rPr>
                <w:rFonts w:ascii="Arial" w:cs="Arial" w:eastAsia="Arial" w:hAnsi="Arial"/>
                <w:sz w:val="22"/>
                <w:szCs w:val="22"/>
              </w:rPr>
              <w:t xml:space="preserve"> </w:t>
            </w:r>
          </w:p>
          <w:p>
            <w:pPr>
              <w:spacing w:before="0" w:after="40"/>
            </w:pPr>
            <w:r>
              <w:rPr>
                <w:rFonts w:ascii="Arial" w:cs="Arial" w:eastAsia="Arial" w:hAnsi="Arial"/>
                <w:sz w:val="22"/>
                <w:szCs w:val="22"/>
              </w:rPr>
              <w:t xml:space="preserve">Firma: ________________________</w:t>
            </w:r>
          </w:p>
          <w:p>
            <w:pPr>
              <w:spacing w:before="0" w:after="40"/>
            </w:pPr>
            <w:r>
              <w:rPr>
                <w:rFonts w:ascii="Arial" w:cs="Arial" w:eastAsia="Arial" w:hAnsi="Arial"/>
                <w:sz w:val="22"/>
                <w:szCs w:val="22"/>
              </w:rPr>
              <w:t xml:space="preserve">Nombre: ______________________</w:t>
            </w:r>
          </w:p>
          <w:p>
            <w:pPr>
              <w:spacing w:before="0" w:after="40"/>
            </w:pPr>
            <w:r>
              <w:rPr>
                <w:rFonts w:ascii="Arial" w:cs="Arial" w:eastAsia="Arial" w:hAnsi="Arial"/>
                <w:sz w:val="22"/>
                <w:szCs w:val="22"/>
              </w:rPr>
              <w:t xml:space="preserve">Fecha: _______________________</w:t>
            </w:r>
          </w:p>
        </w:tc>
        <w:tc>
          <w:tcPr>
            <w:tcW w:type="dxa" w:w="3120"/>
            <w:tcBorders>
              <w:top w:val="single" w:color="D3D1C7" w:sz="1"/>
              <w:left w:val="single" w:color="D3D1C7" w:sz="1"/>
              <w:bottom w:val="single" w:color="D3D1C7" w:sz="1"/>
              <w:right w:val="single" w:color="D3D1C7" w:sz="1"/>
            </w:tcBorders>
            <w:tcMar>
              <w:top w:type="dxa" w:w="120"/>
              <w:left w:type="dxa" w:w="120"/>
              <w:bottom w:type="dxa" w:w="120"/>
              <w:right w:type="dxa" w:w="120"/>
            </w:tcMar>
          </w:tcPr>
          <w:p>
            <w:pPr>
              <w:spacing w:before="0" w:after="600"/>
            </w:pPr>
            <w:r>
              <w:rPr>
                <w:rFonts w:ascii="Arial" w:cs="Arial" w:eastAsia="Arial" w:hAnsi="Arial"/>
                <w:sz w:val="22"/>
                <w:szCs w:val="22"/>
              </w:rPr>
              <w:t xml:space="preserve"> </w:t>
            </w:r>
          </w:p>
          <w:p>
            <w:pPr>
              <w:spacing w:before="0" w:after="40"/>
            </w:pPr>
            <w:r>
              <w:rPr>
                <w:rFonts w:ascii="Arial" w:cs="Arial" w:eastAsia="Arial" w:hAnsi="Arial"/>
                <w:sz w:val="22"/>
                <w:szCs w:val="22"/>
              </w:rPr>
              <w:t xml:space="preserve">Firma: ________________________</w:t>
            </w:r>
          </w:p>
          <w:p>
            <w:pPr>
              <w:spacing w:before="0" w:after="40"/>
            </w:pPr>
            <w:r>
              <w:rPr>
                <w:rFonts w:ascii="Arial" w:cs="Arial" w:eastAsia="Arial" w:hAnsi="Arial"/>
                <w:sz w:val="22"/>
                <w:szCs w:val="22"/>
              </w:rPr>
              <w:t xml:space="preserve">Nombre: ______________________</w:t>
            </w:r>
          </w:p>
          <w:p>
            <w:pPr>
              <w:spacing w:before="0" w:after="40"/>
            </w:pPr>
            <w:r>
              <w:rPr>
                <w:rFonts w:ascii="Arial" w:cs="Arial" w:eastAsia="Arial" w:hAnsi="Arial"/>
                <w:sz w:val="22"/>
                <w:szCs w:val="22"/>
              </w:rPr>
              <w:t xml:space="preserve">Fecha: _______________________</w:t>
            </w:r>
          </w:p>
        </w:tc>
      </w:tr>
    </w:tbl>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CEBEB" w:val="clear"/>
            <w:tcMar>
              <w:top w:type="dxa" w:w="120"/>
              <w:left w:type="dxa" w:w="160"/>
              <w:bottom w:type="dxa" w:w="120"/>
              <w:right w:type="dxa" w:w="160"/>
            </w:tcMar>
          </w:tcPr>
          <w:p>
            <w:pPr>
              <w:spacing w:before="0" w:after="0"/>
            </w:pPr>
            <w:r>
              <w:rPr>
                <w:rFonts w:ascii="Arial" w:cs="Arial" w:eastAsia="Arial" w:hAnsi="Arial"/>
                <w:b/>
                <w:bCs/>
                <w:color w:val="A32D2D"/>
                <w:sz w:val="22"/>
                <w:szCs w:val="22"/>
              </w:rPr>
              <w:t xml:space="preserve">Aviso legal: </w:t>
            </w:r>
            <w:r>
              <w:rPr>
                <w:rFonts w:ascii="Arial" w:cs="Arial" w:eastAsia="Arial" w:hAnsi="Arial"/>
                <w:sz w:val="22"/>
                <w:szCs w:val="22"/>
              </w:rPr>
              <w:t xml:space="preserve">Este protocolo es un documento confidencial de investigacion preliminar. No constituye ni reemplaza el protocolo clinico formal que debe ser aprobado por el CEI/IRB correspondiente antes del inicio de cualquier actividad con participantes humanos. El equipo investigador es responsable de actualizar este documento ante cualquier cambio en el contexto regulatorio o cientifico.</w:t>
            </w:r>
          </w:p>
        </w:tc>
      </w:tr>
    </w:tbl>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before="80" w:after="0"/>
      <w:jc w:val="center"/>
    </w:pPr>
    <w:r>
      <w:rPr>
        <w:rFonts w:ascii="Arial" w:cs="Arial" w:eastAsia="Arial" w:hAnsi="Arial"/>
        <w:color w:val="5F5E5A"/>
        <w:sz w:val="18"/>
        <w:szCs w:val="18"/>
      </w:rPr>
      <w:t xml:space="preserve">Pagina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de  </w:t>
    </w:r>
    <w:r>
      <w:rPr>
        <w:rFonts w:ascii="Arial" w:cs="Arial" w:eastAsia="Arial" w:hAnsi="Arial"/>
        <w:color w:val="5F5E5A"/>
        <w:sz w:val="18"/>
        <w:szCs w:val="18"/>
      </w:rPr>
      <w:fldChar w:fldCharType="begin"/>
      <w:instrText xml:space="preserve">NUMPAGES</w:instrText>
      <w:fldChar w:fldCharType="separate"/>
      <w:fldChar w:fldCharType="end"/>
    </w:r>
    <w:r>
      <w:rPr>
        <w:rFonts w:ascii="Arial" w:cs="Arial" w:eastAsia="Arial" w:hAnsi="Arial"/>
        <w:color w:val="5F5E5A"/>
        <w:sz w:val="18"/>
        <w:szCs w:val="18"/>
      </w:rPr>
      <w:t xml:space="preserve">   |   Endo-Edge Research Protocol v1.0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before="0" w:after="80"/>
    </w:pPr>
    <w:r>
      <w:rPr>
        <w:rFonts w:ascii="Arial" w:cs="Arial" w:eastAsia="Arial" w:hAnsi="Arial"/>
        <w:b/>
        <w:bCs/>
        <w:color w:val="1B3A6B"/>
        <w:sz w:val="18"/>
        <w:szCs w:val="18"/>
      </w:rPr>
      <w:t xml:space="preserve">PROTOCOLO DE INVESTIGACION — SISTEMA ENDO-EDGE</w:t>
    </w:r>
    <w:r>
      <w:rPr>
        <w:rFonts w:ascii="Arial" w:cs="Arial" w:eastAsia="Arial" w:hAnsi="Arial"/>
        <w:color w:val="5F5E5A"/>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F6E5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6B"/>
      <w:sz w:val="24"/>
      <w:szCs w:val="24"/>
    </w:rPr>
  </w:style>
  <w:style w:type="paragraph" w:styleId="Heading4">
    <w:name w:val="Heading 4"/>
    <w:basedOn w:val="Normal"/>
    <w:next w:val="Normal"/>
    <w:qFormat/>
    <w:pPr>
      <w:spacing w:before="160" w:after="60"/>
      <w:outlineLvl w:val="3"/>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Investigacion Cientifico-Legal — Sistema Endo-Edge</dc:title>
  <dc:creator>Proyecto Endo-Edge</dc:creator>
  <dc:description>Marco cientifico-legal para investigacion biomedica con biosensores continuos</dc:description>
  <cp:lastModifiedBy>Un-named</cp:lastModifiedBy>
  <cp:revision>1</cp:revision>
  <dcterms:created xsi:type="dcterms:W3CDTF">2026-03-21T16:13:09.187Z</dcterms:created>
  <dcterms:modified xsi:type="dcterms:W3CDTF">2026-03-21T16:13:09.188Z</dcterms:modified>
</cp:coreProperties>
</file>

<file path=docProps/custom.xml><?xml version="1.0" encoding="utf-8"?>
<Properties xmlns="http://schemas.openxmlformats.org/officeDocument/2006/custom-properties" xmlns:vt="http://schemas.openxmlformats.org/officeDocument/2006/docPropsVTypes"/>
</file>