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3B7BC" w14:textId="77777777" w:rsidR="00DC2B9A" w:rsidRPr="00B1745F" w:rsidRDefault="00B5030D">
      <w:pPr>
        <w:spacing w:before="720" w:after="120"/>
        <w:jc w:val="center"/>
        <w:rPr>
          <w:lang w:val="en-US"/>
        </w:rPr>
      </w:pPr>
      <w:r w:rsidRPr="00B1745F">
        <w:rPr>
          <w:b/>
          <w:bCs/>
          <w:color w:val="1A3A5C"/>
          <w:sz w:val="56"/>
          <w:szCs w:val="56"/>
          <w:lang w:val="en-US"/>
        </w:rPr>
        <w:t>TENSOR-BASED COGNITIVE OVERSIGHT (TCO)</w:t>
      </w:r>
    </w:p>
    <w:p w14:paraId="62AC50A8" w14:textId="77777777" w:rsidR="00DC2B9A" w:rsidRPr="00B1745F" w:rsidRDefault="00B5030D">
      <w:pPr>
        <w:spacing w:after="80"/>
        <w:jc w:val="center"/>
        <w:rPr>
          <w:lang w:val="en-US"/>
        </w:rPr>
      </w:pPr>
      <w:r w:rsidRPr="00B1745F">
        <w:rPr>
          <w:i/>
          <w:iCs/>
          <w:color w:val="2E6DA4"/>
          <w:sz w:val="32"/>
          <w:szCs w:val="32"/>
          <w:lang w:val="en-US"/>
        </w:rPr>
        <w:t>A Framework for Human Orchestration of AI-Driven Software Systems</w:t>
      </w:r>
    </w:p>
    <w:p w14:paraId="079F2110" w14:textId="77777777" w:rsidR="00DC2B9A" w:rsidRPr="00B1745F" w:rsidRDefault="00DC2B9A">
      <w:pPr>
        <w:pBdr>
          <w:bottom w:val="single" w:sz="6" w:space="1" w:color="2E6DA4"/>
        </w:pBdr>
        <w:spacing w:before="200" w:after="200"/>
        <w:rPr>
          <w:lang w:val="en-US"/>
        </w:rPr>
      </w:pPr>
    </w:p>
    <w:p w14:paraId="7EC42917" w14:textId="77777777" w:rsidR="00DC2B9A" w:rsidRPr="00B1745F" w:rsidRDefault="00B5030D">
      <w:pPr>
        <w:spacing w:before="160" w:after="60"/>
        <w:jc w:val="center"/>
        <w:rPr>
          <w:lang w:val="en-US"/>
        </w:rPr>
      </w:pPr>
      <w:r w:rsidRPr="00B1745F">
        <w:rPr>
          <w:color w:val="888888"/>
          <w:sz w:val="20"/>
          <w:szCs w:val="20"/>
          <w:lang w:val="en-US"/>
        </w:rPr>
        <w:t>Working Paper — Confidential Draft for Peer Review</w:t>
      </w:r>
    </w:p>
    <w:p w14:paraId="46696618" w14:textId="77777777" w:rsidR="00DC2B9A" w:rsidRDefault="00B5030D">
      <w:pPr>
        <w:spacing w:before="60" w:after="400"/>
        <w:jc w:val="center"/>
      </w:pPr>
      <w:r>
        <w:rPr>
          <w:color w:val="888888"/>
          <w:sz w:val="20"/>
          <w:szCs w:val="20"/>
        </w:rPr>
        <w:t>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B9A" w14:paraId="143EFDD0" w14:textId="77777777">
        <w:tc>
          <w:tcPr>
            <w:tcW w:w="93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60" w:type="dxa"/>
              <w:bottom w:w="80" w:type="dxa"/>
              <w:right w:w="160" w:type="dxa"/>
            </w:tcMar>
          </w:tcPr>
          <w:p w14:paraId="547E819B" w14:textId="77777777" w:rsidR="00DC2B9A" w:rsidRDefault="00B5030D">
            <w:r>
              <w:rPr>
                <w:b/>
                <w:bCs/>
                <w:color w:val="FFFFFF"/>
              </w:rPr>
              <w:t>Abstract</w:t>
            </w:r>
          </w:p>
        </w:tc>
      </w:tr>
      <w:tr w:rsidR="00DC2B9A" w:rsidRPr="008A4DC9" w14:paraId="2E0F486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8F5"/>
            <w:tcMar>
              <w:top w:w="100" w:type="dxa"/>
              <w:left w:w="160" w:type="dxa"/>
              <w:bottom w:w="100" w:type="dxa"/>
              <w:right w:w="160" w:type="dxa"/>
            </w:tcMar>
          </w:tcPr>
          <w:p w14:paraId="4F9BDA9F" w14:textId="77777777" w:rsidR="00DC2B9A" w:rsidRPr="00B1745F" w:rsidRDefault="00B5030D">
            <w:pPr>
              <w:spacing w:after="80"/>
              <w:rPr>
                <w:lang w:val="en-US"/>
              </w:rPr>
            </w:pPr>
            <w:r w:rsidRPr="00B1745F">
              <w:rPr>
                <w:sz w:val="21"/>
                <w:szCs w:val="21"/>
                <w:lang w:val="en-US"/>
              </w:rPr>
              <w:t>The rapid adoption of artificial intelligence in software development has shifted human roles from creators to supervisors of increasingly complex, AI-generated systems. This transition has introduced significant cognitive challenges — decision fatigue, reduced scalability of oversight, and difficulty validating high-complexity outputs — collectively referred to as "brain fry" in practitioner settings.</w:t>
            </w:r>
          </w:p>
          <w:p w14:paraId="291ED93C" w14:textId="77777777" w:rsidR="00DC2B9A" w:rsidRPr="00B1745F" w:rsidRDefault="00B5030D">
            <w:pPr>
              <w:spacing w:after="80"/>
              <w:rPr>
                <w:lang w:val="en-US"/>
              </w:rPr>
            </w:pPr>
            <w:r w:rsidRPr="00B1745F">
              <w:rPr>
                <w:sz w:val="21"/>
                <w:szCs w:val="21"/>
                <w:lang w:val="en-US"/>
              </w:rPr>
              <w:t>This paper proposes Tensor-based Cognitive Oversight (TCO), a novel framework that restructures human-AI interaction through a vector-based evaluation model and its aggregation into tensor representations. These structures enable system-level inference and facilitate human orchestration at a higher abstraction level.</w:t>
            </w:r>
          </w:p>
          <w:p w14:paraId="1F80939D" w14:textId="77777777" w:rsidR="00DC2B9A" w:rsidRPr="00B1745F" w:rsidRDefault="00B5030D">
            <w:pPr>
              <w:spacing w:after="80"/>
              <w:rPr>
                <w:lang w:val="en-US"/>
              </w:rPr>
            </w:pPr>
            <w:r w:rsidRPr="00B1745F">
              <w:rPr>
                <w:sz w:val="21"/>
                <w:szCs w:val="21"/>
                <w:lang w:val="en-US"/>
              </w:rPr>
              <w:t>A central theoretical contribution of TCO is the Natural Cognitive Frontier (NCF): the level of abstraction at which human cognitive demand is calibrated to human capacity — achievable through natural language policy injection without technical friction. The bidirectional architecture of TCO transforms the human role from output validator to system orchestrator, resolving automation bias through obligatory active judgment rather than passive acceptance.</w:t>
            </w:r>
          </w:p>
          <w:p w14:paraId="22ABA615" w14:textId="77777777" w:rsidR="00DC2B9A" w:rsidRPr="00B1745F" w:rsidRDefault="00B5030D">
            <w:pPr>
              <w:rPr>
                <w:lang w:val="en-US"/>
              </w:rPr>
            </w:pPr>
            <w:r w:rsidRPr="00B1745F">
              <w:rPr>
                <w:b/>
                <w:bCs/>
                <w:sz w:val="21"/>
                <w:szCs w:val="21"/>
                <w:lang w:val="en-US"/>
              </w:rPr>
              <w:t xml:space="preserve">Keywords: </w:t>
            </w:r>
            <w:r w:rsidRPr="00B1745F">
              <w:rPr>
                <w:i/>
                <w:iCs/>
                <w:sz w:val="21"/>
                <w:szCs w:val="21"/>
                <w:lang w:val="en-US"/>
              </w:rPr>
              <w:t>cognitive oversight, tensor representation, multi-agent systems, human orchestration, Natural Cognitive Frontier, policy injection, software quality, AI supervision</w:t>
            </w:r>
          </w:p>
        </w:tc>
      </w:tr>
    </w:tbl>
    <w:p w14:paraId="1B584F10" w14:textId="77777777" w:rsidR="00DC2B9A" w:rsidRPr="00B1745F" w:rsidRDefault="00DC2B9A">
      <w:pPr>
        <w:spacing w:before="120" w:after="120"/>
        <w:rPr>
          <w:lang w:val="en-US"/>
        </w:rPr>
      </w:pPr>
    </w:p>
    <w:p w14:paraId="25DDD788" w14:textId="77777777" w:rsidR="00DC2B9A" w:rsidRPr="00B1745F" w:rsidRDefault="00B5030D">
      <w:pPr>
        <w:rPr>
          <w:lang w:val="en-US"/>
        </w:rPr>
      </w:pPr>
      <w:r w:rsidRPr="00B1745F">
        <w:rPr>
          <w:lang w:val="en-US"/>
        </w:rPr>
        <w:br w:type="page"/>
      </w:r>
    </w:p>
    <w:p w14:paraId="4AA23128" w14:textId="77777777" w:rsidR="00DC2B9A" w:rsidRPr="00B1745F" w:rsidRDefault="00B5030D">
      <w:pPr>
        <w:pStyle w:val="Ttulo1"/>
        <w:spacing w:before="280" w:after="120"/>
        <w:rPr>
          <w:lang w:val="en-US"/>
        </w:rPr>
      </w:pPr>
      <w:r w:rsidRPr="00B1745F">
        <w:rPr>
          <w:sz w:val="24"/>
          <w:szCs w:val="24"/>
          <w:lang w:val="en-US"/>
        </w:rPr>
        <w:lastRenderedPageBreak/>
        <w:t>1. Introduction</w:t>
      </w:r>
    </w:p>
    <w:p w14:paraId="4B44A093" w14:textId="77777777" w:rsidR="00DC2B9A" w:rsidRPr="00B1745F" w:rsidRDefault="00B5030D">
      <w:pPr>
        <w:spacing w:before="60" w:after="120"/>
        <w:jc w:val="both"/>
        <w:rPr>
          <w:lang w:val="en-US"/>
        </w:rPr>
      </w:pPr>
      <w:r w:rsidRPr="00B1745F">
        <w:rPr>
          <w:lang w:val="en-US"/>
        </w:rPr>
        <w:t>Artificial intelligence systems are increasingly capable of generating complete software artifacts — code, configurations, architectural decisions, and deployment pipelines. While this capability enhances productivity at an unprecedented scale, it introduces a fundamental and underexplored bottleneck: humans are required to supervise outputs that systematically exceed their efficient cognitive processing capacity.</w:t>
      </w:r>
    </w:p>
    <w:p w14:paraId="22D10776" w14:textId="77777777" w:rsidR="00DC2B9A" w:rsidRPr="00B1745F" w:rsidRDefault="00B5030D">
      <w:pPr>
        <w:spacing w:before="60" w:after="120"/>
        <w:jc w:val="both"/>
        <w:rPr>
          <w:lang w:val="en-US"/>
        </w:rPr>
      </w:pPr>
      <w:r w:rsidRPr="00B1745F">
        <w:rPr>
          <w:lang w:val="en-US"/>
        </w:rPr>
        <w:t>This bottleneck manifests as what practitioners describe as "brain fry" — a state of cognitive saturation produced by sustained exposure to high-volume, low-level, technically dense outputs. The phenomenon is well-documented in cognitive science: when working memory is saturated, error detection capability deteriorates, decision quality degrades, and the human agent begins to operate in a reactive, heuristic mode rather than a deliberate, analytical one [1, 2].</w:t>
      </w:r>
    </w:p>
    <w:p w14:paraId="48180E76" w14:textId="77777777" w:rsidR="00DC2B9A" w:rsidRPr="00B1745F" w:rsidRDefault="00B5030D">
      <w:pPr>
        <w:spacing w:before="60" w:after="120"/>
        <w:jc w:val="both"/>
        <w:rPr>
          <w:lang w:val="en-US"/>
        </w:rPr>
      </w:pPr>
      <w:r w:rsidRPr="00B1745F">
        <w:rPr>
          <w:lang w:val="en-US"/>
        </w:rPr>
        <w:t>Traditional Human-in-the-Loop (HITL) models assume that human supervisors review discrete, bounded outputs and intervene at well-defined checkpoints. This assumption was reasonable when automated systems produced individual, interpretable decisions. In multi-agent AI-driven software development, it fails structurally: the volume of outputs is continuous, the complexity of each artifact is high, and the consequences of any single error propagate across interdependent system components.</w:t>
      </w:r>
    </w:p>
    <w:p w14:paraId="5DEFA17A" w14:textId="77777777" w:rsidR="00DC2B9A" w:rsidRPr="00B1745F" w:rsidRDefault="00B5030D">
      <w:pPr>
        <w:spacing w:before="60" w:after="120"/>
        <w:jc w:val="both"/>
        <w:rPr>
          <w:lang w:val="en-US"/>
        </w:rPr>
      </w:pPr>
      <w:r w:rsidRPr="00B1745F">
        <w:rPr>
          <w:lang w:val="en-US"/>
        </w:rPr>
        <w:t>This paper argues that the limitation is not human capability per se, but the level of abstraction at which humans interact with AI systems. The solution is not better tools for reviewing raw outputs — it is a fundamentally different model of interaction, one in which humans orchestrate system states rather than validate individual artifacts.</w:t>
      </w:r>
    </w:p>
    <w:p w14:paraId="4D12B2A4" w14:textId="77777777" w:rsidR="00DC2B9A" w:rsidRPr="00B1745F" w:rsidRDefault="00B5030D">
      <w:pPr>
        <w:spacing w:before="60" w:after="120"/>
        <w:jc w:val="both"/>
        <w:rPr>
          <w:lang w:val="en-US"/>
        </w:rPr>
      </w:pPr>
      <w:r w:rsidRPr="00B1745F">
        <w:rPr>
          <w:lang w:val="en-US"/>
        </w:rPr>
        <w:t>We propose Tensor-based Cognitive Oversight (TCO), a framework that:</w:t>
      </w:r>
    </w:p>
    <w:p w14:paraId="615C17F1" w14:textId="77777777" w:rsidR="00DC2B9A" w:rsidRPr="00B1745F" w:rsidRDefault="00B5030D">
      <w:pPr>
        <w:pStyle w:val="Prrafodelista"/>
        <w:numPr>
          <w:ilvl w:val="0"/>
          <w:numId w:val="2"/>
        </w:numPr>
        <w:spacing w:before="40" w:after="40"/>
        <w:rPr>
          <w:lang w:val="en-US"/>
        </w:rPr>
      </w:pPr>
      <w:r w:rsidRPr="00B1745F">
        <w:rPr>
          <w:lang w:val="en-US"/>
        </w:rPr>
        <w:t>Transforms AI-generated artifacts into structured, normalized evaluation vectors V ∈ [0,1]¹¹ capturing eleven quality dimensions</w:t>
      </w:r>
    </w:p>
    <w:p w14:paraId="250F54A4" w14:textId="77777777" w:rsidR="00DC2B9A" w:rsidRPr="00B1745F" w:rsidRDefault="00B5030D">
      <w:pPr>
        <w:pStyle w:val="Prrafodelista"/>
        <w:numPr>
          <w:ilvl w:val="0"/>
          <w:numId w:val="2"/>
        </w:numPr>
        <w:spacing w:before="40" w:after="40"/>
        <w:rPr>
          <w:lang w:val="en-US"/>
        </w:rPr>
      </w:pPr>
      <w:r w:rsidRPr="00B1745F">
        <w:rPr>
          <w:lang w:val="en-US"/>
        </w:rPr>
        <w:t>Aggregates these vectors into a three-dimensional tensor T[dimension, stage, agent, time] representing the global state of the system</w:t>
      </w:r>
    </w:p>
    <w:p w14:paraId="582ED41E" w14:textId="77777777" w:rsidR="00DC2B9A" w:rsidRPr="00B1745F" w:rsidRDefault="00B5030D">
      <w:pPr>
        <w:pStyle w:val="Prrafodelista"/>
        <w:numPr>
          <w:ilvl w:val="0"/>
          <w:numId w:val="2"/>
        </w:numPr>
        <w:spacing w:before="40" w:after="40"/>
        <w:rPr>
          <w:lang w:val="en-US"/>
        </w:rPr>
      </w:pPr>
      <w:r w:rsidRPr="00B1745F">
        <w:rPr>
          <w:lang w:val="en-US"/>
        </w:rPr>
        <w:t>Derives actionable inferences from the tensor — system state, trend analysis, risk detection, and prioritized recommendations</w:t>
      </w:r>
    </w:p>
    <w:p w14:paraId="178C7A1D" w14:textId="77777777" w:rsidR="00DC2B9A" w:rsidRPr="00B1745F" w:rsidRDefault="00B5030D">
      <w:pPr>
        <w:pStyle w:val="Prrafodelista"/>
        <w:numPr>
          <w:ilvl w:val="0"/>
          <w:numId w:val="2"/>
        </w:numPr>
        <w:spacing w:before="40" w:after="40"/>
        <w:rPr>
          <w:lang w:val="en-US"/>
        </w:rPr>
      </w:pPr>
      <w:r w:rsidRPr="00B1745F">
        <w:rPr>
          <w:lang w:val="en-US"/>
        </w:rPr>
        <w:t>Positions the human as a high-level orchestrator operating at the Natural Cognitive Frontier (NCF): the level of abstraction where cognitive demand is calibrated to human capacity, expressible in natural language</w:t>
      </w:r>
    </w:p>
    <w:p w14:paraId="03355DA4" w14:textId="77777777" w:rsidR="00DC2B9A" w:rsidRPr="00B1745F" w:rsidRDefault="00B5030D">
      <w:pPr>
        <w:pStyle w:val="Prrafodelista"/>
        <w:numPr>
          <w:ilvl w:val="0"/>
          <w:numId w:val="2"/>
        </w:numPr>
        <w:spacing w:before="40" w:after="40"/>
        <w:rPr>
          <w:lang w:val="en-US"/>
        </w:rPr>
      </w:pPr>
      <w:r w:rsidRPr="00B1745F">
        <w:rPr>
          <w:lang w:val="en-US"/>
        </w:rPr>
        <w:t>Implements a bidirectional loop in which human judgment, expressed as natural language policy injection, re-orchestrates the agent system</w:t>
      </w:r>
    </w:p>
    <w:p w14:paraId="31560B69" w14:textId="77777777" w:rsidR="00DC2B9A" w:rsidRPr="00B1745F" w:rsidRDefault="00DC2B9A">
      <w:pPr>
        <w:spacing w:before="60" w:after="60"/>
        <w:rPr>
          <w:lang w:val="en-US"/>
        </w:rPr>
      </w:pPr>
    </w:p>
    <w:p w14:paraId="4D0082C7" w14:textId="77777777" w:rsidR="00DC2B9A" w:rsidRPr="00B1745F" w:rsidRDefault="00B5030D">
      <w:pPr>
        <w:pStyle w:val="Ttulo1"/>
        <w:spacing w:before="280" w:after="120"/>
        <w:rPr>
          <w:lang w:val="en-US"/>
        </w:rPr>
      </w:pPr>
      <w:r w:rsidRPr="00B1745F">
        <w:rPr>
          <w:sz w:val="24"/>
          <w:szCs w:val="24"/>
          <w:lang w:val="en-US"/>
        </w:rPr>
        <w:t>2. Theoretical Framework</w:t>
      </w:r>
    </w:p>
    <w:p w14:paraId="27A5EFA6" w14:textId="77777777" w:rsidR="00DC2B9A" w:rsidRPr="00B1745F" w:rsidRDefault="00B5030D">
      <w:pPr>
        <w:spacing w:before="60" w:after="120"/>
        <w:jc w:val="both"/>
        <w:rPr>
          <w:lang w:val="en-US"/>
        </w:rPr>
      </w:pPr>
      <w:r w:rsidRPr="00B1745F">
        <w:rPr>
          <w:lang w:val="en-US"/>
        </w:rPr>
        <w:t>TCO is grounded in four bodies of established theory, each contributing a distinct explanatory lens. The framework's originality lies in their integration within the specific domain of human orchestration of multi-agent AI software systems.</w:t>
      </w:r>
    </w:p>
    <w:p w14:paraId="23E7879A" w14:textId="77777777" w:rsidR="00DC2B9A" w:rsidRPr="00B1745F" w:rsidRDefault="00DC2B9A">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C2B9A" w:rsidRPr="008A4DC9" w14:paraId="0CF7752F" w14:textId="77777777">
        <w:tc>
          <w:tcPr>
            <w:tcW w:w="2400" w:type="dxa"/>
            <w:tcBorders>
              <w:top w:val="single" w:sz="1" w:space="0" w:color="CCCCCC"/>
              <w:left w:val="single" w:sz="1" w:space="0" w:color="CCCCCC"/>
              <w:bottom w:val="single" w:sz="1" w:space="0" w:color="CCCCCC"/>
              <w:right w:val="single" w:sz="1" w:space="0" w:color="CCCCCC"/>
            </w:tcBorders>
            <w:shd w:val="clear" w:color="auto" w:fill="4A3B9C"/>
            <w:tcMar>
              <w:top w:w="80" w:type="dxa"/>
              <w:left w:w="120" w:type="dxa"/>
              <w:bottom w:w="40" w:type="dxa"/>
              <w:right w:w="80" w:type="dxa"/>
            </w:tcMar>
          </w:tcPr>
          <w:p w14:paraId="0449DFB0" w14:textId="77777777" w:rsidR="00DC2B9A" w:rsidRDefault="00B5030D">
            <w:r>
              <w:rPr>
                <w:b/>
                <w:bCs/>
                <w:color w:val="FFFFFF"/>
                <w:sz w:val="21"/>
                <w:szCs w:val="21"/>
              </w:rPr>
              <w:t>Cognitive Load Theory</w:t>
            </w:r>
          </w:p>
          <w:p w14:paraId="21171405" w14:textId="77777777" w:rsidR="00DC2B9A" w:rsidRDefault="00B5030D">
            <w:r>
              <w:rPr>
                <w:color w:val="DDDDDD"/>
                <w:sz w:val="18"/>
                <w:szCs w:val="18"/>
              </w:rPr>
              <w:t>Sweller (1988)</w:t>
            </w:r>
          </w:p>
        </w:tc>
        <w:tc>
          <w:tcPr>
            <w:tcW w:w="6960" w:type="dxa"/>
            <w:tcBorders>
              <w:top w:val="single" w:sz="1" w:space="0" w:color="CCCCCC"/>
              <w:left w:val="single" w:sz="1" w:space="0" w:color="CCCCCC"/>
              <w:bottom w:val="single" w:sz="1" w:space="0" w:color="CCCCCC"/>
              <w:right w:val="single" w:sz="1" w:space="0" w:color="CCCCCC"/>
            </w:tcBorders>
            <w:shd w:val="clear" w:color="auto" w:fill="F3ECF9"/>
            <w:tcMar>
              <w:top w:w="80" w:type="dxa"/>
              <w:left w:w="160" w:type="dxa"/>
              <w:bottom w:w="80" w:type="dxa"/>
              <w:right w:w="120" w:type="dxa"/>
            </w:tcMar>
          </w:tcPr>
          <w:p w14:paraId="7CA44D4C" w14:textId="77777777" w:rsidR="00B1745F" w:rsidRPr="00B1745F" w:rsidRDefault="00B1745F" w:rsidP="00B1745F">
            <w:pPr>
              <w:rPr>
                <w:b/>
                <w:bCs/>
                <w:color w:val="4A3B9C"/>
                <w:sz w:val="20"/>
                <w:szCs w:val="20"/>
                <w:lang w:val="en-US"/>
              </w:rPr>
            </w:pPr>
            <w:r w:rsidRPr="00B1745F">
              <w:rPr>
                <w:b/>
                <w:bCs/>
                <w:color w:val="4A3B9C"/>
                <w:sz w:val="20"/>
                <w:szCs w:val="20"/>
                <w:lang w:val="en"/>
              </w:rPr>
              <w:t>Psychological basis of the problem</w:t>
            </w:r>
          </w:p>
          <w:p w14:paraId="5ECA2B99" w14:textId="0CFE990C" w:rsidR="00DC2B9A" w:rsidRPr="00B1745F" w:rsidRDefault="00B1745F">
            <w:pPr>
              <w:spacing w:before="40"/>
              <w:rPr>
                <w:sz w:val="19"/>
                <w:szCs w:val="19"/>
                <w:lang w:val="en-US"/>
              </w:rPr>
            </w:pPr>
            <w:r w:rsidRPr="00B1745F">
              <w:rPr>
                <w:sz w:val="19"/>
                <w:szCs w:val="19"/>
                <w:lang w:val="en"/>
              </w:rPr>
              <w:t>Formalize why reviewing raw outputs causes overhead. Distinguish between extrinsic overhead (problem) and German overhead (solution). Total Cost of Ownership (TCO) eliminates the former and maximizes the latter.</w:t>
            </w:r>
          </w:p>
        </w:tc>
      </w:tr>
      <w:tr w:rsidR="00DC2B9A" w14:paraId="4DB6938F" w14:textId="77777777">
        <w:tc>
          <w:tcPr>
            <w:tcW w:w="2400" w:type="dxa"/>
            <w:tcBorders>
              <w:top w:val="single" w:sz="1" w:space="0" w:color="CCCCCC"/>
              <w:left w:val="single" w:sz="1" w:space="0" w:color="CCCCCC"/>
              <w:bottom w:val="single" w:sz="1" w:space="0" w:color="CCCCCC"/>
              <w:right w:val="single" w:sz="1" w:space="0" w:color="CCCCCC"/>
            </w:tcBorders>
            <w:shd w:val="clear" w:color="auto" w:fill="0D6B55"/>
            <w:tcMar>
              <w:top w:w="80" w:type="dxa"/>
              <w:left w:w="120" w:type="dxa"/>
              <w:bottom w:w="40" w:type="dxa"/>
              <w:right w:w="80" w:type="dxa"/>
            </w:tcMar>
          </w:tcPr>
          <w:p w14:paraId="0C57556F" w14:textId="77777777" w:rsidR="00DC2B9A" w:rsidRDefault="00B5030D">
            <w:r>
              <w:rPr>
                <w:b/>
                <w:bCs/>
                <w:color w:val="FFFFFF"/>
                <w:sz w:val="21"/>
                <w:szCs w:val="21"/>
              </w:rPr>
              <w:t>Situation Awareness</w:t>
            </w:r>
          </w:p>
          <w:p w14:paraId="0D753022" w14:textId="77777777" w:rsidR="00DC2B9A" w:rsidRDefault="00B5030D">
            <w:r>
              <w:rPr>
                <w:color w:val="DDDDDD"/>
                <w:sz w:val="18"/>
                <w:szCs w:val="18"/>
              </w:rPr>
              <w:lastRenderedPageBreak/>
              <w:t>Endsley (1995)</w:t>
            </w:r>
          </w:p>
        </w:tc>
        <w:tc>
          <w:tcPr>
            <w:tcW w:w="6960" w:type="dxa"/>
            <w:tcBorders>
              <w:top w:val="single" w:sz="1" w:space="0" w:color="CCCCCC"/>
              <w:left w:val="single" w:sz="1" w:space="0" w:color="CCCCCC"/>
              <w:bottom w:val="single" w:sz="1" w:space="0" w:color="CCCCCC"/>
              <w:right w:val="single" w:sz="1" w:space="0" w:color="CCCCCC"/>
            </w:tcBorders>
            <w:shd w:val="clear" w:color="auto" w:fill="E0F5EF"/>
            <w:tcMar>
              <w:top w:w="80" w:type="dxa"/>
              <w:left w:w="160" w:type="dxa"/>
              <w:bottom w:w="80" w:type="dxa"/>
              <w:right w:w="120" w:type="dxa"/>
            </w:tcMar>
          </w:tcPr>
          <w:p w14:paraId="6D9F68CF" w14:textId="77777777" w:rsidR="00B1745F" w:rsidRPr="008A4DC9" w:rsidRDefault="00B1745F" w:rsidP="00B1745F">
            <w:pPr>
              <w:rPr>
                <w:b/>
                <w:bCs/>
                <w:color w:val="0D6B55"/>
                <w:sz w:val="20"/>
                <w:szCs w:val="20"/>
                <w:lang w:val="en-US"/>
              </w:rPr>
            </w:pPr>
            <w:r w:rsidRPr="008A4DC9">
              <w:rPr>
                <w:b/>
                <w:bCs/>
                <w:color w:val="0D6B55"/>
                <w:sz w:val="20"/>
                <w:szCs w:val="20"/>
                <w:lang w:val="en-US"/>
              </w:rPr>
              <w:lastRenderedPageBreak/>
              <w:t>Orchestration model</w:t>
            </w:r>
          </w:p>
          <w:p w14:paraId="7DCA1C8F" w14:textId="00B3867C" w:rsidR="00DC2B9A" w:rsidRPr="00B1745F" w:rsidRDefault="00B1745F">
            <w:pPr>
              <w:spacing w:before="40"/>
              <w:rPr>
                <w:sz w:val="19"/>
                <w:szCs w:val="19"/>
              </w:rPr>
            </w:pPr>
            <w:r w:rsidRPr="00B1745F">
              <w:rPr>
                <w:sz w:val="19"/>
                <w:szCs w:val="19"/>
                <w:lang w:val="en"/>
              </w:rPr>
              <w:lastRenderedPageBreak/>
              <w:t>The three levels L1 (perception), L2 (comprehension), and L3 (projection) map directly to the vectorization, tensor, and inference layers of OCT. The orchestrator operates in L2/L3, not in L1.</w:t>
            </w:r>
          </w:p>
        </w:tc>
      </w:tr>
      <w:tr w:rsidR="00DC2B9A" w:rsidRPr="008A4DC9" w14:paraId="1625FA7F" w14:textId="77777777">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40" w:type="dxa"/>
              <w:right w:w="80" w:type="dxa"/>
            </w:tcMar>
          </w:tcPr>
          <w:p w14:paraId="7047A74B" w14:textId="77777777" w:rsidR="00DC2B9A" w:rsidRDefault="00B5030D">
            <w:r>
              <w:rPr>
                <w:b/>
                <w:bCs/>
                <w:color w:val="FFFFFF"/>
                <w:sz w:val="21"/>
                <w:szCs w:val="21"/>
              </w:rPr>
              <w:lastRenderedPageBreak/>
              <w:t>Supervisory Control Theory</w:t>
            </w:r>
          </w:p>
          <w:p w14:paraId="07E9D9FE" w14:textId="77777777" w:rsidR="00DC2B9A" w:rsidRDefault="00B5030D">
            <w:r>
              <w:rPr>
                <w:color w:val="DDDDDD"/>
                <w:sz w:val="18"/>
                <w:szCs w:val="18"/>
              </w:rPr>
              <w:t>Sheridan (1992)</w:t>
            </w:r>
          </w:p>
        </w:tc>
        <w:tc>
          <w:tcPr>
            <w:tcW w:w="69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60" w:type="dxa"/>
              <w:bottom w:w="80" w:type="dxa"/>
              <w:right w:w="120" w:type="dxa"/>
            </w:tcMar>
          </w:tcPr>
          <w:p w14:paraId="4A9B231C" w14:textId="77777777" w:rsidR="00B1745F" w:rsidRPr="008A4DC9" w:rsidRDefault="00B1745F" w:rsidP="00B1745F">
            <w:pPr>
              <w:rPr>
                <w:b/>
                <w:bCs/>
                <w:color w:val="1A3A5C"/>
                <w:sz w:val="20"/>
                <w:szCs w:val="20"/>
                <w:lang w:val="en-US"/>
              </w:rPr>
            </w:pPr>
            <w:r w:rsidRPr="008A4DC9">
              <w:rPr>
                <w:b/>
                <w:bCs/>
                <w:color w:val="1A3A5C"/>
                <w:sz w:val="20"/>
                <w:szCs w:val="20"/>
                <w:lang w:val="en-US"/>
              </w:rPr>
              <w:t>Precedent in complex systems</w:t>
            </w:r>
          </w:p>
          <w:p w14:paraId="46D5E103" w14:textId="6564999A" w:rsidR="00DC2B9A" w:rsidRPr="00B1745F" w:rsidRDefault="00B1745F">
            <w:pPr>
              <w:spacing w:before="40"/>
              <w:rPr>
                <w:sz w:val="19"/>
                <w:szCs w:val="19"/>
                <w:lang w:val="en-US"/>
              </w:rPr>
            </w:pPr>
            <w:r w:rsidRPr="00B1745F">
              <w:rPr>
                <w:sz w:val="19"/>
                <w:szCs w:val="19"/>
                <w:lang w:val="en"/>
              </w:rPr>
              <w:t>The Levels of Automation (LOA) model and aviation precedent validate the shift from operator to orchestrator. TCO applies this proven pattern to the domain of multi-agent AI software.</w:t>
            </w:r>
          </w:p>
        </w:tc>
      </w:tr>
      <w:tr w:rsidR="00DC2B9A" w:rsidRPr="008A4DC9" w14:paraId="3958179D" w14:textId="77777777">
        <w:tc>
          <w:tcPr>
            <w:tcW w:w="2400" w:type="dxa"/>
            <w:tcBorders>
              <w:top w:val="single" w:sz="1" w:space="0" w:color="CCCCCC"/>
              <w:left w:val="single" w:sz="1" w:space="0" w:color="CCCCCC"/>
              <w:bottom w:val="single" w:sz="1" w:space="0" w:color="CCCCCC"/>
              <w:right w:val="single" w:sz="1" w:space="0" w:color="CCCCCC"/>
            </w:tcBorders>
            <w:shd w:val="clear" w:color="auto" w:fill="B8690F"/>
            <w:tcMar>
              <w:top w:w="80" w:type="dxa"/>
              <w:left w:w="120" w:type="dxa"/>
              <w:bottom w:w="40" w:type="dxa"/>
              <w:right w:w="80" w:type="dxa"/>
            </w:tcMar>
          </w:tcPr>
          <w:p w14:paraId="4A079BC6" w14:textId="77777777" w:rsidR="00DC2B9A" w:rsidRDefault="00B5030D">
            <w:r>
              <w:rPr>
                <w:b/>
                <w:bCs/>
                <w:color w:val="FFFFFF"/>
                <w:sz w:val="21"/>
                <w:szCs w:val="21"/>
              </w:rPr>
              <w:t>Hybrid Cognitive Alignment</w:t>
            </w:r>
          </w:p>
          <w:p w14:paraId="20EFD944" w14:textId="77777777" w:rsidR="00DC2B9A" w:rsidRDefault="00B5030D">
            <w:r>
              <w:rPr>
                <w:color w:val="DDDDDD"/>
                <w:sz w:val="18"/>
                <w:szCs w:val="18"/>
              </w:rPr>
              <w:t>AMR (2025)</w:t>
            </w:r>
          </w:p>
        </w:tc>
        <w:tc>
          <w:tcPr>
            <w:tcW w:w="6960" w:type="dxa"/>
            <w:tcBorders>
              <w:top w:val="single" w:sz="1" w:space="0" w:color="CCCCCC"/>
              <w:left w:val="single" w:sz="1" w:space="0" w:color="CCCCCC"/>
              <w:bottom w:val="single" w:sz="1" w:space="0" w:color="CCCCCC"/>
              <w:right w:val="single" w:sz="1" w:space="0" w:color="CCCCCC"/>
            </w:tcBorders>
            <w:shd w:val="clear" w:color="auto" w:fill="FDF3E0"/>
            <w:tcMar>
              <w:top w:w="80" w:type="dxa"/>
              <w:left w:w="160" w:type="dxa"/>
              <w:bottom w:w="80" w:type="dxa"/>
              <w:right w:w="120" w:type="dxa"/>
            </w:tcMar>
          </w:tcPr>
          <w:p w14:paraId="1F069958" w14:textId="77777777" w:rsidR="00B1745F" w:rsidRPr="008A4DC9" w:rsidRDefault="00B1745F" w:rsidP="00B1745F">
            <w:pPr>
              <w:rPr>
                <w:b/>
                <w:bCs/>
                <w:color w:val="B8690F"/>
                <w:sz w:val="20"/>
                <w:szCs w:val="20"/>
                <w:lang w:val="en-US"/>
              </w:rPr>
            </w:pPr>
            <w:r w:rsidRPr="008A4DC9">
              <w:rPr>
                <w:b/>
                <w:bCs/>
                <w:color w:val="B8690F"/>
                <w:sz w:val="20"/>
                <w:szCs w:val="20"/>
                <w:lang w:val="en-US"/>
              </w:rPr>
              <w:t>H-IA collaboration framework</w:t>
            </w:r>
          </w:p>
          <w:p w14:paraId="32B3DDFE" w14:textId="416728B7" w:rsidR="00DC2B9A" w:rsidRPr="00B1745F" w:rsidRDefault="00B1745F">
            <w:pPr>
              <w:spacing w:before="40"/>
              <w:rPr>
                <w:sz w:val="19"/>
                <w:szCs w:val="19"/>
                <w:lang w:val="en-US"/>
              </w:rPr>
            </w:pPr>
            <w:r w:rsidRPr="00B1745F">
              <w:rPr>
                <w:sz w:val="19"/>
                <w:szCs w:val="19"/>
                <w:lang w:val="en"/>
              </w:rPr>
              <w:t>The emerging cognitive alignment between humans and AI requires shared representations. The tensor is the AI's representation of the system; policy injection is the human response in natural language.</w:t>
            </w:r>
          </w:p>
        </w:tc>
      </w:tr>
    </w:tbl>
    <w:p w14:paraId="038EC0AC" w14:textId="77777777" w:rsidR="00DC2B9A" w:rsidRPr="00B1745F" w:rsidRDefault="00DC2B9A">
      <w:pPr>
        <w:spacing w:before="60" w:after="60"/>
        <w:rPr>
          <w:lang w:val="en-US"/>
        </w:rPr>
      </w:pPr>
    </w:p>
    <w:p w14:paraId="168249C6" w14:textId="77777777" w:rsidR="00DC2B9A" w:rsidRPr="00B1745F" w:rsidRDefault="00B5030D">
      <w:pPr>
        <w:pStyle w:val="Ttulo2"/>
        <w:rPr>
          <w:lang w:val="en-US"/>
        </w:rPr>
      </w:pPr>
      <w:r w:rsidRPr="00B1745F">
        <w:rPr>
          <w:color w:val="1A3A5C"/>
          <w:sz w:val="24"/>
          <w:szCs w:val="24"/>
          <w:lang w:val="en-US"/>
        </w:rPr>
        <w:t>2.1 Cognitive Load Theory and the Root Cause of Brain Fry</w:t>
      </w:r>
    </w:p>
    <w:p w14:paraId="1F54E8C1" w14:textId="77777777" w:rsidR="00DC2B9A" w:rsidRPr="00B1745F" w:rsidRDefault="00B5030D">
      <w:pPr>
        <w:spacing w:before="60" w:after="120"/>
        <w:jc w:val="both"/>
        <w:rPr>
          <w:lang w:val="en-US"/>
        </w:rPr>
      </w:pPr>
      <w:r w:rsidRPr="00B1745F">
        <w:rPr>
          <w:lang w:val="en-US"/>
        </w:rPr>
        <w:t>Cognitive Load Theory (CLT), introduced by Sweller [1], formalizes the constraints of human working memory during complex cognitive tasks. The theory distinguishes three types of cognitive load: intrinsic load (inherent complexity of the material), extraneous load (unnecessary burden imposed by poor information presentation), and germane load (productive effort directed at schema construction and decision-making).</w:t>
      </w:r>
    </w:p>
    <w:p w14:paraId="1771F3F4" w14:textId="77777777" w:rsidR="00DC2B9A" w:rsidRPr="00B1745F" w:rsidRDefault="00B5030D">
      <w:pPr>
        <w:spacing w:before="60" w:after="120"/>
        <w:jc w:val="both"/>
        <w:rPr>
          <w:lang w:val="en-US"/>
        </w:rPr>
      </w:pPr>
      <w:r w:rsidRPr="00B1745F">
        <w:rPr>
          <w:lang w:val="en-US"/>
        </w:rPr>
        <w:t>The critical insight for TCO is that intrinsic and extraneous loads compete with germane load for the same finite working memory capacity — estimated at 3 to 5 meaningful chunks in young adults [3]. When supervisors review raw AI-generated outputs, they face maximum intrinsic load (the artifact is complex) and maximum extraneous load (the presentation format — code, logs, configurations — is optimized for machine processing, not human cognition). The result is that germane load — the only type that produces real oversight value — is crowded out entirely.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B9A" w:rsidRPr="008A4DC9" w14:paraId="26491D65"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60" w:type="dxa"/>
              <w:bottom w:w="100" w:type="dxa"/>
              <w:right w:w="160" w:type="dxa"/>
            </w:tcMar>
          </w:tcPr>
          <w:p w14:paraId="09A8A831" w14:textId="77777777" w:rsidR="00DC2B9A" w:rsidRPr="00B1745F" w:rsidRDefault="00B5030D">
            <w:pPr>
              <w:rPr>
                <w:lang w:val="en-US"/>
              </w:rPr>
            </w:pPr>
            <w:r w:rsidRPr="00B1745F">
              <w:rPr>
                <w:i/>
                <w:iCs/>
                <w:sz w:val="21"/>
                <w:szCs w:val="21"/>
                <w:lang w:val="en-US"/>
              </w:rPr>
              <w:t xml:space="preserve">CLT Applied to TCO: The vector </w:t>
            </w:r>
            <w:r>
              <w:rPr>
                <w:i/>
                <w:iCs/>
                <w:sz w:val="21"/>
                <w:szCs w:val="21"/>
              </w:rPr>
              <w:t>φ</w:t>
            </w:r>
            <w:r w:rsidRPr="00B1745F">
              <w:rPr>
                <w:i/>
                <w:iCs/>
                <w:sz w:val="21"/>
                <w:szCs w:val="21"/>
                <w:lang w:val="en-US"/>
              </w:rPr>
              <w:t>(A) eliminates extraneous cognitive load by pre-processing the artifact into a normalized, semantically interpretable representation. The tensor T eliminates the intrinsic load of cross-artifact, cross-agent, cross-time synthesis. What remains for the human is pure germane load: interpretation, judgment, and policy formulation — the cognitive work humans are uniquely equipped to perform.</w:t>
            </w:r>
          </w:p>
        </w:tc>
      </w:tr>
    </w:tbl>
    <w:p w14:paraId="5DF96B01" w14:textId="77777777" w:rsidR="00DC2B9A" w:rsidRPr="00B1745F" w:rsidRDefault="00DC2B9A">
      <w:pPr>
        <w:spacing w:before="60" w:after="60"/>
        <w:rPr>
          <w:lang w:val="en-US"/>
        </w:rPr>
      </w:pPr>
    </w:p>
    <w:p w14:paraId="448AF1DC" w14:textId="77777777" w:rsidR="00DC2B9A" w:rsidRPr="00B1745F" w:rsidRDefault="00B5030D">
      <w:pPr>
        <w:pStyle w:val="Ttulo2"/>
        <w:rPr>
          <w:lang w:val="en-US"/>
        </w:rPr>
      </w:pPr>
      <w:r w:rsidRPr="00B1745F">
        <w:rPr>
          <w:color w:val="1A3A5C"/>
          <w:sz w:val="24"/>
          <w:szCs w:val="24"/>
          <w:lang w:val="en-US"/>
        </w:rPr>
        <w:t>2.2 Situation Awareness and the Three Levels of Orchestration</w:t>
      </w:r>
    </w:p>
    <w:p w14:paraId="216D5F5D" w14:textId="77777777" w:rsidR="00DC2B9A" w:rsidRPr="00B1745F" w:rsidRDefault="00B5030D">
      <w:pPr>
        <w:spacing w:before="60" w:after="120"/>
        <w:jc w:val="both"/>
        <w:rPr>
          <w:lang w:val="en-US"/>
        </w:rPr>
      </w:pPr>
      <w:r w:rsidRPr="00B1745F">
        <w:rPr>
          <w:lang w:val="en-US"/>
        </w:rPr>
        <w:t>Endsley's model of Situation Awareness (SA) [4] describes the cognitive process by which operators of complex dynamic systems develop and maintain an accurate mental model of system state. The model specifies three hierarchical levels: Level 1 (Perception of elements), Level 2 (Comprehension of the current situation), and Level 3 (Projection of future states).</w:t>
      </w:r>
    </w:p>
    <w:p w14:paraId="7BF02F79" w14:textId="77777777" w:rsidR="00DC2B9A" w:rsidRPr="00B1745F" w:rsidRDefault="00B5030D">
      <w:pPr>
        <w:spacing w:before="60" w:after="120"/>
        <w:jc w:val="both"/>
        <w:rPr>
          <w:lang w:val="en-US"/>
        </w:rPr>
      </w:pPr>
      <w:r w:rsidRPr="00B1745F">
        <w:rPr>
          <w:lang w:val="en-US"/>
        </w:rPr>
        <w:t>Research on SA failures in aviation shows that 76% of SA errors occur at Level 1 — failure to correctly perceive information [5]. This is the level at which HITL supervisors of AI systems currently operate: reading code, parsing logs, manually cross-referencing outputs. TCO is designed to shift human operation to Levels 2 and 3, where awareness is most valuable and cognitive efficiency is highest.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2B9A" w14:paraId="22A8BBB9"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85A3A1B" w14:textId="77777777" w:rsidR="00DC2B9A" w:rsidRDefault="00B5030D">
            <w:r>
              <w:rPr>
                <w:b/>
                <w:bCs/>
                <w:sz w:val="21"/>
                <w:szCs w:val="21"/>
              </w:rPr>
              <w:t>SA Level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3EF1B" w14:textId="77777777" w:rsidR="00DC2B9A" w:rsidRDefault="00B5030D">
            <w:r>
              <w:rPr>
                <w:sz w:val="21"/>
                <w:szCs w:val="21"/>
              </w:rPr>
              <w:t>Corresponds to in TCO</w:t>
            </w:r>
          </w:p>
        </w:tc>
      </w:tr>
      <w:tr w:rsidR="00DC2B9A" w:rsidRPr="008A4DC9" w14:paraId="53C55F28"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E3664AD" w14:textId="77777777" w:rsidR="00DC2B9A" w:rsidRDefault="00B5030D">
            <w:r>
              <w:rPr>
                <w:b/>
                <w:bCs/>
                <w:sz w:val="21"/>
                <w:szCs w:val="21"/>
              </w:rPr>
              <w:lastRenderedPageBreak/>
              <w:t>L1 — Perception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0ABA" w14:textId="77777777" w:rsidR="00DC2B9A" w:rsidRPr="00B1745F" w:rsidRDefault="00B5030D">
            <w:pPr>
              <w:rPr>
                <w:lang w:val="en-US"/>
              </w:rPr>
            </w:pPr>
            <w:r w:rsidRPr="00B1745F">
              <w:rPr>
                <w:sz w:val="21"/>
                <w:szCs w:val="21"/>
                <w:lang w:val="en-US"/>
              </w:rPr>
              <w:t xml:space="preserve">Vectorization layer </w:t>
            </w:r>
            <w:r>
              <w:rPr>
                <w:sz w:val="21"/>
                <w:szCs w:val="21"/>
              </w:rPr>
              <w:t>φ</w:t>
            </w:r>
            <w:r w:rsidRPr="00B1745F">
              <w:rPr>
                <w:sz w:val="21"/>
                <w:szCs w:val="21"/>
                <w:lang w:val="en-US"/>
              </w:rPr>
              <w:t>: automated extraction of quality signals</w:t>
            </w:r>
          </w:p>
        </w:tc>
      </w:tr>
      <w:tr w:rsidR="00DC2B9A" w:rsidRPr="008A4DC9" w14:paraId="10E4B6CB"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5E05659" w14:textId="77777777" w:rsidR="00DC2B9A" w:rsidRDefault="00B5030D">
            <w:r>
              <w:rPr>
                <w:b/>
                <w:bCs/>
                <w:sz w:val="21"/>
                <w:szCs w:val="21"/>
              </w:rPr>
              <w:t>L2 — Comprehension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D85DA" w14:textId="77777777" w:rsidR="00DC2B9A" w:rsidRPr="00B1745F" w:rsidRDefault="00B5030D">
            <w:pPr>
              <w:rPr>
                <w:lang w:val="en-US"/>
              </w:rPr>
            </w:pPr>
            <w:r w:rsidRPr="00B1745F">
              <w:rPr>
                <w:sz w:val="21"/>
                <w:szCs w:val="21"/>
                <w:lang w:val="en-US"/>
              </w:rPr>
              <w:t>Tensor T + Inference layer: aggregated system state and pattern detection</w:t>
            </w:r>
          </w:p>
        </w:tc>
      </w:tr>
      <w:tr w:rsidR="00DC2B9A" w:rsidRPr="008A4DC9" w14:paraId="67F8CD38"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1453EDF" w14:textId="77777777" w:rsidR="00DC2B9A" w:rsidRDefault="00B5030D">
            <w:r>
              <w:rPr>
                <w:b/>
                <w:bCs/>
                <w:sz w:val="21"/>
                <w:szCs w:val="21"/>
              </w:rPr>
              <w:t>L3 — Projection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9C289" w14:textId="77777777" w:rsidR="00DC2B9A" w:rsidRPr="00B1745F" w:rsidRDefault="00B5030D">
            <w:pPr>
              <w:rPr>
                <w:lang w:val="en-US"/>
              </w:rPr>
            </w:pPr>
            <w:r w:rsidRPr="00B1745F">
              <w:rPr>
                <w:sz w:val="21"/>
                <w:szCs w:val="21"/>
                <w:lang w:val="en-US"/>
              </w:rPr>
              <w:t xml:space="preserve">Trend analysis </w:t>
            </w:r>
            <w:r>
              <w:rPr>
                <w:sz w:val="21"/>
                <w:szCs w:val="21"/>
              </w:rPr>
              <w:t>Δ</w:t>
            </w:r>
            <w:r w:rsidRPr="00B1745F">
              <w:rPr>
                <w:sz w:val="21"/>
                <w:szCs w:val="21"/>
                <w:lang w:val="en-US"/>
              </w:rPr>
              <w:t xml:space="preserve"> and risk detection </w:t>
            </w:r>
            <w:r>
              <w:rPr>
                <w:sz w:val="21"/>
                <w:szCs w:val="21"/>
              </w:rPr>
              <w:t>Ρ</w:t>
            </w:r>
            <w:r w:rsidRPr="00B1745F">
              <w:rPr>
                <w:sz w:val="21"/>
                <w:szCs w:val="21"/>
                <w:lang w:val="en-US"/>
              </w:rPr>
              <w:t>: early warning before threshold breach</w:t>
            </w:r>
          </w:p>
        </w:tc>
      </w:tr>
      <w:tr w:rsidR="00DC2B9A" w:rsidRPr="008A4DC9" w14:paraId="21F33EB8"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EE5DA2C" w14:textId="77777777" w:rsidR="00DC2B9A" w:rsidRDefault="00B5030D">
            <w:r>
              <w:rPr>
                <w:b/>
                <w:bCs/>
                <w:sz w:val="21"/>
                <w:szCs w:val="21"/>
              </w:rPr>
              <w:t>Decision &amp; Action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FBB59" w14:textId="77777777" w:rsidR="00DC2B9A" w:rsidRPr="00B1745F" w:rsidRDefault="00B5030D">
            <w:pPr>
              <w:rPr>
                <w:lang w:val="en-US"/>
              </w:rPr>
            </w:pPr>
            <w:r w:rsidRPr="00B1745F">
              <w:rPr>
                <w:sz w:val="21"/>
                <w:szCs w:val="21"/>
                <w:lang w:val="en-US"/>
              </w:rPr>
              <w:t>NCF: human interprets L2/L3 output and formulates natural language policy P_new</w:t>
            </w:r>
          </w:p>
        </w:tc>
      </w:tr>
    </w:tbl>
    <w:p w14:paraId="0BB9D637" w14:textId="77777777" w:rsidR="00DC2B9A" w:rsidRPr="00B1745F" w:rsidRDefault="00DC2B9A">
      <w:pPr>
        <w:spacing w:before="60" w:after="60"/>
        <w:rPr>
          <w:lang w:val="en-US"/>
        </w:rPr>
      </w:pPr>
    </w:p>
    <w:p w14:paraId="735BA663" w14:textId="77777777" w:rsidR="00DC2B9A" w:rsidRPr="00B1745F" w:rsidRDefault="00B5030D">
      <w:pPr>
        <w:pStyle w:val="Ttulo2"/>
        <w:rPr>
          <w:lang w:val="en-US"/>
        </w:rPr>
      </w:pPr>
      <w:r w:rsidRPr="00B1745F">
        <w:rPr>
          <w:color w:val="1A3A5C"/>
          <w:sz w:val="24"/>
          <w:szCs w:val="24"/>
          <w:lang w:val="en-US"/>
        </w:rPr>
        <w:t>2.3 Supervisory Control Theory and the Historical Precedent</w:t>
      </w:r>
    </w:p>
    <w:p w14:paraId="1E0B1CD4" w14:textId="77777777" w:rsidR="00DC2B9A" w:rsidRPr="00B1745F" w:rsidRDefault="00B5030D">
      <w:pPr>
        <w:spacing w:before="60" w:after="120"/>
        <w:jc w:val="both"/>
        <w:rPr>
          <w:lang w:val="en-US"/>
        </w:rPr>
      </w:pPr>
      <w:r w:rsidRPr="00B1745F">
        <w:rPr>
          <w:lang w:val="en-US"/>
        </w:rPr>
        <w:t>Sheridan's Supervisory Control Theory [6] describes the evolution of human roles in automated systems from direct operators to supervisors — and identifies the cognitive challenges this transition creates. The Level of Human Control Abstraction (LHCA) framework [7] extends this with five levels of decreasing control granularity: Direct, Augmented, Parametric, Goal-Oriented, and Mission-Capable.</w:t>
      </w:r>
    </w:p>
    <w:p w14:paraId="2B5DA40B" w14:textId="77777777" w:rsidR="00DC2B9A" w:rsidRPr="00B1745F" w:rsidRDefault="00B5030D">
      <w:pPr>
        <w:spacing w:before="60" w:after="120"/>
        <w:jc w:val="both"/>
        <w:rPr>
          <w:lang w:val="en-US"/>
        </w:rPr>
      </w:pPr>
      <w:r w:rsidRPr="00B1745F">
        <w:rPr>
          <w:lang w:val="en-US"/>
        </w:rPr>
        <w:t>The aviation industry resolved an analogous problem in the 1980s and 1990s: as aircraft became too complex for direct manual control, cockpit design shifted from physical controls to glass cockpits displaying aggregated system state, allowing pilots to operate at Goal-Oriented and Mission-Capable levels. TCO proposes the equivalent shift for AI-driven software: from reviewing code (Direct level) to orchestrating system state (Goal-Oriented level) through a structured, interpretable interface.</w:t>
      </w:r>
    </w:p>
    <w:p w14:paraId="426B0839" w14:textId="77777777" w:rsidR="00DC2B9A" w:rsidRPr="00B1745F" w:rsidRDefault="00B5030D">
      <w:pPr>
        <w:pStyle w:val="Ttulo2"/>
        <w:rPr>
          <w:lang w:val="en-US"/>
        </w:rPr>
      </w:pPr>
      <w:r w:rsidRPr="00B1745F">
        <w:rPr>
          <w:color w:val="1A3A5C"/>
          <w:sz w:val="24"/>
          <w:szCs w:val="24"/>
          <w:lang w:val="en-US"/>
        </w:rPr>
        <w:t>2.4 Gap in the Existing Literature</w:t>
      </w:r>
    </w:p>
    <w:p w14:paraId="1F273E76" w14:textId="77777777" w:rsidR="00DC2B9A" w:rsidRPr="00B1745F" w:rsidRDefault="00B5030D">
      <w:pPr>
        <w:spacing w:before="60" w:after="120"/>
        <w:jc w:val="both"/>
        <w:rPr>
          <w:lang w:val="en-US"/>
        </w:rPr>
      </w:pPr>
      <w:r w:rsidRPr="00B1745F">
        <w:rPr>
          <w:lang w:val="en-US"/>
        </w:rPr>
        <w:t>Despite the maturity of HITL research [8], the literature identifies a persistent gap: scalability. As AI systems become more agentic and continuous, manual oversight cannot keep pace [9]. Research surveys explicitly cite cognitive load and trust calibration as unsolved challenges in deployed HITL systems [8].</w:t>
      </w:r>
    </w:p>
    <w:p w14:paraId="3F9400D8" w14:textId="77777777" w:rsidR="00DC2B9A" w:rsidRPr="00B1745F" w:rsidRDefault="00B5030D">
      <w:pPr>
        <w:spacing w:before="60" w:after="120"/>
        <w:jc w:val="both"/>
        <w:rPr>
          <w:lang w:val="en-US"/>
        </w:rPr>
      </w:pPr>
      <w:r w:rsidRPr="00B1745F">
        <w:rPr>
          <w:lang w:val="en-US"/>
        </w:rPr>
        <w:t>Existing approaches fail on two counts. First, they treat HITL as output-level intervention, not system-level orchestration. Second, they do not address the representation problem: raw outputs are not cognitively appropriate interfaces for human supervisors of complex multi-agent systems. TCO addresses both gaps by introducing a structured intermediate representation — the evaluation tensor — and a bidirectional interaction loop that positions the human at the correct abstraction level.</w:t>
      </w:r>
    </w:p>
    <w:p w14:paraId="2BF13F5A" w14:textId="77777777" w:rsidR="00DC2B9A" w:rsidRPr="00B1745F" w:rsidRDefault="00B5030D">
      <w:pPr>
        <w:spacing w:before="60" w:after="120"/>
        <w:jc w:val="both"/>
        <w:rPr>
          <w:lang w:val="en-US"/>
        </w:rPr>
      </w:pPr>
      <w:r w:rsidRPr="00B1745F">
        <w:rPr>
          <w:lang w:val="en-US"/>
        </w:rPr>
        <w:t>Additionally, TCO is structurally distinct from existing observability platforms (Datadog, New Relic, NIST RMF monitoring) along four dimensions: (1) semantic quality vocabulary normalized across agents and stages rather than technical metrics; (2) multi-agent aggregation with inter-agent conflict detection; (3) cognitive interface oriented toward decision rather than diagnosis; and (4) bidirectional policy loop that returns human judgment to the system as structured re-orchestration instructions.</w:t>
      </w:r>
    </w:p>
    <w:p w14:paraId="61183436" w14:textId="77777777" w:rsidR="00DC2B9A" w:rsidRPr="00B1745F" w:rsidRDefault="00DC2B9A">
      <w:pPr>
        <w:spacing w:before="60" w:after="60"/>
        <w:rPr>
          <w:lang w:val="en-US"/>
        </w:rPr>
      </w:pPr>
    </w:p>
    <w:p w14:paraId="7897F79F" w14:textId="77777777" w:rsidR="00DC2B9A" w:rsidRPr="00B1745F" w:rsidRDefault="00B5030D">
      <w:pPr>
        <w:rPr>
          <w:lang w:val="en-US"/>
        </w:rPr>
      </w:pPr>
      <w:r w:rsidRPr="00B1745F">
        <w:rPr>
          <w:lang w:val="en-US"/>
        </w:rPr>
        <w:br w:type="page"/>
      </w:r>
    </w:p>
    <w:p w14:paraId="79038033" w14:textId="77777777" w:rsidR="00DC2B9A" w:rsidRPr="00B1745F" w:rsidRDefault="00B5030D">
      <w:pPr>
        <w:pStyle w:val="Ttulo1"/>
        <w:spacing w:before="280" w:after="120"/>
        <w:rPr>
          <w:lang w:val="en-US"/>
        </w:rPr>
      </w:pPr>
      <w:r w:rsidRPr="00B1745F">
        <w:rPr>
          <w:sz w:val="24"/>
          <w:szCs w:val="24"/>
          <w:lang w:val="en-US"/>
        </w:rPr>
        <w:lastRenderedPageBreak/>
        <w:t>3. Problem Statement</w:t>
      </w:r>
    </w:p>
    <w:p w14:paraId="165A2508" w14:textId="77777777" w:rsidR="00DC2B9A" w:rsidRPr="00B1745F" w:rsidRDefault="00B5030D">
      <w:pPr>
        <w:pStyle w:val="Ttulo2"/>
        <w:rPr>
          <w:lang w:val="en-US"/>
        </w:rPr>
      </w:pPr>
      <w:r w:rsidRPr="00B1745F">
        <w:rPr>
          <w:color w:val="1A3A5C"/>
          <w:sz w:val="24"/>
          <w:szCs w:val="24"/>
          <w:lang w:val="en-US"/>
        </w:rPr>
        <w:t>3.1 Central Problem: Cognitive Mismatch in AI Supervision</w:t>
      </w:r>
    </w:p>
    <w:p w14:paraId="1B4B6B2A" w14:textId="77777777" w:rsidR="00DC2B9A" w:rsidRDefault="00B5030D">
      <w:pPr>
        <w:spacing w:before="60" w:after="120"/>
        <w:jc w:val="both"/>
      </w:pPr>
      <w:r w:rsidRPr="00B1745F">
        <w:rPr>
          <w:lang w:val="en-US"/>
        </w:rPr>
        <w:t xml:space="preserve">The supervision of AI-generated software systems presents a structural cognitive mismatch: the information format of system outputs (code, logs, configurations) is optimized for machine execution, not for human evaluation. </w:t>
      </w:r>
      <w:r>
        <w:t>Supervisors operating at this level face:</w:t>
      </w:r>
    </w:p>
    <w:p w14:paraId="375AFA22" w14:textId="77777777" w:rsidR="00DC2B9A" w:rsidRPr="00B1745F" w:rsidRDefault="00B5030D">
      <w:pPr>
        <w:pStyle w:val="Prrafodelista"/>
        <w:numPr>
          <w:ilvl w:val="0"/>
          <w:numId w:val="2"/>
        </w:numPr>
        <w:spacing w:before="40" w:after="40"/>
        <w:rPr>
          <w:lang w:val="en-US"/>
        </w:rPr>
      </w:pPr>
      <w:r w:rsidRPr="00B1745F">
        <w:rPr>
          <w:lang w:val="en-US"/>
        </w:rPr>
        <w:t>High intrinsic cognitive load from artifact complexity</w:t>
      </w:r>
    </w:p>
    <w:p w14:paraId="383AB5F4" w14:textId="77777777" w:rsidR="00DC2B9A" w:rsidRPr="00B1745F" w:rsidRDefault="00B5030D">
      <w:pPr>
        <w:pStyle w:val="Prrafodelista"/>
        <w:numPr>
          <w:ilvl w:val="0"/>
          <w:numId w:val="2"/>
        </w:numPr>
        <w:spacing w:before="40" w:after="40"/>
        <w:rPr>
          <w:lang w:val="en-US"/>
        </w:rPr>
      </w:pPr>
      <w:r w:rsidRPr="00B1745F">
        <w:rPr>
          <w:lang w:val="en-US"/>
        </w:rPr>
        <w:t>Maximum extraneous cognitive load from format mismatch between output type and human cognition</w:t>
      </w:r>
    </w:p>
    <w:p w14:paraId="3F63360B" w14:textId="77777777" w:rsidR="00DC2B9A" w:rsidRPr="00B1745F" w:rsidRDefault="00B5030D">
      <w:pPr>
        <w:pStyle w:val="Prrafodelista"/>
        <w:numPr>
          <w:ilvl w:val="0"/>
          <w:numId w:val="2"/>
        </w:numPr>
        <w:spacing w:before="40" w:after="40"/>
        <w:rPr>
          <w:lang w:val="en-US"/>
        </w:rPr>
      </w:pPr>
      <w:r w:rsidRPr="00B1745F">
        <w:rPr>
          <w:lang w:val="en-US"/>
        </w:rPr>
        <w:t>Decision fatigue from high volume and sustained context switching</w:t>
      </w:r>
    </w:p>
    <w:p w14:paraId="5C1D2D1E" w14:textId="77777777" w:rsidR="00DC2B9A" w:rsidRPr="00B1745F" w:rsidRDefault="00B5030D">
      <w:pPr>
        <w:pStyle w:val="Prrafodelista"/>
        <w:numPr>
          <w:ilvl w:val="0"/>
          <w:numId w:val="2"/>
        </w:numPr>
        <w:spacing w:before="40" w:after="40"/>
        <w:rPr>
          <w:lang w:val="en-US"/>
        </w:rPr>
      </w:pPr>
      <w:r w:rsidRPr="00B1745F">
        <w:rPr>
          <w:lang w:val="en-US"/>
        </w:rPr>
        <w:t>Deteriorating error detection capability as working memory saturates</w:t>
      </w:r>
    </w:p>
    <w:p w14:paraId="6658D208" w14:textId="77777777" w:rsidR="00DC2B9A" w:rsidRPr="00B1745F" w:rsidRDefault="00B5030D">
      <w:pPr>
        <w:pStyle w:val="Prrafodelista"/>
        <w:numPr>
          <w:ilvl w:val="0"/>
          <w:numId w:val="2"/>
        </w:numPr>
        <w:spacing w:before="40" w:after="40"/>
        <w:rPr>
          <w:lang w:val="en-US"/>
        </w:rPr>
      </w:pPr>
      <w:r w:rsidRPr="00B1745F">
        <w:rPr>
          <w:lang w:val="en-US"/>
        </w:rPr>
        <w:t>Susceptibility to automation bias — passive acceptance of AI outputs — as a cognitive defense mechanism against overload [10, 11]</w:t>
      </w:r>
    </w:p>
    <w:p w14:paraId="787E5997" w14:textId="77777777" w:rsidR="00DC2B9A" w:rsidRPr="00B1745F" w:rsidRDefault="00DC2B9A">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B9A" w:rsidRPr="008A4DC9" w14:paraId="090663B0" w14:textId="77777777">
        <w:tc>
          <w:tcPr>
            <w:tcW w:w="9360" w:type="dxa"/>
            <w:tcBorders>
              <w:top w:val="single" w:sz="1" w:space="0" w:color="CCCCCC"/>
              <w:left w:val="single" w:sz="1" w:space="0" w:color="CCCCCC"/>
              <w:bottom w:val="single" w:sz="1" w:space="0" w:color="CCCCCC"/>
              <w:right w:val="single" w:sz="1" w:space="0" w:color="CCCCCC"/>
            </w:tcBorders>
            <w:shd w:val="clear" w:color="auto" w:fill="0D6B55"/>
            <w:tcMar>
              <w:top w:w="100" w:type="dxa"/>
              <w:left w:w="160" w:type="dxa"/>
              <w:bottom w:w="80" w:type="dxa"/>
              <w:right w:w="160" w:type="dxa"/>
            </w:tcMar>
          </w:tcPr>
          <w:p w14:paraId="223FEA25" w14:textId="77777777" w:rsidR="00DC2B9A" w:rsidRPr="00B1745F" w:rsidRDefault="00B5030D">
            <w:pPr>
              <w:rPr>
                <w:lang w:val="en-US"/>
              </w:rPr>
            </w:pPr>
            <w:r w:rsidRPr="00B1745F">
              <w:rPr>
                <w:b/>
                <w:bCs/>
                <w:color w:val="FFFFFF"/>
                <w:lang w:val="en-US"/>
              </w:rPr>
              <w:t>The Brain Fry Problem — Empirical Evidence</w:t>
            </w:r>
          </w:p>
        </w:tc>
      </w:tr>
      <w:tr w:rsidR="00DC2B9A" w:rsidRPr="008A4DC9" w14:paraId="6F9FF1A7" w14:textId="77777777">
        <w:tc>
          <w:tcPr>
            <w:tcW w:w="9360" w:type="dxa"/>
            <w:tcBorders>
              <w:top w:val="single" w:sz="1" w:space="0" w:color="CCCCCC"/>
              <w:left w:val="single" w:sz="1" w:space="0" w:color="CCCCCC"/>
              <w:bottom w:val="single" w:sz="1" w:space="0" w:color="CCCCCC"/>
              <w:right w:val="single" w:sz="1" w:space="0" w:color="CCCCCC"/>
            </w:tcBorders>
            <w:shd w:val="clear" w:color="auto" w:fill="E0F5EF"/>
            <w:tcMar>
              <w:top w:w="100" w:type="dxa"/>
              <w:left w:w="160" w:type="dxa"/>
              <w:bottom w:w="100" w:type="dxa"/>
              <w:right w:w="160" w:type="dxa"/>
            </w:tcMar>
          </w:tcPr>
          <w:p w14:paraId="552B0D09" w14:textId="77777777" w:rsidR="00DC2B9A" w:rsidRPr="00B1745F" w:rsidRDefault="00B5030D">
            <w:pPr>
              <w:spacing w:after="60"/>
              <w:rPr>
                <w:lang w:val="en-US"/>
              </w:rPr>
            </w:pPr>
            <w:r w:rsidRPr="00B1745F">
              <w:rPr>
                <w:sz w:val="21"/>
                <w:szCs w:val="21"/>
                <w:lang w:val="en-US"/>
              </w:rPr>
              <w:t>Analysis of over 211 million changed lines of code between 2020 and 2024 documents a 60% decline in refactored code as developers increasingly favor velocity over health. Code churn — the proportion of code reverted within two weeks — has doubled. A 2025 METR study found a 39–44% perception gap: developers using AI tools felt 20% faster while measuring 19% slower in real-world codebases [12]. These findings indicate that cognitive saturation from AI-assisted workflows actively degrades both output quality and the human's ability to accurately assess their own performance — a compounding failure mode.</w:t>
            </w:r>
          </w:p>
        </w:tc>
      </w:tr>
    </w:tbl>
    <w:p w14:paraId="66067646" w14:textId="77777777" w:rsidR="00DC2B9A" w:rsidRPr="00B1745F" w:rsidRDefault="00DC2B9A">
      <w:pPr>
        <w:spacing w:before="60" w:after="60"/>
        <w:rPr>
          <w:lang w:val="en-US"/>
        </w:rPr>
      </w:pPr>
    </w:p>
    <w:p w14:paraId="20F436C5" w14:textId="77777777" w:rsidR="00DC2B9A" w:rsidRPr="00B1745F" w:rsidRDefault="00B5030D">
      <w:pPr>
        <w:pStyle w:val="Ttulo2"/>
        <w:rPr>
          <w:lang w:val="en-US"/>
        </w:rPr>
      </w:pPr>
      <w:r w:rsidRPr="00B1745F">
        <w:rPr>
          <w:color w:val="1A3A5C"/>
          <w:sz w:val="24"/>
          <w:szCs w:val="24"/>
          <w:lang w:val="en-US"/>
        </w:rPr>
        <w:t>3.2 Structural Underlying Problem: Incorrect Abstraction Level</w:t>
      </w:r>
    </w:p>
    <w:p w14:paraId="53E5E727" w14:textId="77777777" w:rsidR="00DC2B9A" w:rsidRDefault="00B5030D">
      <w:pPr>
        <w:spacing w:before="60" w:after="120"/>
        <w:jc w:val="both"/>
      </w:pPr>
      <w:r w:rsidRPr="00B1745F">
        <w:rPr>
          <w:lang w:val="en-US"/>
        </w:rPr>
        <w:t xml:space="preserve">The root cause is not that humans lack the capability to supervise complex systems — it is that they are operating at the wrong abstraction level. </w:t>
      </w:r>
      <w:r>
        <w:t>Current HITL models position humans as:</w:t>
      </w:r>
    </w:p>
    <w:p w14:paraId="35E196DD" w14:textId="77777777" w:rsidR="00DC2B9A" w:rsidRPr="00B1745F" w:rsidRDefault="00B5030D">
      <w:pPr>
        <w:pStyle w:val="Prrafodelista"/>
        <w:numPr>
          <w:ilvl w:val="0"/>
          <w:numId w:val="2"/>
        </w:numPr>
        <w:spacing w:before="40" w:after="40"/>
        <w:rPr>
          <w:lang w:val="en-US"/>
        </w:rPr>
      </w:pPr>
      <w:r w:rsidRPr="00B1745F">
        <w:rPr>
          <w:lang w:val="en-US"/>
        </w:rPr>
        <w:t>Output validators: reviewing individual artifacts for correctness</w:t>
      </w:r>
    </w:p>
    <w:p w14:paraId="2A657201" w14:textId="77777777" w:rsidR="00DC2B9A" w:rsidRPr="00B1745F" w:rsidRDefault="00B5030D">
      <w:pPr>
        <w:pStyle w:val="Prrafodelista"/>
        <w:numPr>
          <w:ilvl w:val="0"/>
          <w:numId w:val="2"/>
        </w:numPr>
        <w:spacing w:before="40" w:after="40"/>
        <w:rPr>
          <w:lang w:val="en-US"/>
        </w:rPr>
      </w:pPr>
      <w:r w:rsidRPr="00B1745F">
        <w:rPr>
          <w:lang w:val="en-US"/>
        </w:rPr>
        <w:t>Manual debuggers: tracing errors through system artifacts</w:t>
      </w:r>
    </w:p>
    <w:p w14:paraId="10D3626A" w14:textId="77777777" w:rsidR="00DC2B9A" w:rsidRPr="00B1745F" w:rsidRDefault="00B5030D">
      <w:pPr>
        <w:pStyle w:val="Prrafodelista"/>
        <w:numPr>
          <w:ilvl w:val="0"/>
          <w:numId w:val="2"/>
        </w:numPr>
        <w:spacing w:before="40" w:after="40"/>
        <w:rPr>
          <w:lang w:val="en-US"/>
        </w:rPr>
      </w:pPr>
      <w:r w:rsidRPr="00B1745F">
        <w:rPr>
          <w:lang w:val="en-US"/>
        </w:rPr>
        <w:t>Technical configurators: adjusting system parameters directly</w:t>
      </w:r>
    </w:p>
    <w:p w14:paraId="18732C04" w14:textId="77777777" w:rsidR="00DC2B9A" w:rsidRPr="00B1745F" w:rsidRDefault="00B5030D">
      <w:pPr>
        <w:spacing w:before="60" w:after="120"/>
        <w:jc w:val="both"/>
        <w:rPr>
          <w:lang w:val="en-US"/>
        </w:rPr>
      </w:pPr>
      <w:r w:rsidRPr="00B1745F">
        <w:rPr>
          <w:lang w:val="en-US"/>
        </w:rPr>
        <w:t>TCO proposes that humans should instead operate as:</w:t>
      </w:r>
    </w:p>
    <w:p w14:paraId="156C4F13" w14:textId="77777777" w:rsidR="00DC2B9A" w:rsidRPr="00B1745F" w:rsidRDefault="00B5030D">
      <w:pPr>
        <w:pStyle w:val="Prrafodelista"/>
        <w:numPr>
          <w:ilvl w:val="0"/>
          <w:numId w:val="2"/>
        </w:numPr>
        <w:spacing w:before="40" w:after="40"/>
        <w:rPr>
          <w:lang w:val="en-US"/>
        </w:rPr>
      </w:pPr>
      <w:r w:rsidRPr="00B1745F">
        <w:rPr>
          <w:lang w:val="en-US"/>
        </w:rPr>
        <w:t>System orchestrators: governing the direction of the multi-agent system through policy</w:t>
      </w:r>
    </w:p>
    <w:p w14:paraId="77225986" w14:textId="77777777" w:rsidR="00DC2B9A" w:rsidRPr="00B1745F" w:rsidRDefault="00B5030D">
      <w:pPr>
        <w:pStyle w:val="Prrafodelista"/>
        <w:numPr>
          <w:ilvl w:val="0"/>
          <w:numId w:val="2"/>
        </w:numPr>
        <w:spacing w:before="40" w:after="40"/>
        <w:rPr>
          <w:lang w:val="en-US"/>
        </w:rPr>
      </w:pPr>
      <w:r w:rsidRPr="00B1745F">
        <w:rPr>
          <w:lang w:val="en-US"/>
        </w:rPr>
        <w:t>Strategic decision-makers: interpreting aggregated state and formulating high-level responses</w:t>
      </w:r>
    </w:p>
    <w:p w14:paraId="7BD170C6" w14:textId="77777777" w:rsidR="00DC2B9A" w:rsidRPr="00B1745F" w:rsidRDefault="00B5030D">
      <w:pPr>
        <w:pStyle w:val="Prrafodelista"/>
        <w:numPr>
          <w:ilvl w:val="0"/>
          <w:numId w:val="2"/>
        </w:numPr>
        <w:spacing w:before="40" w:after="40"/>
        <w:rPr>
          <w:lang w:val="en-US"/>
        </w:rPr>
      </w:pPr>
      <w:r w:rsidRPr="00B1745F">
        <w:rPr>
          <w:lang w:val="en-US"/>
        </w:rPr>
        <w:t>Policy designers: expressing system constraints and priorities in natural language</w:t>
      </w:r>
    </w:p>
    <w:p w14:paraId="2CE048F4" w14:textId="77777777" w:rsidR="00DC2B9A" w:rsidRPr="00B1745F" w:rsidRDefault="00B5030D">
      <w:pPr>
        <w:pStyle w:val="Ttulo2"/>
        <w:rPr>
          <w:lang w:val="en-US"/>
        </w:rPr>
      </w:pPr>
      <w:r w:rsidRPr="00B1745F">
        <w:rPr>
          <w:color w:val="1A3A5C"/>
          <w:sz w:val="24"/>
          <w:szCs w:val="24"/>
          <w:lang w:val="en-US"/>
        </w:rPr>
        <w:t>3.3 The Automation Bias Risk and Its TCO Resolution</w:t>
      </w:r>
    </w:p>
    <w:p w14:paraId="335B7735" w14:textId="77777777" w:rsidR="00DC2B9A" w:rsidRPr="00B1745F" w:rsidRDefault="00B5030D">
      <w:pPr>
        <w:spacing w:before="60" w:after="120"/>
        <w:jc w:val="both"/>
        <w:rPr>
          <w:lang w:val="en-US"/>
        </w:rPr>
      </w:pPr>
      <w:r w:rsidRPr="00B1745F">
        <w:rPr>
          <w:lang w:val="en-US"/>
        </w:rPr>
        <w:t>A critical secondary problem in AI supervision is automation bias: the tendency to over-rely on automated recommendations, accepting system outputs without sufficient scrutiny [10]. Standard dashboard-based oversight risks amplifying this bias by converting complex system state into simplified signals that invite passive acceptance.</w:t>
      </w:r>
    </w:p>
    <w:p w14:paraId="56F8F96E" w14:textId="77777777" w:rsidR="00DC2B9A" w:rsidRPr="00B1745F" w:rsidRDefault="00B5030D">
      <w:pPr>
        <w:spacing w:before="60" w:after="120"/>
        <w:jc w:val="both"/>
        <w:rPr>
          <w:lang w:val="en-US"/>
        </w:rPr>
      </w:pPr>
      <w:r w:rsidRPr="00B1745F">
        <w:rPr>
          <w:lang w:val="en-US"/>
        </w:rPr>
        <w:t>TCO resolves this structurally. The inference layer produces not a decision but a state description — {</w:t>
      </w:r>
      <w:r>
        <w:t>Ω</w:t>
      </w:r>
      <w:r w:rsidRPr="00B1745F">
        <w:rPr>
          <w:lang w:val="en-US"/>
        </w:rPr>
        <w:t xml:space="preserve">, </w:t>
      </w:r>
      <w:r>
        <w:t>Δ</w:t>
      </w:r>
      <w:r w:rsidRPr="00B1745F">
        <w:rPr>
          <w:lang w:val="en-US"/>
        </w:rPr>
        <w:t xml:space="preserve">, </w:t>
      </w:r>
      <w:r>
        <w:t>Ρ</w:t>
      </w:r>
      <w:r w:rsidRPr="00B1745F">
        <w:rPr>
          <w:lang w:val="en-US"/>
        </w:rPr>
        <w:t xml:space="preserve">, </w:t>
      </w:r>
      <w:r>
        <w:t>Ξ</w:t>
      </w:r>
      <w:r w:rsidRPr="00B1745F">
        <w:rPr>
          <w:lang w:val="en-US"/>
        </w:rPr>
        <w:t xml:space="preserve">}. The human receives this state and is required to interpret it, formulate a response, </w:t>
      </w:r>
      <w:r w:rsidRPr="00B1745F">
        <w:rPr>
          <w:lang w:val="en-US"/>
        </w:rPr>
        <w:lastRenderedPageBreak/>
        <w:t>and inject that response as a new policy. This is an inherently active cognitive process: the tensor does not tell the orchestrator what to do — it tells the orchestrator what is happening, so they can decide what to do. Automation bias is mitigated not by interface design but by architectural necessity.</w:t>
      </w:r>
    </w:p>
    <w:p w14:paraId="2885CE40" w14:textId="77777777" w:rsidR="00DC2B9A" w:rsidRPr="00B1745F" w:rsidRDefault="00DC2B9A">
      <w:pPr>
        <w:spacing w:before="60" w:after="60"/>
        <w:rPr>
          <w:lang w:val="en-US"/>
        </w:rPr>
      </w:pPr>
    </w:p>
    <w:p w14:paraId="30462632" w14:textId="77777777" w:rsidR="00DC2B9A" w:rsidRPr="00B1745F" w:rsidRDefault="00B5030D">
      <w:pPr>
        <w:rPr>
          <w:lang w:val="en-US"/>
        </w:rPr>
      </w:pPr>
      <w:r w:rsidRPr="00B1745F">
        <w:rPr>
          <w:lang w:val="en-US"/>
        </w:rPr>
        <w:br w:type="page"/>
      </w:r>
    </w:p>
    <w:p w14:paraId="0E3427CE" w14:textId="77777777" w:rsidR="00DC2B9A" w:rsidRPr="00B1745F" w:rsidRDefault="00B5030D">
      <w:pPr>
        <w:pStyle w:val="Ttulo1"/>
        <w:spacing w:before="280" w:after="120"/>
        <w:rPr>
          <w:lang w:val="en-US"/>
        </w:rPr>
      </w:pPr>
      <w:r w:rsidRPr="00B1745F">
        <w:rPr>
          <w:sz w:val="24"/>
          <w:szCs w:val="24"/>
          <w:lang w:val="en-US"/>
        </w:rPr>
        <w:lastRenderedPageBreak/>
        <w:t>4. The TCO Framework</w:t>
      </w:r>
    </w:p>
    <w:p w14:paraId="01E7C2EF" w14:textId="77777777" w:rsidR="00DC2B9A" w:rsidRPr="00B1745F" w:rsidRDefault="00B5030D">
      <w:pPr>
        <w:pStyle w:val="Ttulo2"/>
        <w:rPr>
          <w:lang w:val="en-US"/>
        </w:rPr>
      </w:pPr>
      <w:r w:rsidRPr="00B1745F">
        <w:rPr>
          <w:color w:val="1A3A5C"/>
          <w:sz w:val="24"/>
          <w:szCs w:val="24"/>
          <w:lang w:val="en-US"/>
        </w:rPr>
        <w:t>4.1 Architectural Overview</w:t>
      </w:r>
    </w:p>
    <w:p w14:paraId="332E0E09" w14:textId="77777777" w:rsidR="00DC2B9A" w:rsidRPr="00B1745F" w:rsidRDefault="00B5030D">
      <w:pPr>
        <w:spacing w:before="60" w:after="120"/>
        <w:jc w:val="both"/>
        <w:rPr>
          <w:lang w:val="en-US"/>
        </w:rPr>
      </w:pPr>
      <w:r w:rsidRPr="00B1745F">
        <w:rPr>
          <w:lang w:val="en-US"/>
        </w:rPr>
        <w:t>TCO is structured as a six-layer architecture in which each layer transforms system information into progressively higher-abstraction representations, culminating in a natural language interface for the human orchestrator. The architecture is bidirectional: a downstream flow transforms artifacts into state, and an upstream flow returns human judgment as system policy.</w:t>
      </w:r>
    </w:p>
    <w:p w14:paraId="08DD467E" w14:textId="77777777" w:rsidR="00DC2B9A" w:rsidRPr="00B1745F" w:rsidRDefault="00DC2B9A">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B9A" w:rsidRPr="008A4DC9" w14:paraId="40B38E7C"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8F5"/>
            <w:tcMar>
              <w:top w:w="60" w:type="dxa"/>
              <w:left w:w="180" w:type="dxa"/>
              <w:bottom w:w="60" w:type="dxa"/>
              <w:right w:w="120" w:type="dxa"/>
            </w:tcMar>
          </w:tcPr>
          <w:p w14:paraId="2BE60460" w14:textId="434E12CF" w:rsidR="00DC2B9A" w:rsidRPr="008A4DC9" w:rsidRDefault="008A4DC9">
            <w:pPr>
              <w:spacing w:before="80" w:after="20"/>
              <w:rPr>
                <w:b/>
                <w:bCs/>
                <w:color w:val="1A6EA8"/>
                <w:sz w:val="21"/>
                <w:szCs w:val="21"/>
              </w:rPr>
            </w:pPr>
            <w:r>
              <w:rPr>
                <w:b/>
                <w:bCs/>
                <w:color w:val="1A6EA8"/>
                <w:sz w:val="21"/>
                <w:szCs w:val="21"/>
              </w:rPr>
              <w:t>Layer</w:t>
            </w:r>
            <w:r w:rsidR="00B5030D">
              <w:rPr>
                <w:b/>
                <w:bCs/>
                <w:color w:val="1A6EA8"/>
                <w:sz w:val="21"/>
                <w:szCs w:val="21"/>
              </w:rPr>
              <w:t xml:space="preserve"> 6 — </w:t>
            </w:r>
            <w:r w:rsidRPr="008A4DC9">
              <w:rPr>
                <w:b/>
                <w:bCs/>
                <w:color w:val="1A6EA8"/>
                <w:sz w:val="21"/>
                <w:szCs w:val="21"/>
              </w:rPr>
              <w:t>Human Orchestration</w:t>
            </w:r>
          </w:p>
          <w:p w14:paraId="32429DFC" w14:textId="345571A3" w:rsidR="00DC2B9A" w:rsidRPr="008A4DC9" w:rsidRDefault="008A4DC9">
            <w:pPr>
              <w:spacing w:after="80"/>
              <w:rPr>
                <w:color w:val="444444"/>
                <w:sz w:val="19"/>
                <w:szCs w:val="19"/>
                <w:lang w:val="en-US"/>
              </w:rPr>
            </w:pPr>
            <w:r>
              <w:rPr>
                <w:color w:val="444444"/>
                <w:sz w:val="19"/>
                <w:szCs w:val="19"/>
                <w:lang w:val="en"/>
              </w:rPr>
              <w:t>T</w:t>
            </w:r>
            <w:r w:rsidRPr="008A4DC9">
              <w:rPr>
                <w:color w:val="444444"/>
                <w:sz w:val="19"/>
                <w:szCs w:val="19"/>
                <w:lang w:val="en"/>
              </w:rPr>
              <w:t>ensor state reading · Natural language judgment · Policy injection · Natural Cognitive Frontier (NC</w:t>
            </w:r>
            <w:r>
              <w:rPr>
                <w:color w:val="444444"/>
                <w:sz w:val="19"/>
                <w:szCs w:val="19"/>
                <w:lang w:val="en"/>
              </w:rPr>
              <w:t>F</w:t>
            </w:r>
            <w:r w:rsidRPr="008A4DC9">
              <w:rPr>
                <w:color w:val="444444"/>
                <w:sz w:val="19"/>
                <w:szCs w:val="19"/>
                <w:lang w:val="en"/>
              </w:rPr>
              <w:t>)</w:t>
            </w:r>
          </w:p>
        </w:tc>
      </w:tr>
      <w:tr w:rsidR="00DC2B9A" w:rsidRPr="008A4DC9" w14:paraId="1F2DE2DB" w14:textId="77777777">
        <w:tc>
          <w:tcPr>
            <w:tcW w:w="9360" w:type="dxa"/>
            <w:tcBorders>
              <w:top w:val="single" w:sz="1" w:space="0" w:color="CCCCCC"/>
              <w:left w:val="single" w:sz="1" w:space="0" w:color="CCCCCC"/>
              <w:bottom w:val="single" w:sz="1" w:space="0" w:color="CCCCCC"/>
              <w:right w:val="single" w:sz="1" w:space="0" w:color="CCCCCC"/>
            </w:tcBorders>
            <w:shd w:val="clear" w:color="auto" w:fill="FDF3E0"/>
            <w:tcMar>
              <w:top w:w="60" w:type="dxa"/>
              <w:left w:w="180" w:type="dxa"/>
              <w:bottom w:w="60" w:type="dxa"/>
              <w:right w:w="120" w:type="dxa"/>
            </w:tcMar>
          </w:tcPr>
          <w:p w14:paraId="436DFEE4" w14:textId="6CFAA244" w:rsidR="00DC2B9A" w:rsidRPr="008A4DC9" w:rsidRDefault="008A4DC9">
            <w:pPr>
              <w:spacing w:before="80" w:after="20"/>
              <w:rPr>
                <w:b/>
                <w:bCs/>
                <w:color w:val="B8690F"/>
                <w:sz w:val="21"/>
                <w:szCs w:val="21"/>
                <w:lang w:val="en-US"/>
              </w:rPr>
            </w:pPr>
            <w:r w:rsidRPr="008A4DC9">
              <w:rPr>
                <w:b/>
                <w:bCs/>
                <w:color w:val="B8690F"/>
                <w:sz w:val="21"/>
                <w:szCs w:val="21"/>
                <w:lang w:val="en-US"/>
              </w:rPr>
              <w:t>Layer</w:t>
            </w:r>
            <w:r w:rsidR="00B5030D" w:rsidRPr="008A4DC9">
              <w:rPr>
                <w:b/>
                <w:bCs/>
                <w:color w:val="B8690F"/>
                <w:sz w:val="21"/>
                <w:szCs w:val="21"/>
                <w:lang w:val="en-US"/>
              </w:rPr>
              <w:t xml:space="preserve"> 5 — </w:t>
            </w:r>
            <w:r w:rsidRPr="008A4DC9">
              <w:rPr>
                <w:b/>
                <w:bCs/>
                <w:color w:val="B8690F"/>
                <w:sz w:val="21"/>
                <w:szCs w:val="21"/>
                <w:lang w:val="en-US"/>
              </w:rPr>
              <w:t>Inference</w:t>
            </w:r>
            <w:r w:rsidR="00B5030D" w:rsidRPr="008A4DC9">
              <w:rPr>
                <w:b/>
                <w:bCs/>
                <w:color w:val="B8690F"/>
                <w:sz w:val="21"/>
                <w:szCs w:val="21"/>
                <w:lang w:val="en-US"/>
              </w:rPr>
              <w:t xml:space="preserve"> {</w:t>
            </w:r>
            <w:r w:rsidR="00B5030D">
              <w:rPr>
                <w:b/>
                <w:bCs/>
                <w:color w:val="B8690F"/>
                <w:sz w:val="21"/>
                <w:szCs w:val="21"/>
              </w:rPr>
              <w:t>Ω</w:t>
            </w:r>
            <w:r w:rsidR="00B5030D" w:rsidRPr="008A4DC9">
              <w:rPr>
                <w:b/>
                <w:bCs/>
                <w:color w:val="B8690F"/>
                <w:sz w:val="21"/>
                <w:szCs w:val="21"/>
                <w:lang w:val="en-US"/>
              </w:rPr>
              <w:t xml:space="preserve">, </w:t>
            </w:r>
            <w:r w:rsidR="00B5030D">
              <w:rPr>
                <w:b/>
                <w:bCs/>
                <w:color w:val="B8690F"/>
                <w:sz w:val="21"/>
                <w:szCs w:val="21"/>
              </w:rPr>
              <w:t>Δ</w:t>
            </w:r>
            <w:r w:rsidR="00B5030D" w:rsidRPr="008A4DC9">
              <w:rPr>
                <w:b/>
                <w:bCs/>
                <w:color w:val="B8690F"/>
                <w:sz w:val="21"/>
                <w:szCs w:val="21"/>
                <w:lang w:val="en-US"/>
              </w:rPr>
              <w:t xml:space="preserve">, </w:t>
            </w:r>
            <w:r w:rsidR="00B5030D">
              <w:rPr>
                <w:b/>
                <w:bCs/>
                <w:color w:val="B8690F"/>
                <w:sz w:val="21"/>
                <w:szCs w:val="21"/>
              </w:rPr>
              <w:t>Ρ</w:t>
            </w:r>
            <w:r w:rsidR="00B5030D" w:rsidRPr="008A4DC9">
              <w:rPr>
                <w:b/>
                <w:bCs/>
                <w:color w:val="B8690F"/>
                <w:sz w:val="21"/>
                <w:szCs w:val="21"/>
                <w:lang w:val="en-US"/>
              </w:rPr>
              <w:t xml:space="preserve">, </w:t>
            </w:r>
            <w:r w:rsidR="00B5030D">
              <w:rPr>
                <w:b/>
                <w:bCs/>
                <w:color w:val="B8690F"/>
                <w:sz w:val="21"/>
                <w:szCs w:val="21"/>
              </w:rPr>
              <w:t>Ξ</w:t>
            </w:r>
            <w:r w:rsidR="00B5030D" w:rsidRPr="008A4DC9">
              <w:rPr>
                <w:b/>
                <w:bCs/>
                <w:color w:val="B8690F"/>
                <w:sz w:val="21"/>
                <w:szCs w:val="21"/>
                <w:lang w:val="en-US"/>
              </w:rPr>
              <w:t>}</w:t>
            </w:r>
          </w:p>
          <w:p w14:paraId="6DD8547B" w14:textId="21C682DF" w:rsidR="00DC2B9A" w:rsidRPr="008A4DC9" w:rsidRDefault="008A4DC9">
            <w:pPr>
              <w:spacing w:after="80"/>
              <w:rPr>
                <w:color w:val="444444"/>
                <w:sz w:val="19"/>
                <w:szCs w:val="19"/>
                <w:lang w:val="en-US"/>
              </w:rPr>
            </w:pPr>
            <w:r w:rsidRPr="008A4DC9">
              <w:rPr>
                <w:color w:val="444444"/>
                <w:sz w:val="19"/>
                <w:szCs w:val="19"/>
                <w:lang w:val="en"/>
              </w:rPr>
              <w:t>Global status · ∂T/∂k trends · Inter-agent conflict detection · Prioritized recommendations</w:t>
            </w:r>
          </w:p>
        </w:tc>
      </w:tr>
      <w:tr w:rsidR="00DC2B9A" w:rsidRPr="008A4DC9" w14:paraId="5968B08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CF9"/>
            <w:tcMar>
              <w:top w:w="60" w:type="dxa"/>
              <w:left w:w="180" w:type="dxa"/>
              <w:bottom w:w="60" w:type="dxa"/>
              <w:right w:w="120" w:type="dxa"/>
            </w:tcMar>
          </w:tcPr>
          <w:p w14:paraId="3E649BE3" w14:textId="716B122B" w:rsidR="00DC2B9A" w:rsidRPr="008A4DC9" w:rsidRDefault="008A4DC9">
            <w:pPr>
              <w:spacing w:before="80" w:after="20"/>
              <w:rPr>
                <w:lang w:val="en-US"/>
              </w:rPr>
            </w:pPr>
            <w:r w:rsidRPr="008A4DC9">
              <w:rPr>
                <w:b/>
                <w:bCs/>
                <w:color w:val="7B3FA0"/>
                <w:sz w:val="21"/>
                <w:szCs w:val="21"/>
                <w:lang w:val="en-US"/>
              </w:rPr>
              <w:t>Layer</w:t>
            </w:r>
            <w:r w:rsidR="00B5030D" w:rsidRPr="008A4DC9">
              <w:rPr>
                <w:b/>
                <w:bCs/>
                <w:color w:val="7B3FA0"/>
                <w:sz w:val="21"/>
                <w:szCs w:val="21"/>
                <w:lang w:val="en-US"/>
              </w:rPr>
              <w:t xml:space="preserve"> 4 — Tensor TCO Core  T[d, i, j, k]</w:t>
            </w:r>
          </w:p>
          <w:p w14:paraId="34BD3360" w14:textId="7ED7B341" w:rsidR="00DC2B9A" w:rsidRPr="008A4DC9" w:rsidRDefault="00B5030D">
            <w:pPr>
              <w:spacing w:after="80"/>
              <w:rPr>
                <w:color w:val="444444"/>
                <w:sz w:val="19"/>
                <w:szCs w:val="19"/>
                <w:lang w:val="en-US"/>
              </w:rPr>
            </w:pPr>
            <w:r w:rsidRPr="008A4DC9">
              <w:rPr>
                <w:color w:val="444444"/>
                <w:sz w:val="19"/>
                <w:szCs w:val="19"/>
                <w:lang w:val="en-US"/>
              </w:rPr>
              <w:t>Ag</w:t>
            </w:r>
            <w:r w:rsidR="008A4DC9" w:rsidRPr="008A4DC9">
              <w:rPr>
                <w:color w:val="444444"/>
                <w:sz w:val="19"/>
                <w:szCs w:val="19"/>
                <w:lang w:val="en-US"/>
              </w:rPr>
              <w:t>g</w:t>
            </w:r>
            <w:r w:rsidRPr="008A4DC9">
              <w:rPr>
                <w:color w:val="444444"/>
                <w:sz w:val="19"/>
                <w:szCs w:val="19"/>
                <w:lang w:val="en-US"/>
              </w:rPr>
              <w:t>rega</w:t>
            </w:r>
            <w:r w:rsidR="008A4DC9" w:rsidRPr="008A4DC9">
              <w:rPr>
                <w:color w:val="444444"/>
                <w:sz w:val="19"/>
                <w:szCs w:val="19"/>
                <w:lang w:val="en-US"/>
              </w:rPr>
              <w:t>tion</w:t>
            </w:r>
            <w:r w:rsidRPr="008A4DC9">
              <w:rPr>
                <w:color w:val="444444"/>
                <w:sz w:val="19"/>
                <w:szCs w:val="19"/>
                <w:lang w:val="en-US"/>
              </w:rPr>
              <w:t xml:space="preserve"> f: {V} → T ∈ ℝⁿˣˢˣ</w:t>
            </w:r>
            <w:r>
              <w:rPr>
                <w:color w:val="444444"/>
                <w:sz w:val="19"/>
                <w:szCs w:val="19"/>
              </w:rPr>
              <w:t>ᵃ</w:t>
            </w:r>
            <w:r w:rsidRPr="008A4DC9">
              <w:rPr>
                <w:color w:val="444444"/>
                <w:sz w:val="19"/>
                <w:szCs w:val="19"/>
                <w:lang w:val="en-US"/>
              </w:rPr>
              <w:t>ˣ</w:t>
            </w:r>
            <w:r>
              <w:rPr>
                <w:color w:val="444444"/>
                <w:sz w:val="19"/>
                <w:szCs w:val="19"/>
              </w:rPr>
              <w:t>ᵗ</w:t>
            </w:r>
            <w:r w:rsidRPr="008A4DC9">
              <w:rPr>
                <w:color w:val="444444"/>
                <w:sz w:val="19"/>
                <w:szCs w:val="19"/>
                <w:lang w:val="en-US"/>
              </w:rPr>
              <w:t xml:space="preserve">  ·  </w:t>
            </w:r>
            <w:r w:rsidR="008A4DC9" w:rsidRPr="008A4DC9">
              <w:rPr>
                <w:color w:val="444444"/>
                <w:sz w:val="19"/>
                <w:szCs w:val="19"/>
                <w:lang w:val="en"/>
              </w:rPr>
              <w:t>Axes: dimension × stage × agent × time</w:t>
            </w:r>
          </w:p>
        </w:tc>
      </w:tr>
      <w:tr w:rsidR="00DC2B9A" w:rsidRPr="008A4DC9" w14:paraId="05A4D245" w14:textId="77777777">
        <w:tc>
          <w:tcPr>
            <w:tcW w:w="9360" w:type="dxa"/>
            <w:tcBorders>
              <w:top w:val="single" w:sz="1" w:space="0" w:color="CCCCCC"/>
              <w:left w:val="single" w:sz="1" w:space="0" w:color="CCCCCC"/>
              <w:bottom w:val="single" w:sz="1" w:space="0" w:color="CCCCCC"/>
              <w:right w:val="single" w:sz="1" w:space="0" w:color="CCCCCC"/>
            </w:tcBorders>
            <w:shd w:val="clear" w:color="auto" w:fill="E0F5EF"/>
            <w:tcMar>
              <w:top w:w="60" w:type="dxa"/>
              <w:left w:w="180" w:type="dxa"/>
              <w:bottom w:w="60" w:type="dxa"/>
              <w:right w:w="120" w:type="dxa"/>
            </w:tcMar>
          </w:tcPr>
          <w:p w14:paraId="20493643" w14:textId="00021E99" w:rsidR="00DC2B9A" w:rsidRPr="008A4DC9" w:rsidRDefault="008A4DC9">
            <w:pPr>
              <w:spacing w:before="80" w:after="20"/>
              <w:rPr>
                <w:lang w:val="en-US"/>
              </w:rPr>
            </w:pPr>
            <w:r w:rsidRPr="008A4DC9">
              <w:rPr>
                <w:b/>
                <w:bCs/>
                <w:color w:val="0D6B55"/>
                <w:sz w:val="21"/>
                <w:szCs w:val="21"/>
                <w:lang w:val="en-US"/>
              </w:rPr>
              <w:t>Layer 3</w:t>
            </w:r>
            <w:r w:rsidR="00B5030D" w:rsidRPr="008A4DC9">
              <w:rPr>
                <w:b/>
                <w:bCs/>
                <w:color w:val="0D6B55"/>
                <w:sz w:val="21"/>
                <w:szCs w:val="21"/>
                <w:lang w:val="en-US"/>
              </w:rPr>
              <w:t xml:space="preserve"> — Vectoriza</w:t>
            </w:r>
            <w:r w:rsidRPr="008A4DC9">
              <w:rPr>
                <w:b/>
                <w:bCs/>
                <w:color w:val="0D6B55"/>
                <w:sz w:val="21"/>
                <w:szCs w:val="21"/>
                <w:lang w:val="en-US"/>
              </w:rPr>
              <w:t>tion</w:t>
            </w:r>
            <w:r w:rsidR="00B5030D" w:rsidRPr="008A4DC9">
              <w:rPr>
                <w:b/>
                <w:bCs/>
                <w:color w:val="0D6B55"/>
                <w:sz w:val="21"/>
                <w:szCs w:val="21"/>
                <w:lang w:val="en-US"/>
              </w:rPr>
              <w:t xml:space="preserve">  </w:t>
            </w:r>
            <w:r w:rsidR="00B5030D">
              <w:rPr>
                <w:b/>
                <w:bCs/>
                <w:color w:val="0D6B55"/>
                <w:sz w:val="21"/>
                <w:szCs w:val="21"/>
              </w:rPr>
              <w:t>φ</w:t>
            </w:r>
            <w:r w:rsidR="00B5030D" w:rsidRPr="008A4DC9">
              <w:rPr>
                <w:b/>
                <w:bCs/>
                <w:color w:val="0D6B55"/>
                <w:sz w:val="21"/>
                <w:szCs w:val="21"/>
                <w:lang w:val="en-US"/>
              </w:rPr>
              <w:t>: A → V ∈ [0,1]ⁿ</w:t>
            </w:r>
          </w:p>
          <w:p w14:paraId="33B36E8C" w14:textId="5FFC8AB9" w:rsidR="00DC2B9A" w:rsidRPr="008A4DC9" w:rsidRDefault="00B5030D">
            <w:pPr>
              <w:spacing w:after="80"/>
              <w:rPr>
                <w:color w:val="444444"/>
                <w:sz w:val="19"/>
                <w:szCs w:val="19"/>
                <w:lang w:val="en-US"/>
              </w:rPr>
            </w:pPr>
            <w:r w:rsidRPr="008A4DC9">
              <w:rPr>
                <w:color w:val="444444"/>
                <w:sz w:val="19"/>
                <w:szCs w:val="19"/>
                <w:lang w:val="en-US"/>
              </w:rPr>
              <w:t xml:space="preserve">V = (v₁...v₁₁)  ·  </w:t>
            </w:r>
            <w:r w:rsidR="008A4DC9" w:rsidRPr="008A4DC9">
              <w:rPr>
                <w:color w:val="444444"/>
                <w:sz w:val="19"/>
                <w:szCs w:val="19"/>
                <w:lang w:val="en"/>
              </w:rPr>
              <w:t>Min-max normalization · Semantic independence · Comparability</w:t>
            </w:r>
          </w:p>
        </w:tc>
      </w:tr>
      <w:tr w:rsidR="00DC2B9A" w:rsidRPr="008A4DC9" w14:paraId="7365AD93"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DF3"/>
            <w:tcMar>
              <w:top w:w="60" w:type="dxa"/>
              <w:left w:w="180" w:type="dxa"/>
              <w:bottom w:w="60" w:type="dxa"/>
              <w:right w:w="120" w:type="dxa"/>
            </w:tcMar>
          </w:tcPr>
          <w:p w14:paraId="1F2359A4" w14:textId="1DA90D72" w:rsidR="00DC2B9A" w:rsidRPr="008A4DC9" w:rsidRDefault="008A4DC9">
            <w:pPr>
              <w:spacing w:before="80" w:after="20"/>
              <w:rPr>
                <w:b/>
                <w:bCs/>
                <w:color w:val="1A3A5C"/>
                <w:sz w:val="21"/>
                <w:szCs w:val="21"/>
              </w:rPr>
            </w:pPr>
            <w:r>
              <w:rPr>
                <w:b/>
                <w:bCs/>
                <w:color w:val="1A3A5C"/>
                <w:sz w:val="21"/>
                <w:szCs w:val="21"/>
              </w:rPr>
              <w:t>Layer</w:t>
            </w:r>
            <w:r w:rsidR="00B5030D">
              <w:rPr>
                <w:b/>
                <w:bCs/>
                <w:color w:val="1A3A5C"/>
                <w:sz w:val="21"/>
                <w:szCs w:val="21"/>
              </w:rPr>
              <w:t xml:space="preserve"> 2 — </w:t>
            </w:r>
            <w:r w:rsidRPr="008A4DC9">
              <w:rPr>
                <w:b/>
                <w:bCs/>
                <w:color w:val="1A3A5C"/>
                <w:sz w:val="21"/>
                <w:szCs w:val="21"/>
                <w:lang w:val="en"/>
              </w:rPr>
              <w:t>Multi-agent QA evaluation</w:t>
            </w:r>
          </w:p>
          <w:p w14:paraId="2A32A160" w14:textId="72C10330" w:rsidR="00DC2B9A" w:rsidRPr="008A4DC9" w:rsidRDefault="00B5030D">
            <w:pPr>
              <w:spacing w:after="80"/>
              <w:rPr>
                <w:color w:val="444444"/>
                <w:sz w:val="19"/>
                <w:szCs w:val="19"/>
                <w:lang w:val="en-US"/>
              </w:rPr>
            </w:pPr>
            <w:r w:rsidRPr="008A4DC9">
              <w:rPr>
                <w:color w:val="444444"/>
                <w:sz w:val="19"/>
                <w:szCs w:val="19"/>
                <w:lang w:val="en-US"/>
              </w:rPr>
              <w:t xml:space="preserve">QA Agent · Security Agent · Performance Agent · Architecture Agent  →  </w:t>
            </w:r>
            <w:r w:rsidR="008A4DC9" w:rsidRPr="008A4DC9">
              <w:rPr>
                <w:color w:val="444444"/>
                <w:sz w:val="19"/>
                <w:szCs w:val="19"/>
                <w:lang w:val="en"/>
              </w:rPr>
              <w:t>raw metrics by pillar</w:t>
            </w:r>
          </w:p>
        </w:tc>
      </w:tr>
      <w:tr w:rsidR="00DC2B9A" w:rsidRPr="008A4DC9" w14:paraId="1FCB1354"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80" w:type="dxa"/>
              <w:bottom w:w="60" w:type="dxa"/>
              <w:right w:w="120" w:type="dxa"/>
            </w:tcMar>
          </w:tcPr>
          <w:p w14:paraId="1EC0C81B" w14:textId="6ECEC1E2" w:rsidR="00DC2B9A" w:rsidRPr="008A4DC9" w:rsidRDefault="008A4DC9">
            <w:pPr>
              <w:spacing w:before="80" w:after="20"/>
              <w:rPr>
                <w:lang w:val="en-US"/>
              </w:rPr>
            </w:pPr>
            <w:r>
              <w:rPr>
                <w:b/>
                <w:bCs/>
                <w:color w:val="555555"/>
                <w:sz w:val="21"/>
                <w:szCs w:val="21"/>
                <w:lang w:val="en-US"/>
              </w:rPr>
              <w:t>Layer</w:t>
            </w:r>
            <w:r w:rsidR="00B5030D" w:rsidRPr="008A4DC9">
              <w:rPr>
                <w:b/>
                <w:bCs/>
                <w:color w:val="555555"/>
                <w:sz w:val="21"/>
                <w:szCs w:val="21"/>
                <w:lang w:val="en-US"/>
              </w:rPr>
              <w:t xml:space="preserve"> 1 — </w:t>
            </w:r>
            <w:r w:rsidRPr="008A4DC9">
              <w:rPr>
                <w:b/>
                <w:bCs/>
                <w:color w:val="555555"/>
                <w:sz w:val="21"/>
                <w:szCs w:val="21"/>
                <w:lang w:val="en-US"/>
              </w:rPr>
              <w:t>AI Generation</w:t>
            </w:r>
          </w:p>
          <w:p w14:paraId="64C97645" w14:textId="7994CD2C" w:rsidR="00DC2B9A" w:rsidRPr="008A4DC9" w:rsidRDefault="008A4DC9">
            <w:pPr>
              <w:spacing w:after="80"/>
              <w:rPr>
                <w:color w:val="444444"/>
                <w:sz w:val="19"/>
                <w:szCs w:val="19"/>
                <w:lang w:val="en-US"/>
              </w:rPr>
            </w:pPr>
            <w:r w:rsidRPr="008A4DC9">
              <w:rPr>
                <w:color w:val="444444"/>
                <w:sz w:val="19"/>
                <w:szCs w:val="19"/>
                <w:lang w:val="en"/>
              </w:rPr>
              <w:t>Code Agent · Design Agent · Deploy Agent · Test Agent → software artifacts</w:t>
            </w:r>
          </w:p>
        </w:tc>
      </w:tr>
    </w:tbl>
    <w:p w14:paraId="4CB14453" w14:textId="77777777" w:rsidR="00DC2B9A" w:rsidRPr="008A4DC9" w:rsidRDefault="00DC2B9A">
      <w:pPr>
        <w:spacing w:before="60" w:after="60"/>
        <w:rPr>
          <w:lang w:val="en-US"/>
        </w:rPr>
      </w:pPr>
    </w:p>
    <w:p w14:paraId="4796F094" w14:textId="77777777" w:rsidR="00DC2B9A" w:rsidRPr="00B1745F" w:rsidRDefault="00B5030D">
      <w:pPr>
        <w:spacing w:before="60" w:after="120"/>
        <w:jc w:val="center"/>
        <w:rPr>
          <w:lang w:val="en-US"/>
        </w:rPr>
      </w:pPr>
      <w:r w:rsidRPr="00B1745F">
        <w:rPr>
          <w:i/>
          <w:iCs/>
          <w:color w:val="666666"/>
          <w:sz w:val="18"/>
          <w:szCs w:val="18"/>
          <w:lang w:val="en-US"/>
        </w:rPr>
        <w:t>Figure 1. TCO six-layer bidirectional architecture. Downstream flow (↓): artifact → vector → tensor → inference. Upstream flow (↑): inference → human judgment → policy injection → agent re-orchestration.</w:t>
      </w:r>
    </w:p>
    <w:p w14:paraId="04984219" w14:textId="77777777" w:rsidR="00DC2B9A" w:rsidRPr="00B1745F" w:rsidRDefault="00B5030D">
      <w:pPr>
        <w:pStyle w:val="Ttulo2"/>
        <w:rPr>
          <w:lang w:val="en-US"/>
        </w:rPr>
      </w:pPr>
      <w:r w:rsidRPr="00B1745F">
        <w:rPr>
          <w:color w:val="1A3A5C"/>
          <w:sz w:val="24"/>
          <w:szCs w:val="24"/>
          <w:lang w:val="en-US"/>
        </w:rPr>
        <w:t>4.2 Layer 3 — The Evaluation Vector Model</w:t>
      </w:r>
    </w:p>
    <w:p w14:paraId="602C74E0" w14:textId="77777777" w:rsidR="00DC2B9A" w:rsidRPr="00B1745F" w:rsidRDefault="00B5030D">
      <w:pPr>
        <w:pStyle w:val="Ttulo3"/>
        <w:spacing w:before="280" w:after="120"/>
        <w:rPr>
          <w:lang w:val="en-US"/>
        </w:rPr>
      </w:pPr>
      <w:r w:rsidRPr="00B1745F">
        <w:rPr>
          <w:color w:val="1A3A5C"/>
          <w:sz w:val="24"/>
          <w:szCs w:val="24"/>
          <w:lang w:val="en-US"/>
        </w:rPr>
        <w:t>4.2.1 Formal Definition</w:t>
      </w:r>
    </w:p>
    <w:p w14:paraId="248C8D45" w14:textId="77777777" w:rsidR="00DC2B9A" w:rsidRDefault="00B5030D">
      <w:pPr>
        <w:spacing w:before="60" w:after="120"/>
        <w:jc w:val="both"/>
      </w:pPr>
      <w:r w:rsidRPr="00B1745F">
        <w:rPr>
          <w:lang w:val="en-US"/>
        </w:rPr>
        <w:t xml:space="preserve">Let A denote a software artifact (code module, configuration file, architectural design, or deployment pipeline). </w:t>
      </w:r>
      <w:r>
        <w:t>The vectorization function φ is defined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B9A" w:rsidRPr="008A4DC9" w14:paraId="2D61309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40" w:type="dxa"/>
              <w:left w:w="200" w:type="dxa"/>
              <w:bottom w:w="140" w:type="dxa"/>
              <w:right w:w="200" w:type="dxa"/>
            </w:tcMar>
          </w:tcPr>
          <w:p w14:paraId="3F144604" w14:textId="77777777" w:rsidR="00DC2B9A" w:rsidRDefault="00B5030D">
            <w:pPr>
              <w:spacing w:before="20" w:after="20"/>
            </w:pPr>
            <w:r>
              <w:rPr>
                <w:rFonts w:ascii="Courier New" w:eastAsia="Courier New" w:hAnsi="Courier New" w:cs="Courier New"/>
                <w:color w:val="A8E6CF"/>
                <w:sz w:val="19"/>
                <w:szCs w:val="19"/>
              </w:rPr>
              <w:t>φ : A → V ∈ [0,1]ⁿ</w:t>
            </w:r>
          </w:p>
          <w:p w14:paraId="07CED8E7" w14:textId="77777777" w:rsidR="00DC2B9A" w:rsidRDefault="00DC2B9A">
            <w:pPr>
              <w:spacing w:before="20" w:after="20"/>
            </w:pPr>
          </w:p>
          <w:p w14:paraId="2563DA68" w14:textId="77777777" w:rsidR="00DC2B9A" w:rsidRDefault="00B5030D">
            <w:pPr>
              <w:spacing w:before="20" w:after="20"/>
            </w:pPr>
            <w:r>
              <w:rPr>
                <w:rFonts w:ascii="Courier New" w:eastAsia="Courier New" w:hAnsi="Courier New" w:cs="Courier New"/>
                <w:color w:val="A8E6CF"/>
                <w:sz w:val="19"/>
                <w:szCs w:val="19"/>
              </w:rPr>
              <w:t>V = (v₁, v₂, v₃, v₄, v₅, v₆, v₇, v₈, v₉, v₁₀, v₁₁)</w:t>
            </w:r>
          </w:p>
          <w:p w14:paraId="02BE7C03" w14:textId="77777777" w:rsidR="00DC2B9A" w:rsidRDefault="00DC2B9A">
            <w:pPr>
              <w:spacing w:before="20" w:after="20"/>
            </w:pPr>
          </w:p>
          <w:p w14:paraId="60A8235A"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where n = 11 for the base TCO specification (extensible to ℝⁿ for domain-specific needs)</w:t>
            </w:r>
          </w:p>
        </w:tc>
      </w:tr>
    </w:tbl>
    <w:p w14:paraId="04926CEC" w14:textId="77777777" w:rsidR="00DC2B9A" w:rsidRPr="00B1745F" w:rsidRDefault="00B5030D">
      <w:pPr>
        <w:spacing w:before="60" w:after="120"/>
        <w:jc w:val="both"/>
        <w:rPr>
          <w:lang w:val="en-US"/>
        </w:rPr>
      </w:pPr>
      <w:r w:rsidRPr="00B1745F">
        <w:rPr>
          <w:lang w:val="en-US"/>
        </w:rPr>
        <w:t>Each dimension v</w:t>
      </w:r>
      <w:r>
        <w:t>ᵢ</w:t>
      </w:r>
      <w:r w:rsidRPr="00B1745F">
        <w:rPr>
          <w:lang w:val="en-US"/>
        </w:rPr>
        <w:t xml:space="preserve"> is computed as a weighted aggregation of domain-specific metrics m</w:t>
      </w:r>
      <w:r>
        <w:t>ᵢⱼ</w:t>
      </w:r>
      <w:r w:rsidRPr="00B1745F">
        <w:rPr>
          <w:lang w:val="en-US"/>
        </w:rPr>
        <w:t>(A) for that quality pilar: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B9A" w:rsidRPr="008A4DC9" w14:paraId="42ED8B1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40" w:type="dxa"/>
              <w:left w:w="200" w:type="dxa"/>
              <w:bottom w:w="140" w:type="dxa"/>
              <w:right w:w="200" w:type="dxa"/>
            </w:tcMar>
          </w:tcPr>
          <w:p w14:paraId="00695F92"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v</w:t>
            </w:r>
            <w:r>
              <w:rPr>
                <w:rFonts w:ascii="Courier New" w:eastAsia="Courier New" w:hAnsi="Courier New" w:cs="Courier New"/>
                <w:color w:val="A8E6CF"/>
                <w:sz w:val="19"/>
                <w:szCs w:val="19"/>
              </w:rPr>
              <w:t>ᵢ</w:t>
            </w:r>
            <w:r w:rsidRPr="00B1745F">
              <w:rPr>
                <w:rFonts w:ascii="Courier New" w:eastAsia="Courier New" w:hAnsi="Courier New" w:cs="Courier New"/>
                <w:color w:val="A8E6CF"/>
                <w:sz w:val="19"/>
                <w:szCs w:val="19"/>
                <w:lang w:val="en-US"/>
              </w:rPr>
              <w:t xml:space="preserve"> = </w:t>
            </w:r>
            <w:r>
              <w:rPr>
                <w:rFonts w:ascii="Courier New" w:eastAsia="Courier New" w:hAnsi="Courier New" w:cs="Courier New"/>
                <w:color w:val="A8E6CF"/>
                <w:sz w:val="19"/>
                <w:szCs w:val="19"/>
              </w:rPr>
              <w:t>Σⱼ</w:t>
            </w:r>
            <w:r w:rsidRPr="00B1745F">
              <w:rPr>
                <w:rFonts w:ascii="Courier New" w:eastAsia="Courier New" w:hAnsi="Courier New" w:cs="Courier New"/>
                <w:color w:val="A8E6CF"/>
                <w:sz w:val="19"/>
                <w:szCs w:val="19"/>
                <w:lang w:val="en-US"/>
              </w:rPr>
              <w:t xml:space="preserve"> (w</w:t>
            </w:r>
            <w:r>
              <w:rPr>
                <w:rFonts w:ascii="Courier New" w:eastAsia="Courier New" w:hAnsi="Courier New" w:cs="Courier New"/>
                <w:color w:val="A8E6CF"/>
                <w:sz w:val="19"/>
                <w:szCs w:val="19"/>
              </w:rPr>
              <w:t>ᵢⱼ</w:t>
            </w:r>
            <w:r w:rsidRPr="00B1745F">
              <w:rPr>
                <w:rFonts w:ascii="Courier New" w:eastAsia="Courier New" w:hAnsi="Courier New" w:cs="Courier New"/>
                <w:color w:val="A8E6CF"/>
                <w:sz w:val="19"/>
                <w:szCs w:val="19"/>
                <w:lang w:val="en-US"/>
              </w:rPr>
              <w:t xml:space="preserve"> · m</w:t>
            </w:r>
            <w:r>
              <w:rPr>
                <w:rFonts w:ascii="Courier New" w:eastAsia="Courier New" w:hAnsi="Courier New" w:cs="Courier New"/>
                <w:color w:val="A8E6CF"/>
                <w:sz w:val="19"/>
                <w:szCs w:val="19"/>
              </w:rPr>
              <w:t>ᵢⱼ</w:t>
            </w:r>
            <w:r w:rsidRPr="00B1745F">
              <w:rPr>
                <w:rFonts w:ascii="Courier New" w:eastAsia="Courier New" w:hAnsi="Courier New" w:cs="Courier New"/>
                <w:color w:val="A8E6CF"/>
                <w:sz w:val="19"/>
                <w:szCs w:val="19"/>
                <w:lang w:val="en-US"/>
              </w:rPr>
              <w:t xml:space="preserve">(A)) / </w:t>
            </w:r>
            <w:r>
              <w:rPr>
                <w:rFonts w:ascii="Courier New" w:eastAsia="Courier New" w:hAnsi="Courier New" w:cs="Courier New"/>
                <w:color w:val="A8E6CF"/>
                <w:sz w:val="19"/>
                <w:szCs w:val="19"/>
              </w:rPr>
              <w:t>Σⱼ</w:t>
            </w:r>
            <w:r w:rsidRPr="00B1745F">
              <w:rPr>
                <w:rFonts w:ascii="Courier New" w:eastAsia="Courier New" w:hAnsi="Courier New" w:cs="Courier New"/>
                <w:color w:val="A8E6CF"/>
                <w:sz w:val="19"/>
                <w:szCs w:val="19"/>
                <w:lang w:val="en-US"/>
              </w:rPr>
              <w:t xml:space="preserve"> w</w:t>
            </w:r>
            <w:r>
              <w:rPr>
                <w:rFonts w:ascii="Courier New" w:eastAsia="Courier New" w:hAnsi="Courier New" w:cs="Courier New"/>
                <w:color w:val="A8E6CF"/>
                <w:sz w:val="19"/>
                <w:szCs w:val="19"/>
              </w:rPr>
              <w:t>ᵢⱼ</w:t>
            </w:r>
          </w:p>
          <w:p w14:paraId="6584229A" w14:textId="77777777" w:rsidR="00DC2B9A" w:rsidRPr="00B1745F" w:rsidRDefault="00DC2B9A">
            <w:pPr>
              <w:spacing w:before="20" w:after="20"/>
              <w:rPr>
                <w:lang w:val="en-US"/>
              </w:rPr>
            </w:pPr>
          </w:p>
          <w:p w14:paraId="1930617D"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where:  w</w:t>
            </w:r>
            <w:r>
              <w:rPr>
                <w:rFonts w:ascii="Courier New" w:eastAsia="Courier New" w:hAnsi="Courier New" w:cs="Courier New"/>
                <w:color w:val="A8E6CF"/>
                <w:sz w:val="19"/>
                <w:szCs w:val="19"/>
              </w:rPr>
              <w:t>ᵢⱼ</w:t>
            </w:r>
            <w:r w:rsidRPr="00B1745F">
              <w:rPr>
                <w:rFonts w:ascii="Courier New" w:eastAsia="Courier New" w:hAnsi="Courier New" w:cs="Courier New"/>
                <w:color w:val="A8E6CF"/>
                <w:sz w:val="19"/>
                <w:szCs w:val="19"/>
                <w:lang w:val="en-US"/>
              </w:rPr>
              <w:t xml:space="preserve"> = weight of metric j within pilar i  (calibrable by domain)</w:t>
            </w:r>
          </w:p>
          <w:p w14:paraId="7018BDB7"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m</w:t>
            </w:r>
            <w:r>
              <w:rPr>
                <w:rFonts w:ascii="Courier New" w:eastAsia="Courier New" w:hAnsi="Courier New" w:cs="Courier New"/>
                <w:color w:val="A8E6CF"/>
                <w:sz w:val="19"/>
                <w:szCs w:val="19"/>
              </w:rPr>
              <w:t>ᵢⱼ</w:t>
            </w:r>
            <w:r w:rsidRPr="00B1745F">
              <w:rPr>
                <w:rFonts w:ascii="Courier New" w:eastAsia="Courier New" w:hAnsi="Courier New" w:cs="Courier New"/>
                <w:color w:val="A8E6CF"/>
                <w:sz w:val="19"/>
                <w:szCs w:val="19"/>
                <w:lang w:val="en-US"/>
              </w:rPr>
              <w:t xml:space="preserve"> = normalized value of metric j for artifact A</w:t>
            </w:r>
          </w:p>
          <w:p w14:paraId="0033165D"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∀i,j: m</w:t>
            </w:r>
            <w:r>
              <w:rPr>
                <w:rFonts w:ascii="Courier New" w:eastAsia="Courier New" w:hAnsi="Courier New" w:cs="Courier New"/>
                <w:color w:val="A8E6CF"/>
                <w:sz w:val="19"/>
                <w:szCs w:val="19"/>
              </w:rPr>
              <w:t>ᵢⱼ</w:t>
            </w:r>
            <w:r w:rsidRPr="00B1745F">
              <w:rPr>
                <w:rFonts w:ascii="Courier New" w:eastAsia="Courier New" w:hAnsi="Courier New" w:cs="Courier New"/>
                <w:color w:val="A8E6CF"/>
                <w:sz w:val="19"/>
                <w:szCs w:val="19"/>
                <w:lang w:val="en-US"/>
              </w:rPr>
              <w:t xml:space="preserve"> ∈ [0,1]  (min-max normalization against known bounds)</w:t>
            </w:r>
          </w:p>
        </w:tc>
      </w:tr>
    </w:tbl>
    <w:p w14:paraId="2DFD7F4C" w14:textId="77777777" w:rsidR="00DC2B9A" w:rsidRPr="00B1745F" w:rsidRDefault="00B5030D">
      <w:pPr>
        <w:pStyle w:val="Ttulo3"/>
        <w:spacing w:before="280" w:after="120"/>
        <w:rPr>
          <w:lang w:val="en-US"/>
        </w:rPr>
      </w:pPr>
      <w:r w:rsidRPr="00B1745F">
        <w:rPr>
          <w:color w:val="1A3A5C"/>
          <w:sz w:val="24"/>
          <w:szCs w:val="24"/>
          <w:lang w:val="en-US"/>
        </w:rPr>
        <w:lastRenderedPageBreak/>
        <w:t>4.2.2 The Eleven Quality Pillars</w:t>
      </w:r>
    </w:p>
    <w:p w14:paraId="7109403A" w14:textId="77777777" w:rsidR="00DC2B9A" w:rsidRPr="00B1745F" w:rsidRDefault="00B5030D">
      <w:pPr>
        <w:spacing w:before="60" w:after="120"/>
        <w:jc w:val="both"/>
        <w:rPr>
          <w:lang w:val="en-US"/>
        </w:rPr>
      </w:pPr>
      <w:r w:rsidRPr="00B1745F">
        <w:rPr>
          <w:lang w:val="en-US"/>
        </w:rPr>
        <w:t>The following table defines each dimension of V with its operational definition and representative metrics. Pillars marked with (↓) are inverted — a higher raw score indicates worse quality, so the normalized value is (1 - raw).</w:t>
      </w:r>
    </w:p>
    <w:p w14:paraId="0AF1E510" w14:textId="77777777" w:rsidR="00DC2B9A" w:rsidRPr="00B1745F" w:rsidRDefault="00DC2B9A">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2803"/>
        <w:gridCol w:w="2988"/>
        <w:gridCol w:w="2911"/>
      </w:tblGrid>
      <w:tr w:rsidR="00DC2B9A" w14:paraId="338BF4D8"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CED512E" w14:textId="77777777" w:rsidR="00DC2B9A" w:rsidRDefault="00B5030D">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7503EA8" w14:textId="497C0162" w:rsidR="00DC2B9A" w:rsidRDefault="00B5030D">
            <w:r>
              <w:rPr>
                <w:b/>
                <w:bCs/>
                <w:color w:val="FFFFFF"/>
                <w:sz w:val="20"/>
                <w:szCs w:val="20"/>
              </w:rPr>
              <w:t>Pi</w:t>
            </w:r>
            <w:r w:rsidR="008A4DC9">
              <w:rPr>
                <w:b/>
                <w:bCs/>
                <w:color w:val="FFFFFF"/>
                <w:sz w:val="20"/>
                <w:szCs w:val="20"/>
              </w:rPr>
              <w:t>l</w:t>
            </w:r>
            <w:r>
              <w:rPr>
                <w:b/>
                <w:bCs/>
                <w:color w:val="FFFFFF"/>
                <w:sz w:val="20"/>
                <w:szCs w:val="20"/>
              </w:rPr>
              <w:t>lar (Dimensi</w:t>
            </w:r>
            <w:r w:rsidR="008A4DC9">
              <w:rPr>
                <w:b/>
                <w:bCs/>
                <w:color w:val="FFFFFF"/>
                <w:sz w:val="20"/>
                <w:szCs w:val="20"/>
              </w:rPr>
              <w:t>o</w:t>
            </w:r>
            <w:r>
              <w:rPr>
                <w:b/>
                <w:bCs/>
                <w:color w:val="FFFFFF"/>
                <w:sz w:val="20"/>
                <w:szCs w:val="20"/>
              </w:rPr>
              <w:t>n)</w:t>
            </w:r>
          </w:p>
        </w:tc>
        <w:tc>
          <w:tcPr>
            <w:tcW w:w="3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C809112" w14:textId="2F69BC41" w:rsidR="00DC2B9A" w:rsidRPr="008A4DC9" w:rsidRDefault="008A4DC9">
            <w:pPr>
              <w:rPr>
                <w:b/>
                <w:bCs/>
                <w:color w:val="FFFFFF"/>
                <w:sz w:val="20"/>
                <w:szCs w:val="20"/>
              </w:rPr>
            </w:pPr>
            <w:r w:rsidRPr="008A4DC9">
              <w:rPr>
                <w:b/>
                <w:bCs/>
                <w:color w:val="FFFFFF"/>
                <w:sz w:val="20"/>
                <w:szCs w:val="20"/>
                <w:lang w:val="en"/>
              </w:rPr>
              <w:t>Operational definition</w:t>
            </w:r>
          </w:p>
        </w:tc>
        <w:tc>
          <w:tcPr>
            <w:tcW w:w="3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B4A1172" w14:textId="768EE55D" w:rsidR="00DC2B9A" w:rsidRPr="008A4DC9" w:rsidRDefault="008A4DC9">
            <w:pPr>
              <w:rPr>
                <w:b/>
                <w:bCs/>
                <w:color w:val="FFFFFF"/>
                <w:sz w:val="20"/>
                <w:szCs w:val="20"/>
              </w:rPr>
            </w:pPr>
            <w:r w:rsidRPr="008A4DC9">
              <w:rPr>
                <w:b/>
                <w:bCs/>
                <w:color w:val="FFFFFF"/>
                <w:sz w:val="20"/>
                <w:szCs w:val="20"/>
                <w:lang w:val="en"/>
              </w:rPr>
              <w:t>Representative metrics</w:t>
            </w:r>
          </w:p>
        </w:tc>
      </w:tr>
      <w:tr w:rsidR="00DC2B9A" w:rsidRPr="008A4DC9" w14:paraId="6DE26064" w14:textId="77777777">
        <w:tc>
          <w:tcPr>
            <w:tcW w:w="7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vAlign w:val="center"/>
          </w:tcPr>
          <w:p w14:paraId="1B3CBF50" w14:textId="77777777" w:rsidR="00DC2B9A" w:rsidRDefault="00B5030D">
            <w:r>
              <w:rPr>
                <w:rFonts w:ascii="Courier New" w:eastAsia="Courier New" w:hAnsi="Courier New" w:cs="Courier New"/>
                <w:b/>
                <w:bCs/>
                <w:sz w:val="19"/>
                <w:szCs w:val="19"/>
              </w:rPr>
              <w:t>v₁</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0484266D" w14:textId="77777777" w:rsidR="00DC2B9A" w:rsidRDefault="00B5030D">
            <w:r>
              <w:rPr>
                <w:rFonts w:ascii="Courier New" w:eastAsia="Courier New" w:hAnsi="Courier New" w:cs="Courier New"/>
                <w:b/>
                <w:bCs/>
                <w:color w:val="1A3A5C"/>
                <w:sz w:val="19"/>
                <w:szCs w:val="19"/>
              </w:rPr>
              <w:t>functional_correctness</w:t>
            </w:r>
          </w:p>
        </w:tc>
        <w:tc>
          <w:tcPr>
            <w:tcW w:w="33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5CC2C637" w14:textId="67C9258E" w:rsidR="00DC2B9A" w:rsidRPr="008A4DC9" w:rsidRDefault="008A4DC9">
            <w:pPr>
              <w:rPr>
                <w:sz w:val="19"/>
                <w:szCs w:val="19"/>
                <w:lang w:val="en-US"/>
              </w:rPr>
            </w:pPr>
            <w:r w:rsidRPr="008A4DC9">
              <w:rPr>
                <w:sz w:val="19"/>
                <w:szCs w:val="19"/>
                <w:lang w:val="en"/>
              </w:rPr>
              <w:t>Degree to which the artifact meets the specified functional requirements</w:t>
            </w:r>
          </w:p>
        </w:tc>
        <w:tc>
          <w:tcPr>
            <w:tcW w:w="316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373B02AC" w14:textId="77777777" w:rsidR="00DC2B9A" w:rsidRPr="00B1745F" w:rsidRDefault="00B5030D">
            <w:pPr>
              <w:rPr>
                <w:lang w:val="en-US"/>
              </w:rPr>
            </w:pPr>
            <w:r w:rsidRPr="00B1745F">
              <w:rPr>
                <w:i/>
                <w:iCs/>
                <w:color w:val="0D6B55"/>
                <w:sz w:val="19"/>
                <w:szCs w:val="19"/>
                <w:lang w:val="en-US"/>
              </w:rPr>
              <w:t>Test pass rate, assertion coverage, behavioral validation</w:t>
            </w:r>
          </w:p>
        </w:tc>
      </w:tr>
      <w:tr w:rsidR="00DC2B9A" w:rsidRPr="008A4DC9" w14:paraId="3550037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14:paraId="2098C95A" w14:textId="77777777" w:rsidR="00DC2B9A" w:rsidRDefault="00B5030D">
            <w:r>
              <w:rPr>
                <w:rFonts w:ascii="Courier New" w:eastAsia="Courier New" w:hAnsi="Courier New" w:cs="Courier New"/>
                <w:b/>
                <w:bCs/>
                <w:sz w:val="19"/>
                <w:szCs w:val="19"/>
              </w:rPr>
              <w:t>v₂</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0714043" w14:textId="77777777" w:rsidR="00DC2B9A" w:rsidRDefault="00B5030D">
            <w:r>
              <w:rPr>
                <w:rFonts w:ascii="Courier New" w:eastAsia="Courier New" w:hAnsi="Courier New" w:cs="Courier New"/>
                <w:b/>
                <w:bCs/>
                <w:color w:val="1A3A5C"/>
                <w:sz w:val="19"/>
                <w:szCs w:val="19"/>
              </w:rPr>
              <w:t>architectural_alignment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3BB1784" w14:textId="01965AFB" w:rsidR="00DC2B9A" w:rsidRPr="008A4DC9" w:rsidRDefault="008A4DC9">
            <w:pPr>
              <w:rPr>
                <w:sz w:val="19"/>
                <w:szCs w:val="19"/>
                <w:lang w:val="en-US"/>
              </w:rPr>
            </w:pPr>
            <w:r w:rsidRPr="008A4DC9">
              <w:rPr>
                <w:sz w:val="19"/>
                <w:szCs w:val="19"/>
                <w:lang w:val="en"/>
              </w:rPr>
              <w:t>Design consistency with defined architectural patterns and principles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B82003E" w14:textId="77777777" w:rsidR="00DC2B9A" w:rsidRPr="00B1745F" w:rsidRDefault="00B5030D">
            <w:pPr>
              <w:rPr>
                <w:lang w:val="en-US"/>
              </w:rPr>
            </w:pPr>
            <w:r w:rsidRPr="00B1745F">
              <w:rPr>
                <w:i/>
                <w:iCs/>
                <w:color w:val="0D6B55"/>
                <w:sz w:val="19"/>
                <w:szCs w:val="19"/>
                <w:lang w:val="en-US"/>
              </w:rPr>
              <w:t>Coupling index, pattern compliance score, dependency depth</w:t>
            </w:r>
          </w:p>
        </w:tc>
      </w:tr>
      <w:tr w:rsidR="00DC2B9A" w:rsidRPr="008A4DC9" w14:paraId="401B2F2D" w14:textId="77777777">
        <w:tc>
          <w:tcPr>
            <w:tcW w:w="7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vAlign w:val="center"/>
          </w:tcPr>
          <w:p w14:paraId="59A1EE3B" w14:textId="77777777" w:rsidR="00DC2B9A" w:rsidRDefault="00B5030D">
            <w:r>
              <w:rPr>
                <w:rFonts w:ascii="Courier New" w:eastAsia="Courier New" w:hAnsi="Courier New" w:cs="Courier New"/>
                <w:b/>
                <w:bCs/>
                <w:sz w:val="19"/>
                <w:szCs w:val="19"/>
              </w:rPr>
              <w:t>v₃</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343D2CE5" w14:textId="77777777" w:rsidR="00DC2B9A" w:rsidRDefault="00B5030D">
            <w:r>
              <w:rPr>
                <w:rFonts w:ascii="Courier New" w:eastAsia="Courier New" w:hAnsi="Courier New" w:cs="Courier New"/>
                <w:b/>
                <w:bCs/>
                <w:color w:val="1A3A5C"/>
                <w:sz w:val="19"/>
                <w:szCs w:val="19"/>
              </w:rPr>
              <w:t>scalability_projection</w:t>
            </w:r>
          </w:p>
        </w:tc>
        <w:tc>
          <w:tcPr>
            <w:tcW w:w="33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29F01067" w14:textId="57A9E9A1" w:rsidR="00DC2B9A" w:rsidRPr="008A4DC9" w:rsidRDefault="008A4DC9">
            <w:pPr>
              <w:rPr>
                <w:sz w:val="19"/>
                <w:szCs w:val="19"/>
                <w:lang w:val="en-US"/>
              </w:rPr>
            </w:pPr>
            <w:r w:rsidRPr="008A4DC9">
              <w:rPr>
                <w:sz w:val="19"/>
                <w:szCs w:val="19"/>
                <w:lang w:val="en"/>
              </w:rPr>
              <w:t>Projected system capacity to grow under incremental load</w:t>
            </w:r>
          </w:p>
        </w:tc>
        <w:tc>
          <w:tcPr>
            <w:tcW w:w="316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79B216A2" w14:textId="77777777" w:rsidR="00DC2B9A" w:rsidRPr="00B1745F" w:rsidRDefault="00B5030D">
            <w:pPr>
              <w:rPr>
                <w:lang w:val="en-US"/>
              </w:rPr>
            </w:pPr>
            <w:r w:rsidRPr="00B1745F">
              <w:rPr>
                <w:i/>
                <w:iCs/>
                <w:color w:val="0D6B55"/>
                <w:sz w:val="19"/>
                <w:szCs w:val="19"/>
                <w:lang w:val="en-US"/>
              </w:rPr>
              <w:t>Load test extrapolation, algorithmic complexity, resource growth rate</w:t>
            </w:r>
          </w:p>
        </w:tc>
      </w:tr>
      <w:tr w:rsidR="00DC2B9A" w:rsidRPr="008A4DC9" w14:paraId="095E857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14:paraId="6DEDA198" w14:textId="77777777" w:rsidR="00DC2B9A" w:rsidRDefault="00B5030D">
            <w:r>
              <w:rPr>
                <w:rFonts w:ascii="Courier New" w:eastAsia="Courier New" w:hAnsi="Courier New" w:cs="Courier New"/>
                <w:b/>
                <w:bCs/>
                <w:sz w:val="19"/>
                <w:szCs w:val="19"/>
              </w:rPr>
              <w:t>v₄</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05D32AA" w14:textId="77777777" w:rsidR="00DC2B9A" w:rsidRDefault="00B5030D">
            <w:r>
              <w:rPr>
                <w:rFonts w:ascii="Courier New" w:eastAsia="Courier New" w:hAnsi="Courier New" w:cs="Courier New"/>
                <w:b/>
                <w:bCs/>
                <w:color w:val="1A3A5C"/>
                <w:sz w:val="19"/>
                <w:szCs w:val="19"/>
              </w:rPr>
              <w:t>security_risk</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26D73B5" w14:textId="1B855EAB" w:rsidR="00DC2B9A" w:rsidRPr="008A4DC9" w:rsidRDefault="008A4DC9">
            <w:pPr>
              <w:rPr>
                <w:sz w:val="19"/>
                <w:szCs w:val="19"/>
                <w:lang w:val="en-US"/>
              </w:rPr>
            </w:pPr>
            <w:r w:rsidRPr="008A4DC9">
              <w:rPr>
                <w:sz w:val="19"/>
                <w:szCs w:val="19"/>
                <w:lang w:val="en"/>
              </w:rPr>
              <w:t>Vulnerability level and detected attack surface (inverted: 1=no risk)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BFCB953" w14:textId="77777777" w:rsidR="00DC2B9A" w:rsidRPr="00B1745F" w:rsidRDefault="00B5030D">
            <w:pPr>
              <w:rPr>
                <w:lang w:val="en-US"/>
              </w:rPr>
            </w:pPr>
            <w:r w:rsidRPr="00B1745F">
              <w:rPr>
                <w:i/>
                <w:iCs/>
                <w:color w:val="0D6B55"/>
                <w:sz w:val="19"/>
                <w:szCs w:val="19"/>
                <w:lang w:val="en-US"/>
              </w:rPr>
              <w:t>CVSS score, attack surface area, dependency vulnerability count</w:t>
            </w:r>
          </w:p>
        </w:tc>
      </w:tr>
      <w:tr w:rsidR="00DC2B9A" w:rsidRPr="008A4DC9" w14:paraId="1018881C" w14:textId="77777777">
        <w:tc>
          <w:tcPr>
            <w:tcW w:w="7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vAlign w:val="center"/>
          </w:tcPr>
          <w:p w14:paraId="0A31DCD4" w14:textId="77777777" w:rsidR="00DC2B9A" w:rsidRDefault="00B5030D">
            <w:r>
              <w:rPr>
                <w:rFonts w:ascii="Courier New" w:eastAsia="Courier New" w:hAnsi="Courier New" w:cs="Courier New"/>
                <w:b/>
                <w:bCs/>
                <w:sz w:val="19"/>
                <w:szCs w:val="19"/>
              </w:rPr>
              <w:t>v₅</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35F15AE7" w14:textId="77777777" w:rsidR="00DC2B9A" w:rsidRDefault="00B5030D">
            <w:r>
              <w:rPr>
                <w:rFonts w:ascii="Courier New" w:eastAsia="Courier New" w:hAnsi="Courier New" w:cs="Courier New"/>
                <w:b/>
                <w:bCs/>
                <w:color w:val="1A3A5C"/>
                <w:sz w:val="19"/>
                <w:szCs w:val="19"/>
              </w:rPr>
              <w:t>observability_coverage</w:t>
            </w:r>
          </w:p>
        </w:tc>
        <w:tc>
          <w:tcPr>
            <w:tcW w:w="33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07391801" w14:textId="5CD1B64A" w:rsidR="00DC2B9A" w:rsidRPr="008A4DC9" w:rsidRDefault="008A4DC9">
            <w:pPr>
              <w:rPr>
                <w:sz w:val="19"/>
                <w:szCs w:val="19"/>
                <w:lang w:val="en-US"/>
              </w:rPr>
            </w:pPr>
            <w:r w:rsidRPr="008A4DC9">
              <w:rPr>
                <w:sz w:val="19"/>
                <w:szCs w:val="19"/>
                <w:lang w:val="en"/>
              </w:rPr>
              <w:t>Extending the coverage of system logs, metrics, and traces</w:t>
            </w:r>
          </w:p>
        </w:tc>
        <w:tc>
          <w:tcPr>
            <w:tcW w:w="316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345A87CD" w14:textId="77777777" w:rsidR="00DC2B9A" w:rsidRPr="00B1745F" w:rsidRDefault="00B5030D">
            <w:pPr>
              <w:rPr>
                <w:lang w:val="en-US"/>
              </w:rPr>
            </w:pPr>
            <w:r w:rsidRPr="00B1745F">
              <w:rPr>
                <w:i/>
                <w:iCs/>
                <w:color w:val="0D6B55"/>
                <w:sz w:val="19"/>
                <w:szCs w:val="19"/>
                <w:lang w:val="en-US"/>
              </w:rPr>
              <w:t>Log coverage %, metric instrumentation rate, trace depth</w:t>
            </w:r>
          </w:p>
        </w:tc>
      </w:tr>
      <w:tr w:rsidR="00DC2B9A" w:rsidRPr="008A4DC9" w14:paraId="0B00618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14:paraId="182A5C56" w14:textId="77777777" w:rsidR="00DC2B9A" w:rsidRDefault="00B5030D">
            <w:r>
              <w:rPr>
                <w:rFonts w:ascii="Courier New" w:eastAsia="Courier New" w:hAnsi="Courier New" w:cs="Courier New"/>
                <w:b/>
                <w:bCs/>
                <w:sz w:val="19"/>
                <w:szCs w:val="19"/>
              </w:rPr>
              <w:t>v₆</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C2511A1" w14:textId="77777777" w:rsidR="00DC2B9A" w:rsidRDefault="00B5030D">
            <w:r>
              <w:rPr>
                <w:rFonts w:ascii="Courier New" w:eastAsia="Courier New" w:hAnsi="Courier New" w:cs="Courier New"/>
                <w:b/>
                <w:bCs/>
                <w:color w:val="1A3A5C"/>
                <w:sz w:val="19"/>
                <w:szCs w:val="19"/>
              </w:rPr>
              <w:t>testability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52224C8" w14:textId="6F5F2ED3" w:rsidR="00DC2B9A" w:rsidRPr="008A4DC9" w:rsidRDefault="008A4DC9">
            <w:pPr>
              <w:rPr>
                <w:sz w:val="19"/>
                <w:szCs w:val="19"/>
                <w:lang w:val="en-US"/>
              </w:rPr>
            </w:pPr>
            <w:r w:rsidRPr="008A4DC9">
              <w:rPr>
                <w:sz w:val="19"/>
                <w:szCs w:val="19"/>
                <w:lang w:val="en"/>
              </w:rPr>
              <w:t>Ease with which the artifact can be validated automatically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9E9D796" w14:textId="77777777" w:rsidR="00DC2B9A" w:rsidRPr="00B1745F" w:rsidRDefault="00B5030D">
            <w:pPr>
              <w:rPr>
                <w:lang w:val="en-US"/>
              </w:rPr>
            </w:pPr>
            <w:r w:rsidRPr="00B1745F">
              <w:rPr>
                <w:i/>
                <w:iCs/>
                <w:color w:val="0D6B55"/>
                <w:sz w:val="19"/>
                <w:szCs w:val="19"/>
                <w:lang w:val="en-US"/>
              </w:rPr>
              <w:t>Cyclomatic complexity, mock dependency ratio, test isolation index</w:t>
            </w:r>
          </w:p>
        </w:tc>
      </w:tr>
      <w:tr w:rsidR="00DC2B9A" w:rsidRPr="008A4DC9" w14:paraId="15CB5BEA" w14:textId="77777777">
        <w:tc>
          <w:tcPr>
            <w:tcW w:w="7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vAlign w:val="center"/>
          </w:tcPr>
          <w:p w14:paraId="28AAF959" w14:textId="77777777" w:rsidR="00DC2B9A" w:rsidRDefault="00B5030D">
            <w:r>
              <w:rPr>
                <w:rFonts w:ascii="Courier New" w:eastAsia="Courier New" w:hAnsi="Courier New" w:cs="Courier New"/>
                <w:b/>
                <w:bCs/>
                <w:sz w:val="19"/>
                <w:szCs w:val="19"/>
              </w:rPr>
              <w:t>v₇</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422C9BBB" w14:textId="77777777" w:rsidR="00DC2B9A" w:rsidRDefault="00B5030D">
            <w:r>
              <w:rPr>
                <w:rFonts w:ascii="Courier New" w:eastAsia="Courier New" w:hAnsi="Courier New" w:cs="Courier New"/>
                <w:b/>
                <w:bCs/>
                <w:color w:val="1A3A5C"/>
                <w:sz w:val="19"/>
                <w:szCs w:val="19"/>
              </w:rPr>
              <w:t>maintainability</w:t>
            </w:r>
          </w:p>
        </w:tc>
        <w:tc>
          <w:tcPr>
            <w:tcW w:w="33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445F2AF4" w14:textId="634BE3E6" w:rsidR="00DC2B9A" w:rsidRPr="008A4DC9" w:rsidRDefault="008A4DC9">
            <w:pPr>
              <w:rPr>
                <w:sz w:val="19"/>
                <w:szCs w:val="19"/>
                <w:lang w:val="en-US"/>
              </w:rPr>
            </w:pPr>
            <w:r w:rsidRPr="008A4DC9">
              <w:rPr>
                <w:sz w:val="19"/>
                <w:szCs w:val="19"/>
                <w:lang w:val="en"/>
              </w:rPr>
              <w:t>Ease of understanding, modifying, and extending the artifact</w:t>
            </w:r>
          </w:p>
        </w:tc>
        <w:tc>
          <w:tcPr>
            <w:tcW w:w="316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11FF9A33" w14:textId="77777777" w:rsidR="00DC2B9A" w:rsidRPr="00B1745F" w:rsidRDefault="00B5030D">
            <w:pPr>
              <w:rPr>
                <w:lang w:val="en-US"/>
              </w:rPr>
            </w:pPr>
            <w:r w:rsidRPr="00B1745F">
              <w:rPr>
                <w:i/>
                <w:iCs/>
                <w:color w:val="0D6B55"/>
                <w:sz w:val="19"/>
                <w:szCs w:val="19"/>
                <w:lang w:val="en-US"/>
              </w:rPr>
              <w:t>Halstead volume, code churn rate, documentation ratio</w:t>
            </w:r>
          </w:p>
        </w:tc>
      </w:tr>
      <w:tr w:rsidR="00DC2B9A" w:rsidRPr="008A4DC9" w14:paraId="7A0EAA9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14:paraId="3591DB21" w14:textId="77777777" w:rsidR="00DC2B9A" w:rsidRDefault="00B5030D">
            <w:r>
              <w:rPr>
                <w:rFonts w:ascii="Courier New" w:eastAsia="Courier New" w:hAnsi="Courier New" w:cs="Courier New"/>
                <w:b/>
                <w:bCs/>
                <w:sz w:val="19"/>
                <w:szCs w:val="19"/>
              </w:rPr>
              <w:t>v₈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7904087" w14:textId="77777777" w:rsidR="00DC2B9A" w:rsidRDefault="00B5030D">
            <w:r>
              <w:rPr>
                <w:rFonts w:ascii="Courier New" w:eastAsia="Courier New" w:hAnsi="Courier New" w:cs="Courier New"/>
                <w:b/>
                <w:bCs/>
                <w:color w:val="1A3A5C"/>
                <w:sz w:val="19"/>
                <w:szCs w:val="19"/>
              </w:rPr>
              <w:t>technical_debt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4085615" w14:textId="4DD9E33A" w:rsidR="00DC2B9A" w:rsidRPr="008A4DC9" w:rsidRDefault="008A4DC9">
            <w:pPr>
              <w:rPr>
                <w:sz w:val="19"/>
                <w:szCs w:val="19"/>
                <w:lang w:val="en-US"/>
              </w:rPr>
            </w:pPr>
            <w:r w:rsidRPr="008A4DC9">
              <w:rPr>
                <w:sz w:val="19"/>
                <w:szCs w:val="19"/>
                <w:lang w:val="en"/>
              </w:rPr>
              <w:t>Accumulation of shortcuts that compromise the future health of the system (reversed)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EDB31B4" w14:textId="77777777" w:rsidR="00DC2B9A" w:rsidRPr="00B1745F" w:rsidRDefault="00B5030D">
            <w:pPr>
              <w:rPr>
                <w:lang w:val="en-US"/>
              </w:rPr>
            </w:pPr>
            <w:r w:rsidRPr="00B1745F">
              <w:rPr>
                <w:i/>
                <w:iCs/>
                <w:color w:val="0D6B55"/>
                <w:sz w:val="19"/>
                <w:szCs w:val="19"/>
                <w:lang w:val="en-US"/>
              </w:rPr>
              <w:t>Debt ratio, code smell density, deferred refactoring backlog</w:t>
            </w:r>
          </w:p>
        </w:tc>
      </w:tr>
      <w:tr w:rsidR="00DC2B9A" w:rsidRPr="008A4DC9" w14:paraId="04CBB0B8" w14:textId="77777777">
        <w:tc>
          <w:tcPr>
            <w:tcW w:w="7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vAlign w:val="center"/>
          </w:tcPr>
          <w:p w14:paraId="1FB27743" w14:textId="77777777" w:rsidR="00DC2B9A" w:rsidRDefault="00B5030D">
            <w:r>
              <w:rPr>
                <w:rFonts w:ascii="Courier New" w:eastAsia="Courier New" w:hAnsi="Courier New" w:cs="Courier New"/>
                <w:b/>
                <w:bCs/>
                <w:sz w:val="19"/>
                <w:szCs w:val="19"/>
              </w:rPr>
              <w:t>v₉</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1C95FF1D" w14:textId="77777777" w:rsidR="00DC2B9A" w:rsidRDefault="00B5030D">
            <w:r>
              <w:rPr>
                <w:rFonts w:ascii="Courier New" w:eastAsia="Courier New" w:hAnsi="Courier New" w:cs="Courier New"/>
                <w:b/>
                <w:bCs/>
                <w:color w:val="1A3A5C"/>
                <w:sz w:val="19"/>
                <w:szCs w:val="19"/>
              </w:rPr>
              <w:t>performance</w:t>
            </w:r>
          </w:p>
        </w:tc>
        <w:tc>
          <w:tcPr>
            <w:tcW w:w="33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4168B0BC" w14:textId="6782BB26" w:rsidR="00DC2B9A" w:rsidRPr="00D74A6B" w:rsidRDefault="00D74A6B">
            <w:pPr>
              <w:rPr>
                <w:sz w:val="19"/>
                <w:szCs w:val="19"/>
                <w:lang w:val="en-US"/>
              </w:rPr>
            </w:pPr>
            <w:r w:rsidRPr="00D74A6B">
              <w:rPr>
                <w:sz w:val="19"/>
                <w:szCs w:val="19"/>
                <w:lang w:val="en"/>
              </w:rPr>
              <w:t>Resource efficiency and response latency under normal conditions</w:t>
            </w:r>
          </w:p>
        </w:tc>
        <w:tc>
          <w:tcPr>
            <w:tcW w:w="316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6850F4C9" w14:textId="77777777" w:rsidR="00DC2B9A" w:rsidRPr="00B1745F" w:rsidRDefault="00B5030D">
            <w:pPr>
              <w:rPr>
                <w:lang w:val="en-US"/>
              </w:rPr>
            </w:pPr>
            <w:r w:rsidRPr="00B1745F">
              <w:rPr>
                <w:i/>
                <w:iCs/>
                <w:color w:val="0D6B55"/>
                <w:sz w:val="19"/>
                <w:szCs w:val="19"/>
                <w:lang w:val="en-US"/>
              </w:rPr>
              <w:t>P95 latency, CPU/memory utilization, throughput benchmark</w:t>
            </w:r>
          </w:p>
        </w:tc>
      </w:tr>
      <w:tr w:rsidR="00DC2B9A" w:rsidRPr="008A4DC9" w14:paraId="4070FEE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14:paraId="15473353" w14:textId="77777777" w:rsidR="00DC2B9A" w:rsidRDefault="00B5030D">
            <w:r>
              <w:rPr>
                <w:rFonts w:ascii="Courier New" w:eastAsia="Courier New" w:hAnsi="Courier New" w:cs="Courier New"/>
                <w:b/>
                <w:bCs/>
                <w:sz w:val="19"/>
                <w:szCs w:val="19"/>
              </w:rPr>
              <w:t>v₁₀</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788BEA2" w14:textId="77777777" w:rsidR="00DC2B9A" w:rsidRDefault="00B5030D">
            <w:r>
              <w:rPr>
                <w:rFonts w:ascii="Courier New" w:eastAsia="Courier New" w:hAnsi="Courier New" w:cs="Courier New"/>
                <w:b/>
                <w:bCs/>
                <w:color w:val="1A3A5C"/>
                <w:sz w:val="19"/>
                <w:szCs w:val="19"/>
              </w:rPr>
              <w:t>confidence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40631A2" w14:textId="25276BA9" w:rsidR="00DC2B9A" w:rsidRPr="00D74A6B" w:rsidRDefault="00D74A6B">
            <w:pPr>
              <w:rPr>
                <w:sz w:val="19"/>
                <w:szCs w:val="19"/>
                <w:lang w:val="en-US"/>
              </w:rPr>
            </w:pPr>
            <w:r w:rsidRPr="00D74A6B">
              <w:rPr>
                <w:sz w:val="19"/>
                <w:szCs w:val="19"/>
                <w:lang w:val="en"/>
              </w:rPr>
              <w:t>Level of certainty of the evaluation produced by the QA agents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CAAD316" w14:textId="77777777" w:rsidR="00DC2B9A" w:rsidRPr="00B1745F" w:rsidRDefault="00B5030D">
            <w:pPr>
              <w:rPr>
                <w:lang w:val="en-US"/>
              </w:rPr>
            </w:pPr>
            <w:r w:rsidRPr="00B1745F">
              <w:rPr>
                <w:i/>
                <w:iCs/>
                <w:color w:val="0D6B55"/>
                <w:sz w:val="19"/>
                <w:szCs w:val="19"/>
                <w:lang w:val="en-US"/>
              </w:rPr>
              <w:t>Model confidence score, inter-agent consensus, data coverage</w:t>
            </w:r>
          </w:p>
        </w:tc>
      </w:tr>
      <w:tr w:rsidR="00DC2B9A" w:rsidRPr="008A4DC9" w14:paraId="1B764EF1" w14:textId="77777777">
        <w:tc>
          <w:tcPr>
            <w:tcW w:w="7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vAlign w:val="center"/>
          </w:tcPr>
          <w:p w14:paraId="49EF02BC" w14:textId="77777777" w:rsidR="00DC2B9A" w:rsidRDefault="00B5030D">
            <w:r>
              <w:rPr>
                <w:rFonts w:ascii="Courier New" w:eastAsia="Courier New" w:hAnsi="Courier New" w:cs="Courier New"/>
                <w:b/>
                <w:bCs/>
                <w:sz w:val="19"/>
                <w:szCs w:val="19"/>
              </w:rPr>
              <w:t>v₁₁</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7148CFF1" w14:textId="77777777" w:rsidR="00DC2B9A" w:rsidRDefault="00B5030D">
            <w:r>
              <w:rPr>
                <w:rFonts w:ascii="Courier New" w:eastAsia="Courier New" w:hAnsi="Courier New" w:cs="Courier New"/>
                <w:b/>
                <w:bCs/>
                <w:color w:val="1A3A5C"/>
                <w:sz w:val="19"/>
                <w:szCs w:val="19"/>
              </w:rPr>
              <w:t>anomaly_score</w:t>
            </w:r>
          </w:p>
        </w:tc>
        <w:tc>
          <w:tcPr>
            <w:tcW w:w="330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115E551A" w14:textId="189DBC79" w:rsidR="00DC2B9A" w:rsidRPr="00D74A6B" w:rsidRDefault="00D74A6B">
            <w:pPr>
              <w:rPr>
                <w:sz w:val="19"/>
                <w:szCs w:val="19"/>
                <w:lang w:val="en-US"/>
              </w:rPr>
            </w:pPr>
            <w:r w:rsidRPr="00D74A6B">
              <w:rPr>
                <w:sz w:val="19"/>
                <w:szCs w:val="19"/>
                <w:lang w:val="en"/>
              </w:rPr>
              <w:t>Deviation of behavior from expected historical patterns (inverted)</w:t>
            </w:r>
          </w:p>
        </w:tc>
        <w:tc>
          <w:tcPr>
            <w:tcW w:w="316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80" w:type="dxa"/>
            </w:tcMar>
          </w:tcPr>
          <w:p w14:paraId="6AF3865B" w14:textId="77777777" w:rsidR="00DC2B9A" w:rsidRPr="00B1745F" w:rsidRDefault="00B5030D">
            <w:pPr>
              <w:rPr>
                <w:lang w:val="en-US"/>
              </w:rPr>
            </w:pPr>
            <w:r w:rsidRPr="00B1745F">
              <w:rPr>
                <w:i/>
                <w:iCs/>
                <w:color w:val="0D6B55"/>
                <w:sz w:val="19"/>
                <w:szCs w:val="19"/>
                <w:lang w:val="en-US"/>
              </w:rPr>
              <w:t>Z-score vs historical baseline, outlier detection flag</w:t>
            </w:r>
          </w:p>
        </w:tc>
      </w:tr>
    </w:tbl>
    <w:p w14:paraId="24BF2D06" w14:textId="77777777" w:rsidR="00DC2B9A" w:rsidRPr="00B1745F" w:rsidRDefault="00DC2B9A">
      <w:pPr>
        <w:spacing w:before="60" w:after="60"/>
        <w:rPr>
          <w:lang w:val="en-US"/>
        </w:rPr>
      </w:pPr>
    </w:p>
    <w:p w14:paraId="552EFEDE" w14:textId="77777777" w:rsidR="00DC2B9A" w:rsidRPr="00B1745F" w:rsidRDefault="00B5030D">
      <w:pPr>
        <w:spacing w:before="60" w:after="120"/>
        <w:jc w:val="center"/>
        <w:rPr>
          <w:lang w:val="en-US"/>
        </w:rPr>
      </w:pPr>
      <w:r w:rsidRPr="00B1745F">
        <w:rPr>
          <w:i/>
          <w:iCs/>
          <w:color w:val="666666"/>
          <w:sz w:val="18"/>
          <w:szCs w:val="18"/>
          <w:lang w:val="en-US"/>
        </w:rPr>
        <w:t>Table 1. TCO Evaluation Vector — eleven quality dimensions with operational definitions and representative metrics.</w:t>
      </w:r>
    </w:p>
    <w:p w14:paraId="06F473A0" w14:textId="77777777" w:rsidR="00DC2B9A" w:rsidRPr="00B1745F" w:rsidRDefault="00B5030D">
      <w:pPr>
        <w:pStyle w:val="Ttulo3"/>
        <w:spacing w:before="280" w:after="120"/>
        <w:rPr>
          <w:lang w:val="en-US"/>
        </w:rPr>
      </w:pPr>
      <w:r w:rsidRPr="00B1745F">
        <w:rPr>
          <w:color w:val="1A3A5C"/>
          <w:sz w:val="24"/>
          <w:szCs w:val="24"/>
          <w:lang w:val="en-US"/>
        </w:rPr>
        <w:lastRenderedPageBreak/>
        <w:t>4.2.3 Formal Properties of V</w:t>
      </w:r>
    </w:p>
    <w:p w14:paraId="6B0486F5" w14:textId="77777777" w:rsidR="00DC2B9A" w:rsidRPr="00B1745F" w:rsidRDefault="00B5030D">
      <w:pPr>
        <w:spacing w:before="60" w:after="120"/>
        <w:jc w:val="both"/>
        <w:rPr>
          <w:lang w:val="en-US"/>
        </w:rPr>
      </w:pPr>
      <w:r w:rsidRPr="00B1745F">
        <w:rPr>
          <w:lang w:val="en-US"/>
        </w:rPr>
        <w:t>The vector V must satisfy four formal properties to function as a valid cognitive interface:</w:t>
      </w:r>
    </w:p>
    <w:p w14:paraId="27BA49EF" w14:textId="77777777" w:rsidR="00DC2B9A" w:rsidRPr="00B1745F" w:rsidRDefault="00B5030D">
      <w:pPr>
        <w:pStyle w:val="Prrafodelista"/>
        <w:numPr>
          <w:ilvl w:val="0"/>
          <w:numId w:val="2"/>
        </w:numPr>
        <w:spacing w:before="40" w:after="40"/>
        <w:rPr>
          <w:lang w:val="en-US"/>
        </w:rPr>
      </w:pPr>
      <w:r w:rsidRPr="00B1745F">
        <w:rPr>
          <w:lang w:val="en-US"/>
        </w:rPr>
        <w:t>P1 — Normalization: ∀i : v</w:t>
      </w:r>
      <w:r>
        <w:t>ᵢ</w:t>
      </w:r>
      <w:r w:rsidRPr="00B1745F">
        <w:rPr>
          <w:lang w:val="en-US"/>
        </w:rPr>
        <w:t xml:space="preserve"> ∈ [0,1]. Enables comparison across contexts and aggregation into tensors without scale distortion.</w:t>
      </w:r>
    </w:p>
    <w:p w14:paraId="30B32314" w14:textId="77777777" w:rsidR="00DC2B9A" w:rsidRPr="00B1745F" w:rsidRDefault="00B5030D">
      <w:pPr>
        <w:pStyle w:val="Prrafodelista"/>
        <w:numPr>
          <w:ilvl w:val="0"/>
          <w:numId w:val="2"/>
        </w:numPr>
        <w:spacing w:before="40" w:after="40"/>
        <w:rPr>
          <w:lang w:val="en-US"/>
        </w:rPr>
      </w:pPr>
      <w:r w:rsidRPr="00B1745F">
        <w:rPr>
          <w:lang w:val="en-US"/>
        </w:rPr>
        <w:t>P2 — Semantic independence: pillars are defined to be conceptually orthogonal. An artifact may have high functional_correctness and low maintainability simultaneously — this is information, not contradiction.</w:t>
      </w:r>
    </w:p>
    <w:p w14:paraId="63557428" w14:textId="77777777" w:rsidR="00DC2B9A" w:rsidRPr="00B1745F" w:rsidRDefault="00B5030D">
      <w:pPr>
        <w:pStyle w:val="Prrafodelista"/>
        <w:numPr>
          <w:ilvl w:val="0"/>
          <w:numId w:val="2"/>
        </w:numPr>
        <w:spacing w:before="40" w:after="40"/>
        <w:rPr>
          <w:lang w:val="en-US"/>
        </w:rPr>
      </w:pPr>
      <w:r w:rsidRPr="00B1745F">
        <w:rPr>
          <w:lang w:val="en-US"/>
        </w:rPr>
        <w:t>P3 — Comparability: the same vector semantics apply across agents, stages, and time instants. V_{agent₁, stage₁, t₁} is directly comparable to V_{agent₂, stage₂, t₂}.</w:t>
      </w:r>
    </w:p>
    <w:p w14:paraId="6055FDB8" w14:textId="77777777" w:rsidR="00DC2B9A" w:rsidRPr="00B1745F" w:rsidRDefault="00B5030D">
      <w:pPr>
        <w:pStyle w:val="Prrafodelista"/>
        <w:numPr>
          <w:ilvl w:val="0"/>
          <w:numId w:val="2"/>
        </w:numPr>
        <w:spacing w:before="40" w:after="40"/>
        <w:rPr>
          <w:lang w:val="en-US"/>
        </w:rPr>
      </w:pPr>
      <w:r w:rsidRPr="00B1745F">
        <w:rPr>
          <w:lang w:val="en-US"/>
        </w:rPr>
        <w:t>P4 — Extensibility: the base specification uses n=11; domain-specific dimensions may be added by extending the weight configuration without altering the aggregation or inference architecture.</w:t>
      </w:r>
    </w:p>
    <w:p w14:paraId="5DF357DB" w14:textId="77777777" w:rsidR="00DC2B9A" w:rsidRPr="00B1745F" w:rsidRDefault="00B5030D">
      <w:pPr>
        <w:pStyle w:val="Ttulo2"/>
        <w:rPr>
          <w:lang w:val="en-US"/>
        </w:rPr>
      </w:pPr>
      <w:r w:rsidRPr="00B1745F">
        <w:rPr>
          <w:color w:val="1A3A5C"/>
          <w:sz w:val="24"/>
          <w:szCs w:val="24"/>
          <w:lang w:val="en-US"/>
        </w:rPr>
        <w:t>4.3 Layer 4 — The Cognitive Tensor</w:t>
      </w:r>
    </w:p>
    <w:p w14:paraId="5B7E487F" w14:textId="77777777" w:rsidR="00DC2B9A" w:rsidRPr="00B1745F" w:rsidRDefault="00B5030D">
      <w:pPr>
        <w:pStyle w:val="Ttulo3"/>
        <w:spacing w:before="280" w:after="120"/>
        <w:rPr>
          <w:lang w:val="en-US"/>
        </w:rPr>
      </w:pPr>
      <w:r w:rsidRPr="00B1745F">
        <w:rPr>
          <w:color w:val="1A3A5C"/>
          <w:sz w:val="24"/>
          <w:szCs w:val="24"/>
          <w:lang w:val="en-US"/>
        </w:rPr>
        <w:t>4.3.1 Formal Definition</w:t>
      </w:r>
    </w:p>
    <w:p w14:paraId="16B0051C" w14:textId="77777777" w:rsidR="00DC2B9A" w:rsidRDefault="00B5030D">
      <w:pPr>
        <w:spacing w:before="60" w:after="120"/>
        <w:jc w:val="both"/>
      </w:pPr>
      <w:r w:rsidRPr="00B1745F">
        <w:rPr>
          <w:lang w:val="en-US"/>
        </w:rPr>
        <w:t xml:space="preserve">Let S = {design, build, test, deploy} be the set of pipeline stages, A = {ag₁, ag₂, ..., agₘ} the set of AI agents, and T_idx = {t₁, t₂, ..., tₜ} the discrete time index. </w:t>
      </w:r>
      <w:r>
        <w:t>The TCO tensor is defined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B9A" w:rsidRPr="008A4DC9" w14:paraId="7D1F39F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40" w:type="dxa"/>
              <w:left w:w="200" w:type="dxa"/>
              <w:bottom w:w="140" w:type="dxa"/>
              <w:right w:w="200" w:type="dxa"/>
            </w:tcMar>
          </w:tcPr>
          <w:p w14:paraId="79C0B5E5" w14:textId="77777777" w:rsidR="00DC2B9A" w:rsidRDefault="00B5030D">
            <w:pPr>
              <w:spacing w:before="20" w:after="20"/>
            </w:pPr>
            <w:r>
              <w:rPr>
                <w:rFonts w:ascii="Courier New" w:eastAsia="Courier New" w:hAnsi="Courier New" w:cs="Courier New"/>
                <w:color w:val="A8E6CF"/>
                <w:sz w:val="19"/>
                <w:szCs w:val="19"/>
              </w:rPr>
              <w:t>T ∈ ℝⁿ × |S| × |A| × |T_idx|</w:t>
            </w:r>
          </w:p>
          <w:p w14:paraId="710F1144" w14:textId="77777777" w:rsidR="00DC2B9A" w:rsidRDefault="00DC2B9A">
            <w:pPr>
              <w:spacing w:before="20" w:after="20"/>
            </w:pPr>
          </w:p>
          <w:p w14:paraId="6A16604D" w14:textId="77777777" w:rsidR="00DC2B9A" w:rsidRDefault="00B5030D">
            <w:pPr>
              <w:spacing w:before="20" w:after="20"/>
            </w:pPr>
            <w:r>
              <w:rPr>
                <w:rFonts w:ascii="Courier New" w:eastAsia="Courier New" w:hAnsi="Courier New" w:cs="Courier New"/>
                <w:color w:val="A8E6CF"/>
                <w:sz w:val="19"/>
                <w:szCs w:val="19"/>
              </w:rPr>
              <w:t>T[d, i, j, k]  =  f_d( V_{i,j,k} )</w:t>
            </w:r>
          </w:p>
          <w:p w14:paraId="77795AE3" w14:textId="77777777" w:rsidR="00DC2B9A" w:rsidRDefault="00DC2B9A">
            <w:pPr>
              <w:spacing w:before="20" w:after="20"/>
            </w:pPr>
          </w:p>
          <w:p w14:paraId="05A0AC68"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where:  d  ∈ {1...n}   indexes the quality dimension</w:t>
            </w:r>
          </w:p>
          <w:p w14:paraId="0002C1AA"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i  ∈ S          indexes the pipeline stage</w:t>
            </w:r>
          </w:p>
          <w:p w14:paraId="04CC4CDC"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j  ∈ A          indexes the generating agent</w:t>
            </w:r>
          </w:p>
          <w:p w14:paraId="2CAD4CF2"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k  ∈ T_idx      indexes the time instant</w:t>
            </w:r>
          </w:p>
          <w:p w14:paraId="0F6DA9FE"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f_d             aggregation function for dimension d</w:t>
            </w:r>
          </w:p>
        </w:tc>
      </w:tr>
    </w:tbl>
    <w:p w14:paraId="320041AE" w14:textId="77777777" w:rsidR="00DC2B9A" w:rsidRPr="00B1745F" w:rsidRDefault="00B5030D">
      <w:pPr>
        <w:spacing w:before="60" w:after="120"/>
        <w:jc w:val="both"/>
        <w:rPr>
          <w:lang w:val="en-US"/>
        </w:rPr>
      </w:pPr>
      <w:r w:rsidRPr="00B1745F">
        <w:rPr>
          <w:lang w:val="en-US"/>
        </w:rPr>
        <w:t>The tensor structure is motivated by existing work on multi-agent predictive state representations [13, 14], which demonstrate that high-order tensors capture interaction dynamics between agents in ways that lower-dimensional representations cannot. TCO applies this principle not to action-observation prediction but to quality state representation — a novel application domain.</w:t>
      </w:r>
    </w:p>
    <w:p w14:paraId="4EE46E7A" w14:textId="77777777" w:rsidR="00DC2B9A" w:rsidRPr="00B1745F" w:rsidRDefault="00B5030D">
      <w:pPr>
        <w:pStyle w:val="Ttulo3"/>
        <w:spacing w:before="280" w:after="120"/>
        <w:rPr>
          <w:lang w:val="en-US"/>
        </w:rPr>
      </w:pPr>
      <w:r w:rsidRPr="00B1745F">
        <w:rPr>
          <w:color w:val="1A3A5C"/>
          <w:sz w:val="24"/>
          <w:szCs w:val="24"/>
          <w:lang w:val="en-US"/>
        </w:rPr>
        <w:t>4.3.2 Aggregation Functions</w:t>
      </w:r>
    </w:p>
    <w:p w14:paraId="2C6F15FD" w14:textId="77777777" w:rsidR="00DC2B9A" w:rsidRPr="00B1745F" w:rsidRDefault="00B5030D">
      <w:pPr>
        <w:spacing w:before="60" w:after="120"/>
        <w:jc w:val="both"/>
        <w:rPr>
          <w:lang w:val="en-US"/>
        </w:rPr>
      </w:pPr>
      <w:r w:rsidRPr="00B1745F">
        <w:rPr>
          <w:lang w:val="en-US"/>
        </w:rPr>
        <w:t>Three aggregation functions are proposed, with distinct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B9A" w:rsidRPr="008A4DC9" w14:paraId="3E4AE80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40" w:type="dxa"/>
              <w:left w:w="200" w:type="dxa"/>
              <w:bottom w:w="140" w:type="dxa"/>
              <w:right w:w="200" w:type="dxa"/>
            </w:tcMar>
          </w:tcPr>
          <w:p w14:paraId="3CAB5251"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f₁ — Weighted mean (recommended for MVP and baseline):</w:t>
            </w:r>
          </w:p>
          <w:p w14:paraId="1381CB3D"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T[d,i,j,k] = </w:t>
            </w:r>
            <w:r>
              <w:rPr>
                <w:rFonts w:ascii="Courier New" w:eastAsia="Courier New" w:hAnsi="Courier New" w:cs="Courier New"/>
                <w:color w:val="A8E6CF"/>
                <w:sz w:val="19"/>
                <w:szCs w:val="19"/>
              </w:rPr>
              <w:t>Σᵣ</w:t>
            </w:r>
            <w:r w:rsidRPr="00B1745F">
              <w:rPr>
                <w:rFonts w:ascii="Courier New" w:eastAsia="Courier New" w:hAnsi="Courier New" w:cs="Courier New"/>
                <w:color w:val="A8E6CF"/>
                <w:sz w:val="19"/>
                <w:szCs w:val="19"/>
                <w:lang w:val="en-US"/>
              </w:rPr>
              <w:t xml:space="preserve"> w</w:t>
            </w:r>
            <w:r>
              <w:rPr>
                <w:rFonts w:ascii="Courier New" w:eastAsia="Courier New" w:hAnsi="Courier New" w:cs="Courier New"/>
                <w:color w:val="A8E6CF"/>
                <w:sz w:val="19"/>
                <w:szCs w:val="19"/>
              </w:rPr>
              <w:t>ᵣ</w:t>
            </w:r>
            <w:r w:rsidRPr="00B1745F">
              <w:rPr>
                <w:rFonts w:ascii="Courier New" w:eastAsia="Courier New" w:hAnsi="Courier New" w:cs="Courier New"/>
                <w:color w:val="A8E6CF"/>
                <w:sz w:val="19"/>
                <w:szCs w:val="19"/>
                <w:lang w:val="en-US"/>
              </w:rPr>
              <w:t xml:space="preserve"> · v</w:t>
            </w:r>
            <w:r>
              <w:rPr>
                <w:rFonts w:ascii="Courier New" w:eastAsia="Courier New" w:hAnsi="Courier New" w:cs="Courier New"/>
                <w:color w:val="A8E6CF"/>
                <w:sz w:val="19"/>
                <w:szCs w:val="19"/>
              </w:rPr>
              <w:t>ᵣ</w:t>
            </w:r>
            <w:r w:rsidRPr="00B1745F">
              <w:rPr>
                <w:rFonts w:ascii="Courier New" w:eastAsia="Courier New" w:hAnsi="Courier New" w:cs="Courier New"/>
                <w:color w:val="A8E6CF"/>
                <w:sz w:val="19"/>
                <w:szCs w:val="19"/>
                <w:lang w:val="en-US"/>
              </w:rPr>
              <w:t xml:space="preserve">(i,j,k)  /  </w:t>
            </w:r>
            <w:r>
              <w:rPr>
                <w:rFonts w:ascii="Courier New" w:eastAsia="Courier New" w:hAnsi="Courier New" w:cs="Courier New"/>
                <w:color w:val="A8E6CF"/>
                <w:sz w:val="19"/>
                <w:szCs w:val="19"/>
              </w:rPr>
              <w:t>Σᵣ</w:t>
            </w:r>
            <w:r w:rsidRPr="00B1745F">
              <w:rPr>
                <w:rFonts w:ascii="Courier New" w:eastAsia="Courier New" w:hAnsi="Courier New" w:cs="Courier New"/>
                <w:color w:val="A8E6CF"/>
                <w:sz w:val="19"/>
                <w:szCs w:val="19"/>
                <w:lang w:val="en-US"/>
              </w:rPr>
              <w:t xml:space="preserve"> w</w:t>
            </w:r>
            <w:r>
              <w:rPr>
                <w:rFonts w:ascii="Courier New" w:eastAsia="Courier New" w:hAnsi="Courier New" w:cs="Courier New"/>
                <w:color w:val="A8E6CF"/>
                <w:sz w:val="19"/>
                <w:szCs w:val="19"/>
              </w:rPr>
              <w:t>ᵣ</w:t>
            </w:r>
          </w:p>
          <w:p w14:paraId="755EA685"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Use when: pillars have relatively uniform importance;</w:t>
            </w:r>
          </w:p>
          <w:p w14:paraId="4B272178"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calibration is domain-specific via weight vector w.</w:t>
            </w:r>
          </w:p>
          <w:p w14:paraId="373BDAD3" w14:textId="77777777" w:rsidR="00DC2B9A" w:rsidRPr="00B1745F" w:rsidRDefault="00DC2B9A">
            <w:pPr>
              <w:spacing w:before="20" w:after="20"/>
              <w:rPr>
                <w:lang w:val="en-US"/>
              </w:rPr>
            </w:pPr>
          </w:p>
          <w:p w14:paraId="0E46AF84"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f₂ — L2-norm reduction (for degradation sensitivity):</w:t>
            </w:r>
          </w:p>
          <w:p w14:paraId="48C80CC8"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T[d,i,j,k] = ‖V_{i,j,k}‖₂ / √n</w:t>
            </w:r>
          </w:p>
          <w:p w14:paraId="3D9F267A"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Use when: simultaneous drops across multiple dimensions</w:t>
            </w:r>
          </w:p>
          <w:p w14:paraId="1D93FDA6"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must be detected with higher sensitivity than f₁.</w:t>
            </w:r>
          </w:p>
          <w:p w14:paraId="51768F49" w14:textId="77777777" w:rsidR="00DC2B9A" w:rsidRPr="00B1745F" w:rsidRDefault="00DC2B9A">
            <w:pPr>
              <w:spacing w:before="20" w:after="20"/>
              <w:rPr>
                <w:lang w:val="en-US"/>
              </w:rPr>
            </w:pPr>
          </w:p>
          <w:p w14:paraId="4C63D662"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lastRenderedPageBreak/>
              <w:t>f₃ — CP decomposition (for advanced pattern analysis):</w:t>
            </w:r>
          </w:p>
          <w:p w14:paraId="2D2458E6" w14:textId="77777777" w:rsidR="00DC2B9A" w:rsidRDefault="00B5030D">
            <w:pPr>
              <w:spacing w:before="20" w:after="20"/>
            </w:pP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T ≈ Σᵣ λᵣ · u_d^(r) ⊗ u_i^(r) ⊗ u_j^(r) ⊗ u_k^(r)</w:t>
            </w:r>
          </w:p>
          <w:p w14:paraId="66734D96" w14:textId="77777777" w:rsidR="00DC2B9A" w:rsidRPr="00B1745F" w:rsidRDefault="00B5030D">
            <w:pPr>
              <w:spacing w:before="20" w:after="20"/>
              <w:rPr>
                <w:lang w:val="en-US"/>
              </w:rPr>
            </w:pPr>
            <w:r>
              <w:rPr>
                <w:rFonts w:ascii="Courier New" w:eastAsia="Courier New" w:hAnsi="Courier New" w:cs="Courier New"/>
                <w:color w:val="A8E6CF"/>
                <w:sz w:val="19"/>
                <w:szCs w:val="19"/>
              </w:rPr>
              <w:t xml:space="preserve">   </w:t>
            </w:r>
            <w:r w:rsidRPr="00B1745F">
              <w:rPr>
                <w:rFonts w:ascii="Courier New" w:eastAsia="Courier New" w:hAnsi="Courier New" w:cs="Courier New"/>
                <w:color w:val="A8E6CF"/>
                <w:sz w:val="19"/>
                <w:szCs w:val="19"/>
                <w:lang w:val="en-US"/>
              </w:rPr>
              <w:t>Use when: latent degradation patterns across agents and</w:t>
            </w:r>
          </w:p>
          <w:p w14:paraId="7074721E"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stages are the primary analytical objective [15].</w:t>
            </w:r>
          </w:p>
        </w:tc>
      </w:tr>
    </w:tbl>
    <w:p w14:paraId="5AB51E00" w14:textId="77777777" w:rsidR="00DC2B9A" w:rsidRPr="00B1745F" w:rsidRDefault="00B5030D">
      <w:pPr>
        <w:pStyle w:val="Ttulo3"/>
        <w:spacing w:before="280" w:after="120"/>
        <w:rPr>
          <w:lang w:val="en-US"/>
        </w:rPr>
      </w:pPr>
      <w:r w:rsidRPr="00B1745F">
        <w:rPr>
          <w:color w:val="1A3A5C"/>
          <w:sz w:val="24"/>
          <w:szCs w:val="24"/>
          <w:lang w:val="en-US"/>
        </w:rPr>
        <w:lastRenderedPageBreak/>
        <w:t>4.3.3 Tensor Slicing for the Orchestrator</w:t>
      </w:r>
    </w:p>
    <w:p w14:paraId="714CD9B0" w14:textId="77777777" w:rsidR="00DC2B9A" w:rsidRPr="00B1745F" w:rsidRDefault="00B5030D">
      <w:pPr>
        <w:spacing w:before="60" w:after="120"/>
        <w:jc w:val="both"/>
        <w:rPr>
          <w:lang w:val="en-US"/>
        </w:rPr>
      </w:pPr>
      <w:r w:rsidRPr="00B1745F">
        <w:rPr>
          <w:lang w:val="en-US"/>
        </w:rPr>
        <w:t>The tensor enables four primary slicing operations that map to distinct orchestration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2B9A" w14:paraId="269CE8A0"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C482029" w14:textId="77777777" w:rsidR="00DC2B9A" w:rsidRDefault="00B5030D">
            <w:r>
              <w:rPr>
                <w:b/>
                <w:bCs/>
                <w:sz w:val="21"/>
                <w:szCs w:val="21"/>
              </w:rPr>
              <w:t>Slice operation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69C09" w14:textId="77777777" w:rsidR="00DC2B9A" w:rsidRDefault="00B5030D">
            <w:r>
              <w:rPr>
                <w:sz w:val="21"/>
                <w:szCs w:val="21"/>
              </w:rPr>
              <w:t>Orchestration question answered</w:t>
            </w:r>
          </w:p>
        </w:tc>
      </w:tr>
      <w:tr w:rsidR="00DC2B9A" w:rsidRPr="008A4DC9" w14:paraId="7C7B40E5"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C95166B" w14:textId="77777777" w:rsidR="00DC2B9A" w:rsidRDefault="00B5030D">
            <w:r>
              <w:rPr>
                <w:b/>
                <w:bCs/>
                <w:sz w:val="21"/>
                <w:szCs w:val="21"/>
              </w:rPr>
              <w:t>T</w:t>
            </w:r>
            <w:proofErr w:type="gramStart"/>
            <w:r>
              <w:rPr>
                <w:b/>
                <w:bCs/>
                <w:sz w:val="21"/>
                <w:szCs w:val="21"/>
              </w:rPr>
              <w:t>[:,</w:t>
            </w:r>
            <w:proofErr w:type="gramEnd"/>
            <w:r>
              <w:rPr>
                <w:b/>
                <w:bCs/>
                <w:sz w:val="21"/>
                <w:szCs w:val="21"/>
              </w:rPr>
              <w:t xml:space="preserve"> :, :, k_now]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9EDF9" w14:textId="77777777" w:rsidR="00DC2B9A" w:rsidRPr="00B1745F" w:rsidRDefault="00B5030D">
            <w:pPr>
              <w:rPr>
                <w:lang w:val="en-US"/>
              </w:rPr>
            </w:pPr>
            <w:r w:rsidRPr="00B1745F">
              <w:rPr>
                <w:sz w:val="21"/>
                <w:szCs w:val="21"/>
                <w:lang w:val="en-US"/>
              </w:rPr>
              <w:t>What is the complete state of the system right now?</w:t>
            </w:r>
          </w:p>
        </w:tc>
      </w:tr>
      <w:tr w:rsidR="00DC2B9A" w:rsidRPr="008A4DC9" w14:paraId="2F48A557"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F75906C" w14:textId="77777777" w:rsidR="00DC2B9A" w:rsidRDefault="00B5030D">
            <w:r>
              <w:rPr>
                <w:b/>
                <w:bCs/>
                <w:sz w:val="21"/>
                <w:szCs w:val="21"/>
              </w:rPr>
              <w:t>T</w:t>
            </w:r>
            <w:proofErr w:type="gramStart"/>
            <w:r>
              <w:rPr>
                <w:b/>
                <w:bCs/>
                <w:sz w:val="21"/>
                <w:szCs w:val="21"/>
              </w:rPr>
              <w:t>[:,</w:t>
            </w:r>
            <w:proofErr w:type="gramEnd"/>
            <w:r>
              <w:rPr>
                <w:b/>
                <w:bCs/>
                <w:sz w:val="21"/>
                <w:szCs w:val="21"/>
              </w:rPr>
              <w:t xml:space="preserve"> i, :, :]</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24331" w14:textId="77777777" w:rsidR="00DC2B9A" w:rsidRPr="00B1745F" w:rsidRDefault="00B5030D">
            <w:pPr>
              <w:rPr>
                <w:lang w:val="en-US"/>
              </w:rPr>
            </w:pPr>
            <w:r w:rsidRPr="00B1745F">
              <w:rPr>
                <w:sz w:val="21"/>
                <w:szCs w:val="21"/>
                <w:lang w:val="en-US"/>
              </w:rPr>
              <w:t>How has quality evolved across stage i over time?</w:t>
            </w:r>
          </w:p>
        </w:tc>
      </w:tr>
      <w:tr w:rsidR="00DC2B9A" w:rsidRPr="008A4DC9" w14:paraId="083CD83F"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0FBBBDF" w14:textId="77777777" w:rsidR="00DC2B9A" w:rsidRDefault="00B5030D">
            <w:r>
              <w:rPr>
                <w:b/>
                <w:bCs/>
                <w:sz w:val="21"/>
                <w:szCs w:val="21"/>
              </w:rPr>
              <w:t>T</w:t>
            </w:r>
            <w:proofErr w:type="gramStart"/>
            <w:r>
              <w:rPr>
                <w:b/>
                <w:bCs/>
                <w:sz w:val="21"/>
                <w:szCs w:val="21"/>
              </w:rPr>
              <w:t>[:,</w:t>
            </w:r>
            <w:proofErr w:type="gramEnd"/>
            <w:r>
              <w:rPr>
                <w:b/>
                <w:bCs/>
                <w:sz w:val="21"/>
                <w:szCs w:val="21"/>
              </w:rPr>
              <w:t xml:space="preserve"> :, j, :]</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31582" w14:textId="77777777" w:rsidR="00DC2B9A" w:rsidRPr="00B1745F" w:rsidRDefault="00B5030D">
            <w:pPr>
              <w:rPr>
                <w:lang w:val="en-US"/>
              </w:rPr>
            </w:pPr>
            <w:r w:rsidRPr="00B1745F">
              <w:rPr>
                <w:sz w:val="21"/>
                <w:szCs w:val="21"/>
                <w:lang w:val="en-US"/>
              </w:rPr>
              <w:t>What is the quality trajectory of agent j across all stages?</w:t>
            </w:r>
          </w:p>
        </w:tc>
      </w:tr>
      <w:tr w:rsidR="00DC2B9A" w:rsidRPr="008A4DC9" w14:paraId="1AF9A13C"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140AF52" w14:textId="77777777" w:rsidR="00DC2B9A" w:rsidRDefault="00B5030D">
            <w:r>
              <w:rPr>
                <w:b/>
                <w:bCs/>
                <w:sz w:val="21"/>
                <w:szCs w:val="21"/>
              </w:rPr>
              <w:t>T[d, :, :, :]</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2ACBD" w14:textId="77777777" w:rsidR="00DC2B9A" w:rsidRPr="00B1745F" w:rsidRDefault="00B5030D">
            <w:pPr>
              <w:rPr>
                <w:lang w:val="en-US"/>
              </w:rPr>
            </w:pPr>
            <w:r w:rsidRPr="00B1745F">
              <w:rPr>
                <w:sz w:val="21"/>
                <w:szCs w:val="21"/>
                <w:lang w:val="en-US"/>
              </w:rPr>
              <w:t>How does dimension d (e.g., security_risk) behave across the entire system?</w:t>
            </w:r>
          </w:p>
        </w:tc>
      </w:tr>
      <w:tr w:rsidR="00DC2B9A" w:rsidRPr="008A4DC9" w14:paraId="0A47226F"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5AB34B7" w14:textId="77777777" w:rsidR="00DC2B9A" w:rsidRDefault="00B5030D">
            <w:r>
              <w:rPr>
                <w:b/>
                <w:bCs/>
                <w:sz w:val="21"/>
                <w:szCs w:val="21"/>
              </w:rPr>
              <w:t>T</w:t>
            </w:r>
            <w:proofErr w:type="gramStart"/>
            <w:r>
              <w:rPr>
                <w:b/>
                <w:bCs/>
                <w:sz w:val="21"/>
                <w:szCs w:val="21"/>
              </w:rPr>
              <w:t>[:,</w:t>
            </w:r>
            <w:proofErr w:type="gramEnd"/>
            <w:r>
              <w:rPr>
                <w:b/>
                <w:bCs/>
                <w:sz w:val="21"/>
                <w:szCs w:val="21"/>
              </w:rPr>
              <w:t xml:space="preserve"> :, j₁, k] vs T[:, :, j₂, 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239FB" w14:textId="77777777" w:rsidR="00DC2B9A" w:rsidRPr="00B1745F" w:rsidRDefault="00B5030D">
            <w:pPr>
              <w:rPr>
                <w:lang w:val="en-US"/>
              </w:rPr>
            </w:pPr>
            <w:r w:rsidRPr="00B1745F">
              <w:rPr>
                <w:sz w:val="21"/>
                <w:szCs w:val="21"/>
                <w:lang w:val="en-US"/>
              </w:rPr>
              <w:t>Are two agents producing conflicting quality profiles for the same stage?</w:t>
            </w:r>
          </w:p>
        </w:tc>
      </w:tr>
    </w:tbl>
    <w:p w14:paraId="6600C467" w14:textId="77777777" w:rsidR="00DC2B9A" w:rsidRPr="00B1745F" w:rsidRDefault="00B5030D">
      <w:pPr>
        <w:pStyle w:val="Ttulo2"/>
        <w:rPr>
          <w:lang w:val="en-US"/>
        </w:rPr>
      </w:pPr>
      <w:r w:rsidRPr="00B1745F">
        <w:rPr>
          <w:color w:val="1A3A5C"/>
          <w:sz w:val="24"/>
          <w:szCs w:val="24"/>
          <w:lang w:val="en-US"/>
        </w:rPr>
        <w:t>4.4 Layer 5 — The Inference Model</w:t>
      </w:r>
    </w:p>
    <w:p w14:paraId="467B9994" w14:textId="77777777" w:rsidR="00DC2B9A" w:rsidRPr="00B1745F" w:rsidRDefault="00B5030D">
      <w:pPr>
        <w:spacing w:before="60" w:after="120"/>
        <w:jc w:val="both"/>
        <w:rPr>
          <w:lang w:val="en-US"/>
        </w:rPr>
      </w:pPr>
      <w:r w:rsidRPr="00B1745F">
        <w:rPr>
          <w:lang w:val="en-US"/>
        </w:rPr>
        <w:t>The inference layer I maps the tensor to four structured output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B9A" w:rsidRPr="008A4DC9" w14:paraId="1DAAE57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40" w:type="dxa"/>
              <w:left w:w="200" w:type="dxa"/>
              <w:bottom w:w="140" w:type="dxa"/>
              <w:right w:w="200" w:type="dxa"/>
            </w:tcMar>
          </w:tcPr>
          <w:p w14:paraId="0EBFADC4"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I : T → { </w:t>
            </w:r>
            <w:r>
              <w:rPr>
                <w:rFonts w:ascii="Courier New" w:eastAsia="Courier New" w:hAnsi="Courier New" w:cs="Courier New"/>
                <w:color w:val="A8E6CF"/>
                <w:sz w:val="19"/>
                <w:szCs w:val="19"/>
              </w:rPr>
              <w:t>Ω</w:t>
            </w: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Δ</w:t>
            </w: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Ρ</w:t>
            </w: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Ξ</w:t>
            </w:r>
            <w:r w:rsidRPr="00B1745F">
              <w:rPr>
                <w:rFonts w:ascii="Courier New" w:eastAsia="Courier New" w:hAnsi="Courier New" w:cs="Courier New"/>
                <w:color w:val="A8E6CF"/>
                <w:sz w:val="19"/>
                <w:szCs w:val="19"/>
                <w:lang w:val="en-US"/>
              </w:rPr>
              <w:t xml:space="preserve"> }</w:t>
            </w:r>
          </w:p>
          <w:p w14:paraId="6A79FA5D" w14:textId="77777777" w:rsidR="00DC2B9A" w:rsidRPr="00B1745F" w:rsidRDefault="00DC2B9A">
            <w:pPr>
              <w:spacing w:before="20" w:after="20"/>
              <w:rPr>
                <w:lang w:val="en-US"/>
              </w:rPr>
            </w:pPr>
          </w:p>
          <w:p w14:paraId="6486AA88" w14:textId="77777777" w:rsidR="00DC2B9A" w:rsidRPr="00B1745F" w:rsidRDefault="00B5030D">
            <w:pPr>
              <w:spacing w:before="20" w:after="20"/>
              <w:rPr>
                <w:lang w:val="en-US"/>
              </w:rPr>
            </w:pPr>
            <w:r>
              <w:rPr>
                <w:rFonts w:ascii="Courier New" w:eastAsia="Courier New" w:hAnsi="Courier New" w:cs="Courier New"/>
                <w:color w:val="A8E6CF"/>
                <w:sz w:val="19"/>
                <w:szCs w:val="19"/>
              </w:rPr>
              <w:t>Ω</w:t>
            </w:r>
            <w:r w:rsidRPr="00B1745F">
              <w:rPr>
                <w:rFonts w:ascii="Courier New" w:eastAsia="Courier New" w:hAnsi="Courier New" w:cs="Courier New"/>
                <w:color w:val="A8E6CF"/>
                <w:sz w:val="19"/>
                <w:szCs w:val="19"/>
                <w:lang w:val="en-US"/>
              </w:rPr>
              <w:t xml:space="preserve"> — Global system state:</w:t>
            </w:r>
          </w:p>
          <w:p w14:paraId="1D492110"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Ω</w:t>
            </w:r>
            <w:r w:rsidRPr="00B1745F">
              <w:rPr>
                <w:rFonts w:ascii="Courier New" w:eastAsia="Courier New" w:hAnsi="Courier New" w:cs="Courier New"/>
                <w:color w:val="A8E6CF"/>
                <w:sz w:val="19"/>
                <w:szCs w:val="19"/>
                <w:lang w:val="en-US"/>
              </w:rPr>
              <w:t xml:space="preserve"> = classify( mean(T</w:t>
            </w:r>
            <w:proofErr w:type="gramStart"/>
            <w:r w:rsidRPr="00B1745F">
              <w:rPr>
                <w:rFonts w:ascii="Courier New" w:eastAsia="Courier New" w:hAnsi="Courier New" w:cs="Courier New"/>
                <w:color w:val="A8E6CF"/>
                <w:sz w:val="19"/>
                <w:szCs w:val="19"/>
                <w:lang w:val="en-US"/>
              </w:rPr>
              <w:t>[:,:,:,</w:t>
            </w:r>
            <w:proofErr w:type="gramEnd"/>
            <w:r w:rsidRPr="00B1745F">
              <w:rPr>
                <w:rFonts w:ascii="Courier New" w:eastAsia="Courier New" w:hAnsi="Courier New" w:cs="Courier New"/>
                <w:color w:val="A8E6CF"/>
                <w:sz w:val="19"/>
                <w:szCs w:val="19"/>
                <w:lang w:val="en-US"/>
              </w:rPr>
              <w:t xml:space="preserve">k_now]), </w:t>
            </w:r>
            <w:r>
              <w:rPr>
                <w:rFonts w:ascii="Courier New" w:eastAsia="Courier New" w:hAnsi="Courier New" w:cs="Courier New"/>
                <w:color w:val="A8E6CF"/>
                <w:sz w:val="19"/>
                <w:szCs w:val="19"/>
              </w:rPr>
              <w:t>θ</w:t>
            </w:r>
            <w:r w:rsidRPr="00B1745F">
              <w:rPr>
                <w:rFonts w:ascii="Courier New" w:eastAsia="Courier New" w:hAnsi="Courier New" w:cs="Courier New"/>
                <w:color w:val="A8E6CF"/>
                <w:sz w:val="19"/>
                <w:szCs w:val="19"/>
                <w:lang w:val="en-US"/>
              </w:rPr>
              <w:t xml:space="preserve"> ) → { stable | warning | critical }</w:t>
            </w:r>
          </w:p>
          <w:p w14:paraId="19862DBE"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θ</w:t>
            </w:r>
            <w:r w:rsidRPr="00B1745F">
              <w:rPr>
                <w:rFonts w:ascii="Courier New" w:eastAsia="Courier New" w:hAnsi="Courier New" w:cs="Courier New"/>
                <w:color w:val="A8E6CF"/>
                <w:sz w:val="19"/>
                <w:szCs w:val="19"/>
                <w:lang w:val="en-US"/>
              </w:rPr>
              <w:t>: configurable thresholds per dimension and composite score</w:t>
            </w:r>
          </w:p>
          <w:p w14:paraId="4B959E13" w14:textId="77777777" w:rsidR="00DC2B9A" w:rsidRPr="00B1745F" w:rsidRDefault="00DC2B9A">
            <w:pPr>
              <w:spacing w:before="20" w:after="20"/>
              <w:rPr>
                <w:lang w:val="en-US"/>
              </w:rPr>
            </w:pPr>
          </w:p>
          <w:p w14:paraId="45DE26C1" w14:textId="77777777" w:rsidR="00DC2B9A" w:rsidRPr="00B1745F" w:rsidRDefault="00B5030D">
            <w:pPr>
              <w:spacing w:before="20" w:after="20"/>
              <w:rPr>
                <w:lang w:val="en-US"/>
              </w:rPr>
            </w:pPr>
            <w:r>
              <w:rPr>
                <w:rFonts w:ascii="Courier New" w:eastAsia="Courier New" w:hAnsi="Courier New" w:cs="Courier New"/>
                <w:color w:val="A8E6CF"/>
                <w:sz w:val="19"/>
                <w:szCs w:val="19"/>
              </w:rPr>
              <w:t>Δ</w:t>
            </w:r>
            <w:r w:rsidRPr="00B1745F">
              <w:rPr>
                <w:rFonts w:ascii="Courier New" w:eastAsia="Courier New" w:hAnsi="Courier New" w:cs="Courier New"/>
                <w:color w:val="A8E6CF"/>
                <w:sz w:val="19"/>
                <w:szCs w:val="19"/>
                <w:lang w:val="en-US"/>
              </w:rPr>
              <w:t xml:space="preserve"> — Temporal trend analysis:</w:t>
            </w:r>
          </w:p>
          <w:p w14:paraId="76818A82"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Δ</w:t>
            </w:r>
            <w:r w:rsidRPr="00B1745F">
              <w:rPr>
                <w:rFonts w:ascii="Courier New" w:eastAsia="Courier New" w:hAnsi="Courier New" w:cs="Courier New"/>
                <w:color w:val="A8E6CF"/>
                <w:sz w:val="19"/>
                <w:szCs w:val="19"/>
                <w:lang w:val="en-US"/>
              </w:rPr>
              <w:t>[d,i,j] = T[d,i,j,k] − T[d,i,j,k−1]</w:t>
            </w:r>
          </w:p>
          <w:p w14:paraId="62AB999B"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Sustained </w:t>
            </w:r>
            <w:r>
              <w:rPr>
                <w:rFonts w:ascii="Courier New" w:eastAsia="Courier New" w:hAnsi="Courier New" w:cs="Courier New"/>
                <w:color w:val="A8E6CF"/>
                <w:sz w:val="19"/>
                <w:szCs w:val="19"/>
              </w:rPr>
              <w:t>Δ</w:t>
            </w:r>
            <w:r w:rsidRPr="00B1745F">
              <w:rPr>
                <w:rFonts w:ascii="Courier New" w:eastAsia="Courier New" w:hAnsi="Courier New" w:cs="Courier New"/>
                <w:color w:val="A8E6CF"/>
                <w:sz w:val="19"/>
                <w:szCs w:val="19"/>
                <w:lang w:val="en-US"/>
              </w:rPr>
              <w:t xml:space="preserve"> &lt; 0 on technical_debt predicts future failure</w:t>
            </w:r>
          </w:p>
          <w:p w14:paraId="6C30BD3A"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even when </w:t>
            </w:r>
            <w:r>
              <w:rPr>
                <w:rFonts w:ascii="Courier New" w:eastAsia="Courier New" w:hAnsi="Courier New" w:cs="Courier New"/>
                <w:color w:val="A8E6CF"/>
                <w:sz w:val="19"/>
                <w:szCs w:val="19"/>
              </w:rPr>
              <w:t>Ω</w:t>
            </w:r>
            <w:r w:rsidRPr="00B1745F">
              <w:rPr>
                <w:rFonts w:ascii="Courier New" w:eastAsia="Courier New" w:hAnsi="Courier New" w:cs="Courier New"/>
                <w:color w:val="A8E6CF"/>
                <w:sz w:val="19"/>
                <w:szCs w:val="19"/>
                <w:lang w:val="en-US"/>
              </w:rPr>
              <w:t xml:space="preserve"> = stable. This is the primary early-warning mechanism.</w:t>
            </w:r>
          </w:p>
          <w:p w14:paraId="24D845D2" w14:textId="77777777" w:rsidR="00DC2B9A" w:rsidRPr="00B1745F" w:rsidRDefault="00DC2B9A">
            <w:pPr>
              <w:spacing w:before="20" w:after="20"/>
              <w:rPr>
                <w:lang w:val="en-US"/>
              </w:rPr>
            </w:pPr>
          </w:p>
          <w:p w14:paraId="17FB448F" w14:textId="77777777" w:rsidR="00DC2B9A" w:rsidRPr="00B1745F" w:rsidRDefault="00B5030D">
            <w:pPr>
              <w:spacing w:before="20" w:after="20"/>
              <w:rPr>
                <w:lang w:val="en-US"/>
              </w:rPr>
            </w:pPr>
            <w:r>
              <w:rPr>
                <w:rFonts w:ascii="Courier New" w:eastAsia="Courier New" w:hAnsi="Courier New" w:cs="Courier New"/>
                <w:color w:val="A8E6CF"/>
                <w:sz w:val="19"/>
                <w:szCs w:val="19"/>
              </w:rPr>
              <w:t>Ρ</w:t>
            </w:r>
            <w:r w:rsidRPr="00B1745F">
              <w:rPr>
                <w:rFonts w:ascii="Courier New" w:eastAsia="Courier New" w:hAnsi="Courier New" w:cs="Courier New"/>
                <w:color w:val="A8E6CF"/>
                <w:sz w:val="19"/>
                <w:szCs w:val="19"/>
                <w:lang w:val="en-US"/>
              </w:rPr>
              <w:t xml:space="preserve"> — Systemic risk detection:</w:t>
            </w:r>
          </w:p>
          <w:p w14:paraId="1D81EF6D"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Ρ</w:t>
            </w:r>
            <w:r w:rsidRPr="00B1745F">
              <w:rPr>
                <w:rFonts w:ascii="Courier New" w:eastAsia="Courier New" w:hAnsi="Courier New" w:cs="Courier New"/>
                <w:color w:val="A8E6CF"/>
                <w:sz w:val="19"/>
                <w:szCs w:val="19"/>
                <w:lang w:val="en-US"/>
              </w:rPr>
              <w:t xml:space="preserve"> = detect_conflicts( T</w:t>
            </w:r>
            <w:proofErr w:type="gramStart"/>
            <w:r w:rsidRPr="00B1745F">
              <w:rPr>
                <w:rFonts w:ascii="Courier New" w:eastAsia="Courier New" w:hAnsi="Courier New" w:cs="Courier New"/>
                <w:color w:val="A8E6CF"/>
                <w:sz w:val="19"/>
                <w:szCs w:val="19"/>
                <w:lang w:val="en-US"/>
              </w:rPr>
              <w:t>[:,:,</w:t>
            </w:r>
            <w:proofErr w:type="gramEnd"/>
            <w:r w:rsidRPr="00B1745F">
              <w:rPr>
                <w:rFonts w:ascii="Courier New" w:eastAsia="Courier New" w:hAnsi="Courier New" w:cs="Courier New"/>
                <w:color w:val="A8E6CF"/>
                <w:sz w:val="19"/>
                <w:szCs w:val="19"/>
                <w:lang w:val="en-US"/>
              </w:rPr>
              <w:t>j₁,k], T[:,:,j₂,k] )  ∀ j₁≠j₂</w:t>
            </w:r>
          </w:p>
          <w:p w14:paraId="1CCAFB65"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Identifies inter-agent quality conflicts and correlated failures.</w:t>
            </w:r>
          </w:p>
          <w:p w14:paraId="321B2084" w14:textId="77777777" w:rsidR="00DC2B9A" w:rsidRPr="00B1745F" w:rsidRDefault="00DC2B9A">
            <w:pPr>
              <w:spacing w:before="20" w:after="20"/>
              <w:rPr>
                <w:lang w:val="en-US"/>
              </w:rPr>
            </w:pPr>
          </w:p>
          <w:p w14:paraId="55BB4517" w14:textId="77777777" w:rsidR="00DC2B9A" w:rsidRPr="00B1745F" w:rsidRDefault="00B5030D">
            <w:pPr>
              <w:spacing w:before="20" w:after="20"/>
              <w:rPr>
                <w:lang w:val="en-US"/>
              </w:rPr>
            </w:pPr>
            <w:r>
              <w:rPr>
                <w:rFonts w:ascii="Courier New" w:eastAsia="Courier New" w:hAnsi="Courier New" w:cs="Courier New"/>
                <w:color w:val="A8E6CF"/>
                <w:sz w:val="19"/>
                <w:szCs w:val="19"/>
              </w:rPr>
              <w:t>Ξ</w:t>
            </w:r>
            <w:r w:rsidRPr="00B1745F">
              <w:rPr>
                <w:rFonts w:ascii="Courier New" w:eastAsia="Courier New" w:hAnsi="Courier New" w:cs="Courier New"/>
                <w:color w:val="A8E6CF"/>
                <w:sz w:val="19"/>
                <w:szCs w:val="19"/>
                <w:lang w:val="en-US"/>
              </w:rPr>
              <w:t xml:space="preserve"> — Actionable recommendations:</w:t>
            </w:r>
          </w:p>
          <w:p w14:paraId="0C5654BB"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Ξ</w:t>
            </w:r>
            <w:r w:rsidRPr="00B1745F">
              <w:rPr>
                <w:rFonts w:ascii="Courier New" w:eastAsia="Courier New" w:hAnsi="Courier New" w:cs="Courier New"/>
                <w:color w:val="A8E6CF"/>
                <w:sz w:val="19"/>
                <w:szCs w:val="19"/>
                <w:lang w:val="en-US"/>
              </w:rPr>
              <w:t xml:space="preserve"> = recommend(</w:t>
            </w:r>
            <w:r>
              <w:rPr>
                <w:rFonts w:ascii="Courier New" w:eastAsia="Courier New" w:hAnsi="Courier New" w:cs="Courier New"/>
                <w:color w:val="A8E6CF"/>
                <w:sz w:val="19"/>
                <w:szCs w:val="19"/>
              </w:rPr>
              <w:t>Ω</w:t>
            </w: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Δ</w:t>
            </w: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Ρ</w:t>
            </w:r>
            <w:r w:rsidRPr="00B1745F">
              <w:rPr>
                <w:rFonts w:ascii="Courier New" w:eastAsia="Courier New" w:hAnsi="Courier New" w:cs="Courier New"/>
                <w:color w:val="A8E6CF"/>
                <w:sz w:val="19"/>
                <w:szCs w:val="19"/>
                <w:lang w:val="en-US"/>
              </w:rPr>
              <w:t>) → { action₁, action₂, ... }</w:t>
            </w:r>
          </w:p>
          <w:p w14:paraId="66FD4773"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Ranked by estimated impact: ∂</w:t>
            </w:r>
            <w:r>
              <w:rPr>
                <w:rFonts w:ascii="Courier New" w:eastAsia="Courier New" w:hAnsi="Courier New" w:cs="Courier New"/>
                <w:color w:val="A8E6CF"/>
                <w:sz w:val="19"/>
                <w:szCs w:val="19"/>
              </w:rPr>
              <w:t>Ω</w:t>
            </w:r>
            <w:r w:rsidRPr="00B1745F">
              <w:rPr>
                <w:rFonts w:ascii="Courier New" w:eastAsia="Courier New" w:hAnsi="Courier New" w:cs="Courier New"/>
                <w:color w:val="A8E6CF"/>
                <w:sz w:val="19"/>
                <w:szCs w:val="19"/>
                <w:lang w:val="en-US"/>
              </w:rPr>
              <w:t>/∂action (gradient-based prioritization)</w:t>
            </w:r>
          </w:p>
        </w:tc>
      </w:tr>
    </w:tbl>
    <w:p w14:paraId="4032B6AA" w14:textId="77777777" w:rsidR="00DC2B9A" w:rsidRPr="00B1745F" w:rsidRDefault="00B5030D">
      <w:pPr>
        <w:spacing w:before="60" w:after="120"/>
        <w:jc w:val="both"/>
        <w:rPr>
          <w:lang w:val="en-US"/>
        </w:rPr>
      </w:pPr>
      <w:r w:rsidRPr="00B1745F">
        <w:rPr>
          <w:lang w:val="en-US"/>
        </w:rPr>
        <w:t xml:space="preserve">The trend analysis output </w:t>
      </w:r>
      <w:r>
        <w:t>Δ</w:t>
      </w:r>
      <w:r w:rsidRPr="00B1745F">
        <w:rPr>
          <w:lang w:val="en-US"/>
        </w:rPr>
        <w:t xml:space="preserve"> is the most strategically valuable component of the inference layer. Because it detects directional change rather than threshold breach, it enables intervention before quality reaches critical levels — addressing hypothesis H4 and providing the orchestrator with predictive rather than reactive information.</w:t>
      </w:r>
    </w:p>
    <w:p w14:paraId="749671D2" w14:textId="77777777" w:rsidR="00DC2B9A" w:rsidRPr="00B1745F" w:rsidRDefault="00B5030D">
      <w:pPr>
        <w:pStyle w:val="Ttulo2"/>
        <w:rPr>
          <w:lang w:val="en-US"/>
        </w:rPr>
      </w:pPr>
      <w:r w:rsidRPr="00B1745F">
        <w:rPr>
          <w:color w:val="1A3A5C"/>
          <w:sz w:val="24"/>
          <w:szCs w:val="24"/>
          <w:lang w:val="en-US"/>
        </w:rPr>
        <w:lastRenderedPageBreak/>
        <w:t>4.5 The Natural Cognitive Frontier (NCF): TCO as a Cognitive Positioning System</w:t>
      </w:r>
    </w:p>
    <w:p w14:paraId="4A996BDE" w14:textId="77777777" w:rsidR="00DC2B9A" w:rsidRDefault="00B5030D">
      <w:pPr>
        <w:spacing w:before="60" w:after="120"/>
        <w:jc w:val="both"/>
      </w:pPr>
      <w:r w:rsidRPr="00B1745F">
        <w:rPr>
          <w:lang w:val="en-US"/>
        </w:rPr>
        <w:t xml:space="preserve">The concept of the Natural Cognitive Frontier (NCF) is the central theoretical contribution of TCO. </w:t>
      </w:r>
      <w:r>
        <w:t>We define it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B9A" w:rsidRPr="008A4DC9" w14:paraId="7CDFCC10" w14:textId="77777777">
        <w:tc>
          <w:tcPr>
            <w:tcW w:w="936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60" w:type="dxa"/>
              <w:bottom w:w="80" w:type="dxa"/>
              <w:right w:w="160" w:type="dxa"/>
            </w:tcMar>
          </w:tcPr>
          <w:p w14:paraId="7ACBF0BF" w14:textId="77777777" w:rsidR="00DC2B9A" w:rsidRPr="00B1745F" w:rsidRDefault="00B5030D">
            <w:pPr>
              <w:rPr>
                <w:lang w:val="en-US"/>
              </w:rPr>
            </w:pPr>
            <w:r w:rsidRPr="00B1745F">
              <w:rPr>
                <w:b/>
                <w:bCs/>
                <w:color w:val="FFFFFF"/>
                <w:lang w:val="en-US"/>
              </w:rPr>
              <w:t>Definition — Natural Cognitive Frontier (NCF)</w:t>
            </w:r>
          </w:p>
        </w:tc>
      </w:tr>
      <w:tr w:rsidR="00DC2B9A" w:rsidRPr="008A4DC9" w14:paraId="332F67E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8F5"/>
            <w:tcMar>
              <w:top w:w="100" w:type="dxa"/>
              <w:left w:w="160" w:type="dxa"/>
              <w:bottom w:w="100" w:type="dxa"/>
              <w:right w:w="160" w:type="dxa"/>
            </w:tcMar>
          </w:tcPr>
          <w:p w14:paraId="30A48B9B" w14:textId="77777777" w:rsidR="00DC2B9A" w:rsidRPr="00B1745F" w:rsidRDefault="00B5030D">
            <w:pPr>
              <w:spacing w:after="60"/>
              <w:rPr>
                <w:lang w:val="en-US"/>
              </w:rPr>
            </w:pPr>
            <w:r w:rsidRPr="00B1745F">
              <w:rPr>
                <w:i/>
                <w:iCs/>
                <w:sz w:val="21"/>
                <w:szCs w:val="21"/>
                <w:lang w:val="en-US"/>
              </w:rPr>
              <w:t>The Natural Cognitive Frontier is the level of abstraction at which a human agent operates with maximum cognitive efficiency: demand sufficient to activate real judgment, expressible in the human's natural language, without exceeding the capacity of working memory.</w:t>
            </w:r>
          </w:p>
          <w:p w14:paraId="338C94A6" w14:textId="77777777" w:rsidR="00DC2B9A" w:rsidRPr="00B1745F" w:rsidRDefault="00B5030D">
            <w:pPr>
              <w:rPr>
                <w:lang w:val="en-US"/>
              </w:rPr>
            </w:pPr>
            <w:r w:rsidRPr="00B1745F">
              <w:rPr>
                <w:sz w:val="21"/>
                <w:szCs w:val="21"/>
                <w:lang w:val="en-US"/>
              </w:rPr>
              <w:t>TCO is architecturally designed to maintain the human orchestrator at the NCF by: (1) pre-processing system complexity into semantically interpretable state representations; (2) requiring active interpretive judgment as the mechanism of closure of the bidirectional loop; and (3) accepting policy responses in natural language — the highest-bandwidth cognitive channel available to humans.</w:t>
            </w:r>
          </w:p>
        </w:tc>
      </w:tr>
    </w:tbl>
    <w:p w14:paraId="3CB16986" w14:textId="77777777" w:rsidR="00DC2B9A" w:rsidRPr="00B1745F" w:rsidRDefault="00DC2B9A">
      <w:pPr>
        <w:spacing w:before="60" w:after="60"/>
        <w:rPr>
          <w:lang w:val="en-US"/>
        </w:rPr>
      </w:pPr>
    </w:p>
    <w:p w14:paraId="7D2A0F65" w14:textId="77777777" w:rsidR="00DC2B9A" w:rsidRPr="00B1745F" w:rsidRDefault="00B5030D">
      <w:pPr>
        <w:spacing w:before="60" w:after="120"/>
        <w:jc w:val="both"/>
        <w:rPr>
          <w:lang w:val="en-US"/>
        </w:rPr>
      </w:pPr>
      <w:r w:rsidRPr="00B1745F">
        <w:rPr>
          <w:lang w:val="en-US"/>
        </w:rPr>
        <w:t>The NCF is grounded in three convergent theoretical bases. From Cognitive Load Theory [1], the NCF corresponds to the point where extraneous load is minimized and germane load — the productive effort that generates real oversight value — is maximized. From Vygotsky's Zone of Proximal Development [16], the tensor and inference layer function as scaffolding that elevates the human to their potential development level: systemic judgment and strategic decision-making, rather than line-by-line validation. From Hybrid Cognitive Alignment theory [17], the NCF is the operating point where human and AI representations are mutually interpretable and the interaction loop produces emergent intelligence greater than either party alone.</w:t>
      </w:r>
    </w:p>
    <w:p w14:paraId="519D8E1A" w14:textId="77777777" w:rsidR="00DC2B9A" w:rsidRPr="00B1745F" w:rsidRDefault="00DC2B9A">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C2B9A" w14:paraId="225FA37C" w14:textId="77777777">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20" w:type="dxa"/>
              <w:bottom w:w="80" w:type="dxa"/>
              <w:right w:w="120" w:type="dxa"/>
            </w:tcMar>
          </w:tcPr>
          <w:p w14:paraId="24615164" w14:textId="7716266B" w:rsidR="00DC2B9A" w:rsidRPr="00DE22B8" w:rsidRDefault="00DE22B8" w:rsidP="00DE22B8">
            <w:pPr>
              <w:jc w:val="center"/>
              <w:rPr>
                <w:b/>
                <w:bCs/>
                <w:color w:val="666666"/>
                <w:sz w:val="20"/>
                <w:szCs w:val="20"/>
              </w:rPr>
            </w:pPr>
            <w:r w:rsidRPr="00DE22B8">
              <w:rPr>
                <w:b/>
                <w:bCs/>
                <w:color w:val="666666"/>
                <w:sz w:val="20"/>
                <w:szCs w:val="20"/>
                <w:lang w:val="en"/>
              </w:rPr>
              <w:t>No AI (all manual)</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20" w:type="dxa"/>
              <w:bottom w:w="80" w:type="dxa"/>
              <w:right w:w="120" w:type="dxa"/>
            </w:tcMar>
          </w:tcPr>
          <w:p w14:paraId="447C29EB" w14:textId="61919525" w:rsidR="00DC2B9A" w:rsidRDefault="00DE22B8">
            <w:pPr>
              <w:jc w:val="center"/>
            </w:pPr>
            <w:r>
              <w:rPr>
                <w:b/>
                <w:bCs/>
                <w:color w:val="C0392B"/>
                <w:sz w:val="20"/>
                <w:szCs w:val="20"/>
              </w:rPr>
              <w:t xml:space="preserve">Traditional </w:t>
            </w:r>
            <w:r w:rsidR="00B5030D">
              <w:rPr>
                <w:b/>
                <w:bCs/>
                <w:color w:val="C0392B"/>
                <w:sz w:val="20"/>
                <w:szCs w:val="20"/>
              </w:rPr>
              <w:t>HITL (raw outputs)</w:t>
            </w:r>
          </w:p>
        </w:tc>
        <w:tc>
          <w:tcPr>
            <w:tcW w:w="3120" w:type="dxa"/>
            <w:tcBorders>
              <w:top w:val="single" w:sz="1" w:space="0" w:color="CCCCCC"/>
              <w:left w:val="single" w:sz="1" w:space="0" w:color="CCCCCC"/>
              <w:bottom w:val="single" w:sz="1" w:space="0" w:color="CCCCCC"/>
              <w:right w:val="single" w:sz="1" w:space="0" w:color="CCCCCC"/>
            </w:tcBorders>
            <w:shd w:val="clear" w:color="auto" w:fill="E0F5EF"/>
            <w:tcMar>
              <w:top w:w="90" w:type="dxa"/>
              <w:left w:w="120" w:type="dxa"/>
              <w:bottom w:w="80" w:type="dxa"/>
              <w:right w:w="120" w:type="dxa"/>
            </w:tcMar>
          </w:tcPr>
          <w:p w14:paraId="6A60E5E0" w14:textId="636571C9" w:rsidR="00DC2B9A" w:rsidRDefault="00B5030D">
            <w:pPr>
              <w:jc w:val="center"/>
            </w:pPr>
            <w:r>
              <w:rPr>
                <w:b/>
                <w:bCs/>
                <w:color w:val="0D6B55"/>
                <w:sz w:val="20"/>
                <w:szCs w:val="20"/>
              </w:rPr>
              <w:t>TCO — NCF (</w:t>
            </w:r>
            <w:r w:rsidR="00DE22B8">
              <w:rPr>
                <w:b/>
                <w:bCs/>
                <w:color w:val="0D6B55"/>
                <w:sz w:val="20"/>
                <w:szCs w:val="20"/>
              </w:rPr>
              <w:t>target zone</w:t>
            </w:r>
            <w:r>
              <w:rPr>
                <w:b/>
                <w:bCs/>
                <w:color w:val="0D6B55"/>
                <w:sz w:val="20"/>
                <w:szCs w:val="20"/>
              </w:rPr>
              <w:t>)</w:t>
            </w:r>
          </w:p>
        </w:tc>
      </w:tr>
      <w:tr w:rsidR="00DC2B9A" w:rsidRPr="00DE22B8" w14:paraId="758E9364" w14:textId="77777777">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90" w:type="dxa"/>
              <w:right w:w="120" w:type="dxa"/>
            </w:tcMar>
          </w:tcPr>
          <w:p w14:paraId="4A0F8F1B" w14:textId="727EF26C" w:rsidR="00DC2B9A" w:rsidRPr="00DE22B8" w:rsidRDefault="00DE22B8" w:rsidP="00DE22B8">
            <w:pPr>
              <w:jc w:val="center"/>
              <w:rPr>
                <w:sz w:val="19"/>
                <w:szCs w:val="19"/>
                <w:lang w:val="en-US"/>
              </w:rPr>
            </w:pPr>
            <w:r w:rsidRPr="00DE22B8">
              <w:rPr>
                <w:sz w:val="19"/>
                <w:szCs w:val="19"/>
                <w:lang w:val="en"/>
              </w:rPr>
              <w:t>Low demand but low production capacity. Humans bear the entire burden of production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90" w:type="dxa"/>
              <w:right w:w="120" w:type="dxa"/>
            </w:tcMar>
          </w:tcPr>
          <w:p w14:paraId="51F1EE73" w14:textId="3FB5B068" w:rsidR="00DC2B9A" w:rsidRPr="00DE22B8" w:rsidRDefault="00DE22B8" w:rsidP="00DE22B8">
            <w:pPr>
              <w:jc w:val="center"/>
              <w:rPr>
                <w:sz w:val="19"/>
                <w:szCs w:val="19"/>
                <w:lang w:val="en-US"/>
              </w:rPr>
            </w:pPr>
            <w:r w:rsidRPr="00DE22B8">
              <w:rPr>
                <w:sz w:val="19"/>
                <w:szCs w:val="19"/>
                <w:lang w:val="en"/>
              </w:rPr>
              <w:t>Cognitive overload. Maximum extrinsic load. Brain fry. High error rate due to fatigue.</w:t>
            </w:r>
          </w:p>
        </w:tc>
        <w:tc>
          <w:tcPr>
            <w:tcW w:w="3120" w:type="dxa"/>
            <w:tcBorders>
              <w:top w:val="single" w:sz="1" w:space="0" w:color="CCCCCC"/>
              <w:left w:val="single" w:sz="1" w:space="0" w:color="CCCCCC"/>
              <w:bottom w:val="single" w:sz="1" w:space="0" w:color="CCCCCC"/>
              <w:right w:val="single" w:sz="1" w:space="0" w:color="CCCCCC"/>
            </w:tcBorders>
            <w:shd w:val="clear" w:color="auto" w:fill="E0F5EF"/>
            <w:tcMar>
              <w:top w:w="80" w:type="dxa"/>
              <w:left w:w="120" w:type="dxa"/>
              <w:bottom w:w="90" w:type="dxa"/>
              <w:right w:w="120" w:type="dxa"/>
            </w:tcMar>
          </w:tcPr>
          <w:p w14:paraId="4955A458" w14:textId="0654CD50" w:rsidR="00DC2B9A" w:rsidRPr="00DE22B8" w:rsidRDefault="00DE22B8" w:rsidP="00DE22B8">
            <w:pPr>
              <w:jc w:val="center"/>
              <w:rPr>
                <w:sz w:val="19"/>
                <w:szCs w:val="19"/>
                <w:lang w:val="en-US"/>
              </w:rPr>
            </w:pPr>
            <w:r w:rsidRPr="00DE22B8">
              <w:rPr>
                <w:sz w:val="19"/>
                <w:szCs w:val="19"/>
                <w:lang w:val="en"/>
              </w:rPr>
              <w:t>Calibrated demand. Active German load. Natural language judgment. Maximum cognitive efficiency.</w:t>
            </w:r>
          </w:p>
        </w:tc>
      </w:tr>
    </w:tbl>
    <w:p w14:paraId="79B951D8" w14:textId="77777777" w:rsidR="00DC2B9A" w:rsidRPr="00DE22B8" w:rsidRDefault="00DC2B9A">
      <w:pPr>
        <w:spacing w:before="60" w:after="60"/>
        <w:rPr>
          <w:lang w:val="en-US"/>
        </w:rPr>
      </w:pPr>
    </w:p>
    <w:p w14:paraId="5585C8AC" w14:textId="77777777" w:rsidR="00DC2B9A" w:rsidRPr="00B1745F" w:rsidRDefault="00B5030D">
      <w:pPr>
        <w:spacing w:before="60" w:after="120"/>
        <w:jc w:val="center"/>
        <w:rPr>
          <w:lang w:val="en-US"/>
        </w:rPr>
      </w:pPr>
      <w:r w:rsidRPr="00B1745F">
        <w:rPr>
          <w:i/>
          <w:iCs/>
          <w:color w:val="666666"/>
          <w:sz w:val="18"/>
          <w:szCs w:val="18"/>
          <w:lang w:val="en-US"/>
        </w:rPr>
        <w:t>Table 2. Cognitive demand spectrum across supervision models. TCO targets the NCF zone where human efficiency is maximized.</w:t>
      </w:r>
    </w:p>
    <w:p w14:paraId="08705C68" w14:textId="77777777" w:rsidR="00DC2B9A" w:rsidRPr="00B1745F" w:rsidRDefault="00B5030D">
      <w:pPr>
        <w:pStyle w:val="Ttulo3"/>
        <w:spacing w:before="280" w:after="120"/>
        <w:rPr>
          <w:lang w:val="en-US"/>
        </w:rPr>
      </w:pPr>
      <w:r w:rsidRPr="00B1745F">
        <w:rPr>
          <w:color w:val="1A3A5C"/>
          <w:sz w:val="24"/>
          <w:szCs w:val="24"/>
          <w:lang w:val="en-US"/>
        </w:rPr>
        <w:t>4.5.1 Why Natural Language is the Correct Interface</w:t>
      </w:r>
    </w:p>
    <w:p w14:paraId="5995C72A" w14:textId="77777777" w:rsidR="00DC2B9A" w:rsidRPr="00B1745F" w:rsidRDefault="00B5030D">
      <w:pPr>
        <w:spacing w:before="60" w:after="120"/>
        <w:jc w:val="both"/>
        <w:rPr>
          <w:lang w:val="en-US"/>
        </w:rPr>
      </w:pPr>
      <w:r w:rsidRPr="00B1745F">
        <w:rPr>
          <w:lang w:val="en-US"/>
        </w:rPr>
        <w:t>The policy injection mechanism accepts natural language as the primary input format for re-orchestration instructions. This is a deliberate architectural choice with three justifications.</w:t>
      </w:r>
    </w:p>
    <w:p w14:paraId="620677BD" w14:textId="77777777" w:rsidR="00DC2B9A" w:rsidRPr="00B1745F" w:rsidRDefault="00B5030D">
      <w:pPr>
        <w:spacing w:before="60" w:after="120"/>
        <w:jc w:val="both"/>
        <w:rPr>
          <w:lang w:val="en-US"/>
        </w:rPr>
      </w:pPr>
      <w:r w:rsidRPr="00B1745F">
        <w:rPr>
          <w:lang w:val="en-US"/>
        </w:rPr>
        <w:t>First, natural language is the domain in which human judgment is maximally expressive. A product manager, solution architect, or technical lead can articulate system goals, quality trade-offs, and priority shifts in natural language with a richness and contextual depth that technical configuration interfaces cannot capture.</w:t>
      </w:r>
    </w:p>
    <w:p w14:paraId="2D2C7390" w14:textId="77777777" w:rsidR="00DC2B9A" w:rsidRPr="00B1745F" w:rsidRDefault="00B5030D">
      <w:pPr>
        <w:spacing w:before="60" w:after="120"/>
        <w:jc w:val="both"/>
        <w:rPr>
          <w:lang w:val="en-US"/>
        </w:rPr>
      </w:pPr>
      <w:r w:rsidRPr="00B1745F">
        <w:rPr>
          <w:lang w:val="en-US"/>
        </w:rPr>
        <w:t>Second, natural language eliminates the technical barrier of entry to the orchestrator role. TCO does not require the human to understand agent internals, framework APIs, or configuration syntax. Understanding the business domain, quality objectives, and system goals is sufficient — broadening the pool of effective orchestrators beyond software engineers to product, architecture, and technical leadership roles.</w:t>
      </w:r>
    </w:p>
    <w:p w14:paraId="1D5A365A" w14:textId="77777777" w:rsidR="00DC2B9A" w:rsidRPr="00B1745F" w:rsidRDefault="00B5030D">
      <w:pPr>
        <w:spacing w:before="60" w:after="120"/>
        <w:jc w:val="both"/>
        <w:rPr>
          <w:lang w:val="en-US"/>
        </w:rPr>
      </w:pPr>
      <w:r w:rsidRPr="00B1745F">
        <w:rPr>
          <w:lang w:val="en-US"/>
        </w:rPr>
        <w:lastRenderedPageBreak/>
        <w:t>Third, the act of formulating a natural language policy is itself a cognitive act that mitigates automation bias. The orchestrator cannot passively accept a tensor state — they must read it, interpret it, and compose a response. This composition requires working memory engagement, contextual reasoning, and domain judgment: precisely the cognitive activities that HITL models are designed to preserve but that raw-output supervision suppresses through fatigue.</w:t>
      </w:r>
    </w:p>
    <w:p w14:paraId="28E3E8C6" w14:textId="77777777" w:rsidR="00DC2B9A" w:rsidRPr="00B1745F" w:rsidRDefault="00B5030D">
      <w:pPr>
        <w:pStyle w:val="Ttulo2"/>
        <w:rPr>
          <w:lang w:val="en-US"/>
        </w:rPr>
      </w:pPr>
      <w:r w:rsidRPr="00B1745F">
        <w:rPr>
          <w:color w:val="1A3A5C"/>
          <w:sz w:val="24"/>
          <w:szCs w:val="24"/>
          <w:lang w:val="en-US"/>
        </w:rPr>
        <w:t>4.6 Layer 6 — The Bidirectional Orchestration Loop</w:t>
      </w:r>
    </w:p>
    <w:p w14:paraId="4A65B1BF" w14:textId="77777777" w:rsidR="00DC2B9A" w:rsidRPr="00B1745F" w:rsidRDefault="00B5030D">
      <w:pPr>
        <w:spacing w:before="60" w:after="120"/>
        <w:jc w:val="both"/>
        <w:rPr>
          <w:lang w:val="en-US"/>
        </w:rPr>
      </w:pPr>
      <w:r w:rsidRPr="00B1745F">
        <w:rPr>
          <w:lang w:val="en-US"/>
        </w:rPr>
        <w:t>The complete TCO cycle is formally expressed as a closed bidirectional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B9A" w:rsidRPr="008A4DC9" w14:paraId="17A0D09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40" w:type="dxa"/>
              <w:left w:w="200" w:type="dxa"/>
              <w:bottom w:w="140" w:type="dxa"/>
              <w:right w:w="200" w:type="dxa"/>
            </w:tcMar>
          </w:tcPr>
          <w:p w14:paraId="3A60C09B"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TCO Bidirectional Orchestration Cycle:</w:t>
            </w:r>
          </w:p>
          <w:p w14:paraId="2CC9DA71" w14:textId="77777777" w:rsidR="00DC2B9A" w:rsidRPr="00B1745F" w:rsidRDefault="00DC2B9A">
            <w:pPr>
              <w:spacing w:before="20" w:after="20"/>
              <w:rPr>
                <w:lang w:val="en-US"/>
              </w:rPr>
            </w:pPr>
          </w:p>
          <w:p w14:paraId="56CDFC9D"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A_gen(k)  →  </w:t>
            </w:r>
            <w:r>
              <w:rPr>
                <w:rFonts w:ascii="Courier New" w:eastAsia="Courier New" w:hAnsi="Courier New" w:cs="Courier New"/>
                <w:color w:val="A8E6CF"/>
                <w:sz w:val="19"/>
                <w:szCs w:val="19"/>
              </w:rPr>
              <w:t>φ</w:t>
            </w:r>
            <w:r w:rsidRPr="00B1745F">
              <w:rPr>
                <w:rFonts w:ascii="Courier New" w:eastAsia="Courier New" w:hAnsi="Courier New" w:cs="Courier New"/>
                <w:color w:val="A8E6CF"/>
                <w:sz w:val="19"/>
                <w:szCs w:val="19"/>
                <w:lang w:val="en-US"/>
              </w:rPr>
              <w:t>(A)  →  V_{i,j,k}  →  f(V)  →  T</w:t>
            </w:r>
          </w:p>
          <w:p w14:paraId="3760EB87"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
          <w:p w14:paraId="1C386161"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I(T) → {</w:t>
            </w:r>
            <w:r>
              <w:rPr>
                <w:rFonts w:ascii="Courier New" w:eastAsia="Courier New" w:hAnsi="Courier New" w:cs="Courier New"/>
                <w:color w:val="A8E6CF"/>
                <w:sz w:val="19"/>
                <w:szCs w:val="19"/>
              </w:rPr>
              <w:t>Ω</w:t>
            </w: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Δ</w:t>
            </w: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Ρ</w:t>
            </w: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Ξ</w:t>
            </w:r>
            <w:r w:rsidRPr="00B1745F">
              <w:rPr>
                <w:rFonts w:ascii="Courier New" w:eastAsia="Courier New" w:hAnsi="Courier New" w:cs="Courier New"/>
                <w:color w:val="A8E6CF"/>
                <w:sz w:val="19"/>
                <w:szCs w:val="19"/>
                <w:lang w:val="en-US"/>
              </w:rPr>
              <w:t>}</w:t>
            </w:r>
          </w:p>
          <w:p w14:paraId="39FC76B8"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
          <w:p w14:paraId="25633854"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Human reads state at NCF</w:t>
            </w:r>
          </w:p>
          <w:p w14:paraId="6A74ACEE"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
          <w:p w14:paraId="191B0C11"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P_new = Orchestrate(</w:t>
            </w:r>
            <w:r>
              <w:rPr>
                <w:rFonts w:ascii="Courier New" w:eastAsia="Courier New" w:hAnsi="Courier New" w:cs="Courier New"/>
                <w:color w:val="A8E6CF"/>
                <w:sz w:val="19"/>
                <w:szCs w:val="19"/>
              </w:rPr>
              <w:t>Ξ</w:t>
            </w:r>
            <w:r w:rsidRPr="00B1745F">
              <w:rPr>
                <w:rFonts w:ascii="Courier New" w:eastAsia="Courier New" w:hAnsi="Courier New" w:cs="Courier New"/>
                <w:color w:val="A8E6CF"/>
                <w:sz w:val="19"/>
                <w:szCs w:val="19"/>
                <w:lang w:val="en-US"/>
              </w:rPr>
              <w:t>, judgment, context)</w:t>
            </w:r>
          </w:p>
          <w:p w14:paraId="3DAAA757"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
          <w:p w14:paraId="56E2932A"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Agents ← P_new  [inject policy]</w:t>
            </w:r>
          </w:p>
          <w:p w14:paraId="4D3494F0"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
          <w:p w14:paraId="75429D7E"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A_gen(k+1) = Generate(P_new)  [cycle k+1]</w:t>
            </w:r>
          </w:p>
        </w:tc>
      </w:tr>
    </w:tbl>
    <w:p w14:paraId="0F6F7818" w14:textId="77777777" w:rsidR="00DC2B9A" w:rsidRPr="00B1745F" w:rsidRDefault="00DC2B9A">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C2B9A" w:rsidRPr="00D769F4" w14:paraId="5BA2E91D" w14:textId="77777777">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90" w:type="dxa"/>
              <w:left w:w="120" w:type="dxa"/>
              <w:bottom w:w="90" w:type="dxa"/>
              <w:right w:w="80" w:type="dxa"/>
            </w:tcMar>
            <w:vAlign w:val="center"/>
          </w:tcPr>
          <w:p w14:paraId="425EE385" w14:textId="26B23316" w:rsidR="00DC2B9A" w:rsidRDefault="00B5030D">
            <w:pPr>
              <w:jc w:val="center"/>
            </w:pPr>
            <w:r>
              <w:rPr>
                <w:b/>
                <w:bCs/>
                <w:color w:val="FFFFFF"/>
                <w:sz w:val="20"/>
                <w:szCs w:val="20"/>
              </w:rPr>
              <w:t>①  Gene</w:t>
            </w:r>
            <w:r w:rsidR="00D769F4">
              <w:rPr>
                <w:b/>
                <w:bCs/>
                <w:color w:val="FFFFFF"/>
                <w:sz w:val="20"/>
                <w:szCs w:val="20"/>
              </w:rPr>
              <w:t>ration</w:t>
            </w:r>
          </w:p>
        </w:tc>
        <w:tc>
          <w:tcPr>
            <w:tcW w:w="776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60" w:type="dxa"/>
              <w:bottom w:w="90" w:type="dxa"/>
              <w:right w:w="120" w:type="dxa"/>
            </w:tcMar>
          </w:tcPr>
          <w:p w14:paraId="4D4B4500" w14:textId="691F3983" w:rsidR="00DC2B9A" w:rsidRPr="00D769F4" w:rsidRDefault="00D769F4">
            <w:pPr>
              <w:rPr>
                <w:sz w:val="21"/>
                <w:szCs w:val="21"/>
                <w:lang w:val="en-US"/>
              </w:rPr>
            </w:pPr>
            <w:r w:rsidRPr="00D769F4">
              <w:rPr>
                <w:sz w:val="21"/>
                <w:szCs w:val="21"/>
                <w:lang w:val="en"/>
              </w:rPr>
              <w:t>AI agents generate software artifacts (code, configurations, designs, pipelines).</w:t>
            </w:r>
          </w:p>
        </w:tc>
      </w:tr>
      <w:tr w:rsidR="00DC2B9A" w:rsidRPr="00D769F4" w14:paraId="3F2D9523" w14:textId="77777777">
        <w:tc>
          <w:tcPr>
            <w:tcW w:w="1600" w:type="dxa"/>
            <w:tcBorders>
              <w:top w:val="single" w:sz="1" w:space="0" w:color="CCCCCC"/>
              <w:left w:val="single" w:sz="1" w:space="0" w:color="CCCCCC"/>
              <w:bottom w:val="single" w:sz="1" w:space="0" w:color="CCCCCC"/>
              <w:right w:val="single" w:sz="1" w:space="0" w:color="CCCCCC"/>
            </w:tcBorders>
            <w:shd w:val="clear" w:color="auto" w:fill="0D6B55"/>
            <w:tcMar>
              <w:top w:w="90" w:type="dxa"/>
              <w:left w:w="120" w:type="dxa"/>
              <w:bottom w:w="90" w:type="dxa"/>
              <w:right w:w="80" w:type="dxa"/>
            </w:tcMar>
            <w:vAlign w:val="center"/>
          </w:tcPr>
          <w:p w14:paraId="3B732E1B" w14:textId="77777777" w:rsidR="00D769F4" w:rsidRDefault="00B5030D">
            <w:pPr>
              <w:jc w:val="center"/>
              <w:rPr>
                <w:b/>
                <w:bCs/>
                <w:color w:val="FFFFFF"/>
                <w:sz w:val="20"/>
                <w:szCs w:val="20"/>
              </w:rPr>
            </w:pPr>
            <w:r>
              <w:rPr>
                <w:b/>
                <w:bCs/>
                <w:color w:val="FFFFFF"/>
                <w:sz w:val="20"/>
                <w:szCs w:val="20"/>
              </w:rPr>
              <w:t>②</w:t>
            </w:r>
            <w:r w:rsidR="00D769F4">
              <w:rPr>
                <w:b/>
                <w:bCs/>
                <w:color w:val="FFFFFF"/>
                <w:sz w:val="20"/>
                <w:szCs w:val="20"/>
              </w:rPr>
              <w:t xml:space="preserve"> </w:t>
            </w:r>
          </w:p>
          <w:p w14:paraId="13D5EEC1" w14:textId="02BA2D94" w:rsidR="00DC2B9A" w:rsidRDefault="00B5030D">
            <w:pPr>
              <w:jc w:val="center"/>
            </w:pPr>
            <w:r>
              <w:rPr>
                <w:b/>
                <w:bCs/>
                <w:color w:val="FFFFFF"/>
                <w:sz w:val="20"/>
                <w:szCs w:val="20"/>
              </w:rPr>
              <w:t>QA</w:t>
            </w:r>
            <w:r w:rsidR="00D769F4">
              <w:rPr>
                <w:b/>
                <w:bCs/>
                <w:color w:val="FFFFFF"/>
                <w:sz w:val="20"/>
                <w:szCs w:val="20"/>
              </w:rPr>
              <w:t xml:space="preserve"> Evaluation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14:paraId="11352733" w14:textId="503142B7" w:rsidR="00DC2B9A" w:rsidRPr="00D769F4" w:rsidRDefault="00D769F4">
            <w:pPr>
              <w:rPr>
                <w:sz w:val="21"/>
                <w:szCs w:val="21"/>
                <w:lang w:val="en-US"/>
              </w:rPr>
            </w:pPr>
            <w:r w:rsidRPr="00D769F4">
              <w:rPr>
                <w:sz w:val="21"/>
                <w:szCs w:val="21"/>
                <w:lang w:val="en"/>
              </w:rPr>
              <w:t>QA agents analyze each artifact and produce raw metrics per quality pillar.</w:t>
            </w:r>
          </w:p>
        </w:tc>
      </w:tr>
      <w:tr w:rsidR="00DC2B9A" w:rsidRPr="00D769F4" w14:paraId="446063B0" w14:textId="77777777">
        <w:tc>
          <w:tcPr>
            <w:tcW w:w="1600" w:type="dxa"/>
            <w:tcBorders>
              <w:top w:val="single" w:sz="1" w:space="0" w:color="CCCCCC"/>
              <w:left w:val="single" w:sz="1" w:space="0" w:color="CCCCCC"/>
              <w:bottom w:val="single" w:sz="1" w:space="0" w:color="CCCCCC"/>
              <w:right w:val="single" w:sz="1" w:space="0" w:color="CCCCCC"/>
            </w:tcBorders>
            <w:shd w:val="clear" w:color="auto" w:fill="0D6B55"/>
            <w:tcMar>
              <w:top w:w="90" w:type="dxa"/>
              <w:left w:w="120" w:type="dxa"/>
              <w:bottom w:w="90" w:type="dxa"/>
              <w:right w:w="80" w:type="dxa"/>
            </w:tcMar>
            <w:vAlign w:val="center"/>
          </w:tcPr>
          <w:p w14:paraId="52BF2FBD" w14:textId="14B5366B" w:rsidR="00DC2B9A" w:rsidRDefault="00B5030D">
            <w:pPr>
              <w:jc w:val="center"/>
            </w:pPr>
            <w:r>
              <w:rPr>
                <w:b/>
                <w:bCs/>
                <w:color w:val="FFFFFF"/>
                <w:sz w:val="20"/>
                <w:szCs w:val="20"/>
              </w:rPr>
              <w:t>③  Vectori</w:t>
            </w:r>
            <w:r w:rsidR="00D769F4">
              <w:rPr>
                <w:b/>
                <w:bCs/>
                <w:color w:val="FFFFFF"/>
                <w:sz w:val="20"/>
                <w:szCs w:val="20"/>
              </w:rPr>
              <w:t>zation</w:t>
            </w:r>
            <w:r>
              <w:rPr>
                <w:b/>
                <w:bCs/>
                <w:color w:val="FFFFFF"/>
                <w:sz w:val="20"/>
                <w:szCs w:val="20"/>
              </w:rPr>
              <w:t>φ</w:t>
            </w:r>
          </w:p>
        </w:tc>
        <w:tc>
          <w:tcPr>
            <w:tcW w:w="776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60" w:type="dxa"/>
              <w:bottom w:w="90" w:type="dxa"/>
              <w:right w:w="120" w:type="dxa"/>
            </w:tcMar>
          </w:tcPr>
          <w:p w14:paraId="0B973F34" w14:textId="1DB8CECF" w:rsidR="00DC2B9A" w:rsidRPr="00D769F4" w:rsidRDefault="00B5030D">
            <w:pPr>
              <w:rPr>
                <w:sz w:val="21"/>
                <w:szCs w:val="21"/>
                <w:lang w:val="en-US"/>
              </w:rPr>
            </w:pPr>
            <w:r>
              <w:rPr>
                <w:sz w:val="21"/>
                <w:szCs w:val="21"/>
              </w:rPr>
              <w:t>φ</w:t>
            </w:r>
            <w:r w:rsidRPr="00D769F4">
              <w:rPr>
                <w:sz w:val="21"/>
                <w:szCs w:val="21"/>
                <w:lang w:val="en-US"/>
              </w:rPr>
              <w:t xml:space="preserve"> </w:t>
            </w:r>
            <w:r w:rsidR="00D769F4" w:rsidRPr="00D769F4">
              <w:rPr>
                <w:sz w:val="21"/>
                <w:szCs w:val="21"/>
                <w:lang w:val="en"/>
              </w:rPr>
              <w:t xml:space="preserve">transforms raw metrics into normalized and semantically comparable vectors V </w:t>
            </w:r>
            <w:r w:rsidR="00D769F4" w:rsidRPr="00D769F4">
              <w:rPr>
                <w:rFonts w:ascii="Cambria Math" w:hAnsi="Cambria Math" w:cs="Cambria Math"/>
                <w:sz w:val="21"/>
                <w:szCs w:val="21"/>
                <w:lang w:val="en"/>
              </w:rPr>
              <w:t>∈</w:t>
            </w:r>
            <w:r w:rsidR="00D769F4" w:rsidRPr="00D769F4">
              <w:rPr>
                <w:sz w:val="21"/>
                <w:szCs w:val="21"/>
                <w:lang w:val="en"/>
              </w:rPr>
              <w:t xml:space="preserve"> [0,1]¹¹.</w:t>
            </w:r>
          </w:p>
        </w:tc>
      </w:tr>
      <w:tr w:rsidR="00DC2B9A" w:rsidRPr="00D769F4" w14:paraId="06D848BA" w14:textId="77777777">
        <w:tc>
          <w:tcPr>
            <w:tcW w:w="1600" w:type="dxa"/>
            <w:tcBorders>
              <w:top w:val="single" w:sz="1" w:space="0" w:color="CCCCCC"/>
              <w:left w:val="single" w:sz="1" w:space="0" w:color="CCCCCC"/>
              <w:bottom w:val="single" w:sz="1" w:space="0" w:color="CCCCCC"/>
              <w:right w:val="single" w:sz="1" w:space="0" w:color="CCCCCC"/>
            </w:tcBorders>
            <w:shd w:val="clear" w:color="auto" w:fill="4A3B9C"/>
            <w:tcMar>
              <w:top w:w="90" w:type="dxa"/>
              <w:left w:w="120" w:type="dxa"/>
              <w:bottom w:w="90" w:type="dxa"/>
              <w:right w:w="80" w:type="dxa"/>
            </w:tcMar>
            <w:vAlign w:val="center"/>
          </w:tcPr>
          <w:p w14:paraId="40DD40D0" w14:textId="27CBBD33" w:rsidR="00DC2B9A" w:rsidRDefault="00B5030D">
            <w:pPr>
              <w:jc w:val="center"/>
            </w:pPr>
            <w:r>
              <w:rPr>
                <w:b/>
                <w:bCs/>
                <w:color w:val="FFFFFF"/>
                <w:sz w:val="20"/>
                <w:szCs w:val="20"/>
              </w:rPr>
              <w:t>④  Ag</w:t>
            </w:r>
            <w:r w:rsidR="00D769F4">
              <w:rPr>
                <w:b/>
                <w:bCs/>
                <w:color w:val="FFFFFF"/>
                <w:sz w:val="20"/>
                <w:szCs w:val="20"/>
              </w:rPr>
              <w:t>g</w:t>
            </w:r>
            <w:r>
              <w:rPr>
                <w:b/>
                <w:bCs/>
                <w:color w:val="FFFFFF"/>
                <w:sz w:val="20"/>
                <w:szCs w:val="20"/>
              </w:rPr>
              <w:t>rega</w:t>
            </w:r>
            <w:r w:rsidR="00D769F4">
              <w:rPr>
                <w:b/>
                <w:bCs/>
                <w:color w:val="FFFFFF"/>
                <w:sz w:val="20"/>
                <w:szCs w:val="20"/>
              </w:rPr>
              <w:t>t</w:t>
            </w:r>
            <w:r>
              <w:rPr>
                <w:b/>
                <w:bCs/>
                <w:color w:val="FFFFFF"/>
                <w:sz w:val="20"/>
                <w:szCs w:val="20"/>
              </w:rPr>
              <w:t>i</w:t>
            </w:r>
            <w:r w:rsidR="00D769F4">
              <w:rPr>
                <w:b/>
                <w:bCs/>
                <w:color w:val="FFFFFF"/>
                <w:sz w:val="20"/>
                <w:szCs w:val="20"/>
              </w:rPr>
              <w:t>o</w:t>
            </w:r>
            <w:r>
              <w:rPr>
                <w:b/>
                <w:bCs/>
                <w:color w:val="FFFFFF"/>
                <w:sz w:val="20"/>
                <w:szCs w:val="20"/>
              </w:rPr>
              <w:t>n f</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14:paraId="030C384B" w14:textId="6C91E6F8" w:rsidR="00DC2B9A" w:rsidRPr="00D769F4" w:rsidRDefault="00B5030D">
            <w:pPr>
              <w:rPr>
                <w:sz w:val="21"/>
                <w:szCs w:val="21"/>
                <w:lang w:val="en-US"/>
              </w:rPr>
            </w:pPr>
            <w:r w:rsidRPr="00D769F4">
              <w:rPr>
                <w:sz w:val="21"/>
                <w:szCs w:val="21"/>
                <w:lang w:val="en-US"/>
              </w:rPr>
              <w:t xml:space="preserve">f </w:t>
            </w:r>
            <w:proofErr w:type="gramStart"/>
            <w:r w:rsidR="00D769F4" w:rsidRPr="00D769F4">
              <w:rPr>
                <w:sz w:val="21"/>
                <w:szCs w:val="21"/>
                <w:lang w:val="en"/>
              </w:rPr>
              <w:t>add</w:t>
            </w:r>
            <w:proofErr w:type="gramEnd"/>
            <w:r w:rsidR="00D769F4" w:rsidRPr="00D769F4">
              <w:rPr>
                <w:sz w:val="21"/>
                <w:szCs w:val="21"/>
                <w:lang w:val="en"/>
              </w:rPr>
              <w:t xml:space="preserve"> the vectors in the tensor T[d,i,j,k], capturing the global state stage × agent × time.</w:t>
            </w:r>
          </w:p>
        </w:tc>
      </w:tr>
      <w:tr w:rsidR="00DC2B9A" w:rsidRPr="00D769F4" w14:paraId="11244B8A" w14:textId="77777777">
        <w:tc>
          <w:tcPr>
            <w:tcW w:w="1600" w:type="dxa"/>
            <w:tcBorders>
              <w:top w:val="single" w:sz="1" w:space="0" w:color="CCCCCC"/>
              <w:left w:val="single" w:sz="1" w:space="0" w:color="CCCCCC"/>
              <w:bottom w:val="single" w:sz="1" w:space="0" w:color="CCCCCC"/>
              <w:right w:val="single" w:sz="1" w:space="0" w:color="CCCCCC"/>
            </w:tcBorders>
            <w:shd w:val="clear" w:color="auto" w:fill="B8690F"/>
            <w:tcMar>
              <w:top w:w="90" w:type="dxa"/>
              <w:left w:w="120" w:type="dxa"/>
              <w:bottom w:w="90" w:type="dxa"/>
              <w:right w:w="80" w:type="dxa"/>
            </w:tcMar>
            <w:vAlign w:val="center"/>
          </w:tcPr>
          <w:p w14:paraId="10A87E9D" w14:textId="77777777" w:rsidR="00D769F4" w:rsidRDefault="00B5030D">
            <w:pPr>
              <w:jc w:val="center"/>
              <w:rPr>
                <w:b/>
                <w:bCs/>
                <w:color w:val="FFFFFF"/>
                <w:sz w:val="20"/>
                <w:szCs w:val="20"/>
              </w:rPr>
            </w:pPr>
            <w:r>
              <w:rPr>
                <w:b/>
                <w:bCs/>
                <w:color w:val="FFFFFF"/>
                <w:sz w:val="20"/>
                <w:szCs w:val="20"/>
              </w:rPr>
              <w:t xml:space="preserve">⑤  </w:t>
            </w:r>
          </w:p>
          <w:p w14:paraId="326AB2E2" w14:textId="6B11459D" w:rsidR="00DC2B9A" w:rsidRDefault="00B5030D">
            <w:pPr>
              <w:jc w:val="center"/>
            </w:pPr>
            <w:r>
              <w:rPr>
                <w:b/>
                <w:bCs/>
                <w:color w:val="FFFFFF"/>
                <w:sz w:val="20"/>
                <w:szCs w:val="20"/>
              </w:rPr>
              <w:t>Inferenc</w:t>
            </w:r>
            <w:r w:rsidR="00D769F4">
              <w:rPr>
                <w:b/>
                <w:bCs/>
                <w:color w:val="FFFFFF"/>
                <w:sz w:val="20"/>
                <w:szCs w:val="20"/>
              </w:rPr>
              <w:t>e</w:t>
            </w:r>
            <w:r>
              <w:rPr>
                <w:b/>
                <w:bCs/>
                <w:color w:val="FFFFFF"/>
                <w:sz w:val="20"/>
                <w:szCs w:val="20"/>
              </w:rPr>
              <w:t xml:space="preserve"> I</w:t>
            </w:r>
          </w:p>
        </w:tc>
        <w:tc>
          <w:tcPr>
            <w:tcW w:w="776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60" w:type="dxa"/>
              <w:bottom w:w="90" w:type="dxa"/>
              <w:right w:w="120" w:type="dxa"/>
            </w:tcMar>
          </w:tcPr>
          <w:p w14:paraId="425D521F" w14:textId="17D51E52" w:rsidR="00DC2B9A" w:rsidRPr="00D769F4" w:rsidRDefault="00B5030D">
            <w:pPr>
              <w:rPr>
                <w:sz w:val="21"/>
                <w:szCs w:val="21"/>
                <w:lang w:val="en-US"/>
              </w:rPr>
            </w:pPr>
            <w:r w:rsidRPr="00D769F4">
              <w:rPr>
                <w:sz w:val="21"/>
                <w:szCs w:val="21"/>
                <w:lang w:val="en-US"/>
              </w:rPr>
              <w:t xml:space="preserve">I </w:t>
            </w:r>
            <w:proofErr w:type="gramStart"/>
            <w:r w:rsidR="00D769F4" w:rsidRPr="00D769F4">
              <w:rPr>
                <w:sz w:val="21"/>
                <w:szCs w:val="21"/>
                <w:lang w:val="en"/>
              </w:rPr>
              <w:t>produces</w:t>
            </w:r>
            <w:proofErr w:type="gramEnd"/>
            <w:r w:rsidR="00D769F4" w:rsidRPr="00D769F4">
              <w:rPr>
                <w:sz w:val="21"/>
                <w:szCs w:val="21"/>
                <w:lang w:val="en"/>
              </w:rPr>
              <w:t xml:space="preserve"> {Ω, Δ, Ρ, Ξ}: global status, trends, risks and prioritized recommendations.</w:t>
            </w:r>
          </w:p>
        </w:tc>
      </w:tr>
      <w:tr w:rsidR="00DC2B9A" w:rsidRPr="00D769F4" w14:paraId="7179F2C0" w14:textId="77777777">
        <w:tc>
          <w:tcPr>
            <w:tcW w:w="1600" w:type="dxa"/>
            <w:tcBorders>
              <w:top w:val="single" w:sz="1" w:space="0" w:color="CCCCCC"/>
              <w:left w:val="single" w:sz="1" w:space="0" w:color="CCCCCC"/>
              <w:bottom w:val="single" w:sz="1" w:space="0" w:color="CCCCCC"/>
              <w:right w:val="single" w:sz="1" w:space="0" w:color="CCCCCC"/>
            </w:tcBorders>
            <w:shd w:val="clear" w:color="auto" w:fill="2E6DA4"/>
            <w:tcMar>
              <w:top w:w="90" w:type="dxa"/>
              <w:left w:w="120" w:type="dxa"/>
              <w:bottom w:w="90" w:type="dxa"/>
              <w:right w:w="80" w:type="dxa"/>
            </w:tcMar>
            <w:vAlign w:val="center"/>
          </w:tcPr>
          <w:p w14:paraId="3872A7E1" w14:textId="7FD6B601" w:rsidR="00DC2B9A" w:rsidRDefault="00B5030D">
            <w:pPr>
              <w:jc w:val="center"/>
            </w:pPr>
            <w:r>
              <w:rPr>
                <w:b/>
                <w:bCs/>
                <w:color w:val="FFFFFF"/>
                <w:sz w:val="20"/>
                <w:szCs w:val="20"/>
              </w:rPr>
              <w:t xml:space="preserve">⑥  </w:t>
            </w:r>
            <w:r w:rsidR="00D769F4">
              <w:rPr>
                <w:b/>
                <w:bCs/>
                <w:color w:val="FFFFFF"/>
                <w:sz w:val="20"/>
                <w:szCs w:val="20"/>
              </w:rPr>
              <w:t>Human Orchestration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14:paraId="219F25CD" w14:textId="1CF1F1AA" w:rsidR="00DC2B9A" w:rsidRPr="00D769F4" w:rsidRDefault="00D769F4">
            <w:pPr>
              <w:rPr>
                <w:sz w:val="21"/>
                <w:szCs w:val="21"/>
                <w:lang w:val="en-US"/>
              </w:rPr>
            </w:pPr>
            <w:r w:rsidRPr="00D769F4">
              <w:rPr>
                <w:sz w:val="21"/>
                <w:szCs w:val="21"/>
                <w:lang w:val="en"/>
              </w:rPr>
              <w:t>The human reads the tensor state, interprets it in their Natural Cognitive Boundary (NCB), and formulates P_new in natural language.</w:t>
            </w:r>
          </w:p>
        </w:tc>
      </w:tr>
      <w:tr w:rsidR="00DC2B9A" w:rsidRPr="00D769F4" w14:paraId="02376F4D" w14:textId="77777777">
        <w:tc>
          <w:tcPr>
            <w:tcW w:w="1600" w:type="dxa"/>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80" w:type="dxa"/>
            </w:tcMar>
            <w:vAlign w:val="center"/>
          </w:tcPr>
          <w:p w14:paraId="6E62A250" w14:textId="77777777" w:rsidR="00DC2B9A" w:rsidRDefault="00B5030D">
            <w:pPr>
              <w:jc w:val="center"/>
            </w:pPr>
            <w:r>
              <w:rPr>
                <w:b/>
                <w:bCs/>
                <w:color w:val="FFFFFF"/>
                <w:sz w:val="20"/>
                <w:szCs w:val="20"/>
              </w:rPr>
              <w:t>⑦  Policy Injection</w:t>
            </w:r>
          </w:p>
        </w:tc>
        <w:tc>
          <w:tcPr>
            <w:tcW w:w="7760" w:type="dxa"/>
            <w:tcBorders>
              <w:top w:val="single" w:sz="1" w:space="0" w:color="CCCCCC"/>
              <w:left w:val="single" w:sz="1" w:space="0" w:color="CCCCCC"/>
              <w:bottom w:val="single" w:sz="1" w:space="0" w:color="CCCCCC"/>
              <w:right w:val="single" w:sz="1" w:space="0" w:color="CCCCCC"/>
            </w:tcBorders>
            <w:shd w:val="clear" w:color="auto" w:fill="F4F6F8"/>
            <w:tcMar>
              <w:top w:w="90" w:type="dxa"/>
              <w:left w:w="160" w:type="dxa"/>
              <w:bottom w:w="90" w:type="dxa"/>
              <w:right w:w="120" w:type="dxa"/>
            </w:tcMar>
          </w:tcPr>
          <w:p w14:paraId="58F9CCEC" w14:textId="7F7A49F4" w:rsidR="00DC2B9A" w:rsidRPr="00D769F4" w:rsidRDefault="00D769F4">
            <w:pPr>
              <w:rPr>
                <w:sz w:val="21"/>
                <w:szCs w:val="21"/>
                <w:lang w:val="en-US"/>
              </w:rPr>
            </w:pPr>
            <w:r w:rsidRPr="00D769F4">
              <w:rPr>
                <w:sz w:val="21"/>
                <w:szCs w:val="21"/>
                <w:lang w:val="en"/>
              </w:rPr>
              <w:t>P_new is injected as new instructions to the generating agents. The cycle restarts from</w:t>
            </w:r>
            <w:r w:rsidR="00B5030D" w:rsidRPr="00D769F4">
              <w:rPr>
                <w:sz w:val="21"/>
                <w:szCs w:val="21"/>
                <w:lang w:val="en-US"/>
              </w:rPr>
              <w:t xml:space="preserve"> ①.</w:t>
            </w:r>
          </w:p>
        </w:tc>
      </w:tr>
    </w:tbl>
    <w:p w14:paraId="23B5903A" w14:textId="77777777" w:rsidR="00DC2B9A" w:rsidRPr="00D769F4" w:rsidRDefault="00DC2B9A">
      <w:pPr>
        <w:spacing w:before="60" w:after="60"/>
        <w:rPr>
          <w:lang w:val="en-US"/>
        </w:rPr>
      </w:pPr>
    </w:p>
    <w:p w14:paraId="076ABDD8" w14:textId="77777777" w:rsidR="00DC2B9A" w:rsidRPr="00B1745F" w:rsidRDefault="00B5030D">
      <w:pPr>
        <w:spacing w:before="60" w:after="120"/>
        <w:jc w:val="center"/>
        <w:rPr>
          <w:lang w:val="en-US"/>
        </w:rPr>
      </w:pPr>
      <w:r w:rsidRPr="00B1745F">
        <w:rPr>
          <w:i/>
          <w:iCs/>
          <w:color w:val="666666"/>
          <w:sz w:val="18"/>
          <w:szCs w:val="18"/>
          <w:lang w:val="en-US"/>
        </w:rPr>
        <w:t>Figure 2. TCO bidirectional orchestration cycle. Seven sequential steps from artifact generation to policy injection and re-orchestration.</w:t>
      </w:r>
    </w:p>
    <w:p w14:paraId="2501B780" w14:textId="77777777" w:rsidR="00DC2B9A" w:rsidRPr="00B1745F" w:rsidRDefault="00B5030D">
      <w:pPr>
        <w:spacing w:before="60" w:after="120"/>
        <w:jc w:val="both"/>
        <w:rPr>
          <w:lang w:val="en-US"/>
        </w:rPr>
      </w:pPr>
      <w:r w:rsidRPr="00B1745F">
        <w:rPr>
          <w:lang w:val="en-US"/>
        </w:rPr>
        <w:t xml:space="preserve">The variable P_new is a natural language policy reformulation — not a technical configuration delta. It may take forms such as: "Prioritize observability instrumentation in the build stage before the next deploy cycle," or "The security agent is flagging false positives on the authentication module — add context about the OAuth2 implementation before re-evaluating." These instructions carry semantic richness that no automated system can generate, because they combine tensor-state information </w:t>
      </w:r>
      <w:r w:rsidRPr="00B1745F">
        <w:rPr>
          <w:lang w:val="en-US"/>
        </w:rPr>
        <w:lastRenderedPageBreak/>
        <w:t>with business context, architectural intent, and organizational priorities held by the human orchestrator.</w:t>
      </w:r>
    </w:p>
    <w:p w14:paraId="4DE96D89" w14:textId="77777777" w:rsidR="00DC2B9A" w:rsidRPr="00B1745F" w:rsidRDefault="00DC2B9A">
      <w:pPr>
        <w:spacing w:before="60" w:after="60"/>
        <w:rPr>
          <w:lang w:val="en-US"/>
        </w:rPr>
      </w:pPr>
    </w:p>
    <w:p w14:paraId="0F1BF7EA" w14:textId="77777777" w:rsidR="00DC2B9A" w:rsidRPr="00B1745F" w:rsidRDefault="00B5030D">
      <w:pPr>
        <w:rPr>
          <w:lang w:val="en-US"/>
        </w:rPr>
      </w:pPr>
      <w:r w:rsidRPr="00B1745F">
        <w:rPr>
          <w:lang w:val="en-US"/>
        </w:rPr>
        <w:br w:type="page"/>
      </w:r>
    </w:p>
    <w:p w14:paraId="3F028900" w14:textId="77777777" w:rsidR="00DC2B9A" w:rsidRPr="00B1745F" w:rsidRDefault="00B5030D">
      <w:pPr>
        <w:pStyle w:val="Ttulo1"/>
        <w:spacing w:before="280" w:after="120"/>
        <w:rPr>
          <w:lang w:val="en-US"/>
        </w:rPr>
      </w:pPr>
      <w:r w:rsidRPr="00B1745F">
        <w:rPr>
          <w:sz w:val="24"/>
          <w:szCs w:val="24"/>
          <w:lang w:val="en-US"/>
        </w:rPr>
        <w:lastRenderedPageBreak/>
        <w:t>5. Research Objectives and Hypotheses</w:t>
      </w:r>
    </w:p>
    <w:p w14:paraId="5F4E994B" w14:textId="77777777" w:rsidR="00DC2B9A" w:rsidRPr="00B1745F" w:rsidRDefault="00B5030D">
      <w:pPr>
        <w:pStyle w:val="Ttulo2"/>
        <w:rPr>
          <w:lang w:val="en-US"/>
        </w:rPr>
      </w:pPr>
      <w:r w:rsidRPr="00B1745F">
        <w:rPr>
          <w:color w:val="1A3A5C"/>
          <w:sz w:val="24"/>
          <w:szCs w:val="24"/>
          <w:lang w:val="en-US"/>
        </w:rPr>
        <w:t>5.1 General Objective</w:t>
      </w:r>
    </w:p>
    <w:p w14:paraId="655BB958" w14:textId="77777777" w:rsidR="00DC2B9A" w:rsidRPr="00B1745F" w:rsidRDefault="00B5030D">
      <w:pPr>
        <w:spacing w:before="60" w:after="120"/>
        <w:jc w:val="both"/>
        <w:rPr>
          <w:lang w:val="en-US"/>
        </w:rPr>
      </w:pPr>
      <w:r w:rsidRPr="00B1745F">
        <w:rPr>
          <w:lang w:val="en-US"/>
        </w:rPr>
        <w:t>To develop, formalize, and empirically validate a framework that enables humans to orchestrate complex AI-driven software systems through cognitively efficient, tensor-based representations — reducing brain fry, improving decision quality, enabling scalable supervision, and maintaining active human judgment through the Natural Cognitive Frontier.</w:t>
      </w:r>
    </w:p>
    <w:p w14:paraId="0AE262C7" w14:textId="77777777" w:rsidR="00DC2B9A" w:rsidRDefault="00B5030D">
      <w:pPr>
        <w:pStyle w:val="Ttulo2"/>
      </w:pPr>
      <w:r>
        <w:rPr>
          <w:color w:val="1A3A5C"/>
          <w:sz w:val="24"/>
          <w:szCs w:val="24"/>
        </w:rPr>
        <w:t>5.2 Specific Objectives</w:t>
      </w:r>
    </w:p>
    <w:p w14:paraId="29F41ECC" w14:textId="77777777" w:rsidR="00DC2B9A" w:rsidRPr="00B1745F" w:rsidRDefault="00B5030D">
      <w:pPr>
        <w:pStyle w:val="Prrafodelista"/>
        <w:numPr>
          <w:ilvl w:val="0"/>
          <w:numId w:val="3"/>
        </w:numPr>
        <w:spacing w:before="40" w:after="40"/>
        <w:rPr>
          <w:lang w:val="en-US"/>
        </w:rPr>
      </w:pPr>
      <w:r w:rsidRPr="00B1745F">
        <w:rPr>
          <w:lang w:val="en-US"/>
        </w:rPr>
        <w:t xml:space="preserve">Define a formal multidimensional evaluation vector </w:t>
      </w:r>
      <w:r>
        <w:t>φ</w:t>
      </w:r>
      <w:r w:rsidRPr="00B1745F">
        <w:rPr>
          <w:lang w:val="en-US"/>
        </w:rPr>
        <w:t xml:space="preserve"> that produces normalized, semantically comparable quality representations of AI-generated software artifacts.</w:t>
      </w:r>
    </w:p>
    <w:p w14:paraId="154E3BEC" w14:textId="77777777" w:rsidR="00DC2B9A" w:rsidRPr="00B1745F" w:rsidRDefault="00B5030D">
      <w:pPr>
        <w:pStyle w:val="Prrafodelista"/>
        <w:numPr>
          <w:ilvl w:val="0"/>
          <w:numId w:val="3"/>
        </w:numPr>
        <w:spacing w:before="40" w:after="40"/>
        <w:rPr>
          <w:lang w:val="en-US"/>
        </w:rPr>
      </w:pPr>
      <w:r w:rsidRPr="00B1745F">
        <w:rPr>
          <w:lang w:val="en-US"/>
        </w:rPr>
        <w:t>Establish a tensor aggregation function f that captures the system state across stages, agents, and time in a structure amenable to cognitive interface design.</w:t>
      </w:r>
    </w:p>
    <w:p w14:paraId="755D8EF8" w14:textId="77777777" w:rsidR="00DC2B9A" w:rsidRPr="00B1745F" w:rsidRDefault="00B5030D">
      <w:pPr>
        <w:pStyle w:val="Prrafodelista"/>
        <w:numPr>
          <w:ilvl w:val="0"/>
          <w:numId w:val="3"/>
        </w:numPr>
        <w:spacing w:before="40" w:after="40"/>
        <w:rPr>
          <w:lang w:val="en-US"/>
        </w:rPr>
      </w:pPr>
      <w:r w:rsidRPr="00B1745F">
        <w:rPr>
          <w:lang w:val="en-US"/>
        </w:rPr>
        <w:t>Design an inference model I that derives actionable system intelligence from the tensor, including early trend detection and inter-agent conflict identification.</w:t>
      </w:r>
    </w:p>
    <w:p w14:paraId="2142AFD0" w14:textId="77777777" w:rsidR="00DC2B9A" w:rsidRPr="00B1745F" w:rsidRDefault="00B5030D">
      <w:pPr>
        <w:pStyle w:val="Prrafodelista"/>
        <w:numPr>
          <w:ilvl w:val="0"/>
          <w:numId w:val="3"/>
        </w:numPr>
        <w:spacing w:before="40" w:after="40"/>
        <w:rPr>
          <w:lang w:val="en-US"/>
        </w:rPr>
      </w:pPr>
      <w:r w:rsidRPr="00B1745F">
        <w:rPr>
          <w:lang w:val="en-US"/>
        </w:rPr>
        <w:t>Formalize the Natural Cognitive Frontier (NCF) as a theoretical construct and demonstrate that TCO's architecture positions the human orchestrator at the NCF.</w:t>
      </w:r>
    </w:p>
    <w:p w14:paraId="165F91D0" w14:textId="77777777" w:rsidR="00DC2B9A" w:rsidRPr="00B1745F" w:rsidRDefault="00B5030D">
      <w:pPr>
        <w:pStyle w:val="Prrafodelista"/>
        <w:numPr>
          <w:ilvl w:val="0"/>
          <w:numId w:val="3"/>
        </w:numPr>
        <w:spacing w:before="40" w:after="40"/>
        <w:rPr>
          <w:lang w:val="en-US"/>
        </w:rPr>
      </w:pPr>
      <w:r w:rsidRPr="00B1745F">
        <w:rPr>
          <w:lang w:val="en-US"/>
        </w:rPr>
        <w:t>Empirically validate the five hypotheses through a controlled comparative study with a functional MVP.</w:t>
      </w:r>
    </w:p>
    <w:p w14:paraId="6B698478" w14:textId="77777777" w:rsidR="00DC2B9A" w:rsidRDefault="00B5030D">
      <w:pPr>
        <w:pStyle w:val="Ttulo2"/>
      </w:pPr>
      <w:r>
        <w:rPr>
          <w:color w:val="1A3A5C"/>
          <w:sz w:val="24"/>
          <w:szCs w:val="24"/>
        </w:rPr>
        <w:t>5.3 Research Hypotheses</w:t>
      </w:r>
    </w:p>
    <w:p w14:paraId="4A0BDA5E" w14:textId="77777777" w:rsidR="00DC2B9A" w:rsidRDefault="00DC2B9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400"/>
        <w:gridCol w:w="2180"/>
        <w:gridCol w:w="2180"/>
      </w:tblGrid>
      <w:tr w:rsidR="00DC2B9A" w14:paraId="1B8FBCDD"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A3B9C"/>
            <w:tcMar>
              <w:top w:w="80" w:type="dxa"/>
              <w:left w:w="100" w:type="dxa"/>
              <w:bottom w:w="80" w:type="dxa"/>
              <w:right w:w="80" w:type="dxa"/>
            </w:tcMar>
          </w:tcPr>
          <w:p w14:paraId="43C51BD8" w14:textId="77777777" w:rsidR="00DC2B9A" w:rsidRDefault="00B5030D">
            <w:r>
              <w:rPr>
                <w:b/>
                <w:bCs/>
                <w:color w:val="FFFFFF"/>
                <w:sz w:val="20"/>
                <w:szCs w:val="20"/>
              </w:rPr>
              <w:t>H</w:t>
            </w:r>
          </w:p>
        </w:tc>
        <w:tc>
          <w:tcPr>
            <w:tcW w:w="4400" w:type="dxa"/>
            <w:tcBorders>
              <w:top w:val="single" w:sz="1" w:space="0" w:color="CCCCCC"/>
              <w:left w:val="single" w:sz="1" w:space="0" w:color="CCCCCC"/>
              <w:bottom w:val="single" w:sz="1" w:space="0" w:color="CCCCCC"/>
              <w:right w:val="single" w:sz="1" w:space="0" w:color="CCCCCC"/>
            </w:tcBorders>
            <w:shd w:val="clear" w:color="auto" w:fill="4A3B9C"/>
            <w:tcMar>
              <w:top w:w="80" w:type="dxa"/>
              <w:left w:w="100" w:type="dxa"/>
              <w:bottom w:w="80" w:type="dxa"/>
              <w:right w:w="80" w:type="dxa"/>
            </w:tcMar>
          </w:tcPr>
          <w:p w14:paraId="7BCA032F" w14:textId="6CED7601" w:rsidR="00DC2B9A" w:rsidRPr="00B5055A" w:rsidRDefault="00B5055A">
            <w:pPr>
              <w:rPr>
                <w:b/>
                <w:bCs/>
                <w:color w:val="FFFFFF"/>
                <w:sz w:val="20"/>
                <w:szCs w:val="20"/>
              </w:rPr>
            </w:pPr>
            <w:r w:rsidRPr="00B5055A">
              <w:rPr>
                <w:b/>
                <w:bCs/>
                <w:color w:val="FFFFFF"/>
                <w:sz w:val="20"/>
                <w:szCs w:val="20"/>
                <w:lang w:val="en"/>
              </w:rPr>
              <w:t>Hypothesis</w:t>
            </w:r>
          </w:p>
        </w:tc>
        <w:tc>
          <w:tcPr>
            <w:tcW w:w="2180" w:type="dxa"/>
            <w:tcBorders>
              <w:top w:val="single" w:sz="1" w:space="0" w:color="CCCCCC"/>
              <w:left w:val="single" w:sz="1" w:space="0" w:color="CCCCCC"/>
              <w:bottom w:val="single" w:sz="1" w:space="0" w:color="CCCCCC"/>
              <w:right w:val="single" w:sz="1" w:space="0" w:color="CCCCCC"/>
            </w:tcBorders>
            <w:shd w:val="clear" w:color="auto" w:fill="4A3B9C"/>
            <w:tcMar>
              <w:top w:w="80" w:type="dxa"/>
              <w:left w:w="100" w:type="dxa"/>
              <w:bottom w:w="80" w:type="dxa"/>
              <w:right w:w="80" w:type="dxa"/>
            </w:tcMar>
          </w:tcPr>
          <w:p w14:paraId="0FE91A7D" w14:textId="7504CF2E" w:rsidR="00DC2B9A" w:rsidRPr="00B5055A" w:rsidRDefault="00B5055A">
            <w:pPr>
              <w:rPr>
                <w:b/>
                <w:bCs/>
                <w:color w:val="FFFFFF"/>
                <w:sz w:val="20"/>
                <w:szCs w:val="20"/>
              </w:rPr>
            </w:pPr>
            <w:r w:rsidRPr="00B5055A">
              <w:rPr>
                <w:b/>
                <w:bCs/>
                <w:color w:val="FFFFFF"/>
                <w:sz w:val="20"/>
                <w:szCs w:val="20"/>
                <w:lang w:val="en"/>
              </w:rPr>
              <w:t>Primary Metric</w:t>
            </w:r>
          </w:p>
        </w:tc>
        <w:tc>
          <w:tcPr>
            <w:tcW w:w="2180" w:type="dxa"/>
            <w:tcBorders>
              <w:top w:val="single" w:sz="1" w:space="0" w:color="CCCCCC"/>
              <w:left w:val="single" w:sz="1" w:space="0" w:color="CCCCCC"/>
              <w:bottom w:val="single" w:sz="1" w:space="0" w:color="CCCCCC"/>
              <w:right w:val="single" w:sz="1" w:space="0" w:color="CCCCCC"/>
            </w:tcBorders>
            <w:shd w:val="clear" w:color="auto" w:fill="4A3B9C"/>
            <w:tcMar>
              <w:top w:w="80" w:type="dxa"/>
              <w:left w:w="100" w:type="dxa"/>
              <w:bottom w:w="80" w:type="dxa"/>
              <w:right w:w="80" w:type="dxa"/>
            </w:tcMar>
          </w:tcPr>
          <w:p w14:paraId="7CA9DCFC" w14:textId="4929ED92" w:rsidR="00DC2B9A" w:rsidRPr="00B5055A" w:rsidRDefault="00B5055A">
            <w:pPr>
              <w:rPr>
                <w:b/>
                <w:bCs/>
                <w:color w:val="FFFFFF"/>
                <w:sz w:val="20"/>
                <w:szCs w:val="20"/>
              </w:rPr>
            </w:pPr>
            <w:r w:rsidRPr="00B5055A">
              <w:rPr>
                <w:b/>
                <w:bCs/>
                <w:color w:val="FFFFFF"/>
                <w:sz w:val="20"/>
                <w:szCs w:val="20"/>
                <w:lang w:val="en"/>
              </w:rPr>
              <w:t>Instrument</w:t>
            </w:r>
          </w:p>
        </w:tc>
      </w:tr>
      <w:tr w:rsidR="00DC2B9A" w14:paraId="02A8E8E8" w14:textId="77777777">
        <w:tc>
          <w:tcPr>
            <w:tcW w:w="600" w:type="dxa"/>
            <w:tcBorders>
              <w:top w:val="single" w:sz="1" w:space="0" w:color="CCCCCC"/>
              <w:left w:val="single" w:sz="1" w:space="0" w:color="CCCCCC"/>
              <w:bottom w:val="single" w:sz="1" w:space="0" w:color="CCCCCC"/>
              <w:right w:val="single" w:sz="1" w:space="0" w:color="CCCCCC"/>
            </w:tcBorders>
            <w:shd w:val="clear" w:color="auto" w:fill="F0EEF9"/>
            <w:tcMar>
              <w:top w:w="70" w:type="dxa"/>
              <w:left w:w="100" w:type="dxa"/>
              <w:bottom w:w="70" w:type="dxa"/>
              <w:right w:w="80" w:type="dxa"/>
            </w:tcMar>
            <w:vAlign w:val="center"/>
          </w:tcPr>
          <w:p w14:paraId="744D33F0" w14:textId="77777777" w:rsidR="00DC2B9A" w:rsidRDefault="00B5030D">
            <w:r>
              <w:rPr>
                <w:b/>
                <w:bCs/>
                <w:color w:val="4A3B9C"/>
                <w:sz w:val="20"/>
                <w:szCs w:val="20"/>
              </w:rPr>
              <w:t>H1</w:t>
            </w:r>
          </w:p>
        </w:tc>
        <w:tc>
          <w:tcPr>
            <w:tcW w:w="4400" w:type="dxa"/>
            <w:tcBorders>
              <w:top w:val="single" w:sz="1" w:space="0" w:color="CCCCCC"/>
              <w:left w:val="single" w:sz="1" w:space="0" w:color="CCCCCC"/>
              <w:bottom w:val="single" w:sz="1" w:space="0" w:color="CCCCCC"/>
              <w:right w:val="single" w:sz="1" w:space="0" w:color="CCCCCC"/>
            </w:tcBorders>
            <w:shd w:val="clear" w:color="auto" w:fill="F0EEF9"/>
            <w:tcMar>
              <w:top w:w="70" w:type="dxa"/>
              <w:left w:w="100" w:type="dxa"/>
              <w:bottom w:w="70" w:type="dxa"/>
              <w:right w:w="80" w:type="dxa"/>
            </w:tcMar>
          </w:tcPr>
          <w:p w14:paraId="50CE6D3B" w14:textId="34970F3C" w:rsidR="00DC2B9A" w:rsidRPr="00B5055A" w:rsidRDefault="00B5055A">
            <w:pPr>
              <w:rPr>
                <w:sz w:val="19"/>
                <w:szCs w:val="19"/>
                <w:lang w:val="en-US"/>
              </w:rPr>
            </w:pPr>
            <w:r w:rsidRPr="00B5055A">
              <w:rPr>
                <w:sz w:val="19"/>
                <w:szCs w:val="19"/>
                <w:lang w:val="en"/>
              </w:rPr>
              <w:t>TCO reduces the cognitive load of the human supervisor compared to traditional HITL supervision based on raw output review.</w:t>
            </w:r>
          </w:p>
        </w:tc>
        <w:tc>
          <w:tcPr>
            <w:tcW w:w="2180" w:type="dxa"/>
            <w:tcBorders>
              <w:top w:val="single" w:sz="1" w:space="0" w:color="CCCCCC"/>
              <w:left w:val="single" w:sz="1" w:space="0" w:color="CCCCCC"/>
              <w:bottom w:val="single" w:sz="1" w:space="0" w:color="CCCCCC"/>
              <w:right w:val="single" w:sz="1" w:space="0" w:color="CCCCCC"/>
            </w:tcBorders>
            <w:shd w:val="clear" w:color="auto" w:fill="F0EEF9"/>
            <w:tcMar>
              <w:top w:w="70" w:type="dxa"/>
              <w:left w:w="100" w:type="dxa"/>
              <w:bottom w:w="70" w:type="dxa"/>
              <w:right w:w="80" w:type="dxa"/>
            </w:tcMar>
          </w:tcPr>
          <w:p w14:paraId="1A4151C5" w14:textId="77777777" w:rsidR="00DC2B9A" w:rsidRPr="00B1745F" w:rsidRDefault="00B5030D">
            <w:pPr>
              <w:rPr>
                <w:lang w:val="en-US"/>
              </w:rPr>
            </w:pPr>
            <w:r w:rsidRPr="00B1745F">
              <w:rPr>
                <w:i/>
                <w:iCs/>
                <w:sz w:val="19"/>
                <w:szCs w:val="19"/>
                <w:lang w:val="en-US"/>
              </w:rPr>
              <w:t>NASA-TLX score, time-on-task, context switches</w:t>
            </w:r>
          </w:p>
        </w:tc>
        <w:tc>
          <w:tcPr>
            <w:tcW w:w="2180" w:type="dxa"/>
            <w:tcBorders>
              <w:top w:val="single" w:sz="1" w:space="0" w:color="CCCCCC"/>
              <w:left w:val="single" w:sz="1" w:space="0" w:color="CCCCCC"/>
              <w:bottom w:val="single" w:sz="1" w:space="0" w:color="CCCCCC"/>
              <w:right w:val="single" w:sz="1" w:space="0" w:color="CCCCCC"/>
            </w:tcBorders>
            <w:shd w:val="clear" w:color="auto" w:fill="F0EEF9"/>
            <w:tcMar>
              <w:top w:w="70" w:type="dxa"/>
              <w:left w:w="100" w:type="dxa"/>
              <w:bottom w:w="70" w:type="dxa"/>
              <w:right w:w="80" w:type="dxa"/>
            </w:tcMar>
          </w:tcPr>
          <w:p w14:paraId="56EAA42B" w14:textId="77777777" w:rsidR="00DC2B9A" w:rsidRDefault="00B5030D">
            <w:r>
              <w:rPr>
                <w:sz w:val="19"/>
                <w:szCs w:val="19"/>
              </w:rPr>
              <w:t>Survey + interaction log</w:t>
            </w:r>
          </w:p>
        </w:tc>
      </w:tr>
      <w:tr w:rsidR="00DC2B9A" w14:paraId="10C767E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14:paraId="24FBB33F" w14:textId="77777777" w:rsidR="00DC2B9A" w:rsidRDefault="00B5030D">
            <w:r>
              <w:rPr>
                <w:b/>
                <w:bCs/>
                <w:color w:val="4A3B9C"/>
                <w:sz w:val="20"/>
                <w:szCs w:val="20"/>
              </w:rPr>
              <w:t>H2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7183CBF" w14:textId="7E90F956" w:rsidR="00DC2B9A" w:rsidRPr="00B5055A" w:rsidRDefault="00B5055A">
            <w:pPr>
              <w:rPr>
                <w:sz w:val="19"/>
                <w:szCs w:val="19"/>
                <w:lang w:val="en-US"/>
              </w:rPr>
            </w:pPr>
            <w:r w:rsidRPr="00B5055A">
              <w:rPr>
                <w:sz w:val="19"/>
                <w:szCs w:val="19"/>
                <w:lang w:val="en"/>
              </w:rPr>
              <w:t>TCO improves the accuracy of monitoring decisions (error detection, risk assessment, deployment decision)</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7DF5975" w14:textId="77777777" w:rsidR="00DC2B9A" w:rsidRPr="00B1745F" w:rsidRDefault="00B5030D">
            <w:pPr>
              <w:rPr>
                <w:lang w:val="en-US"/>
              </w:rPr>
            </w:pPr>
            <w:r w:rsidRPr="00B1745F">
              <w:rPr>
                <w:i/>
                <w:iCs/>
                <w:sz w:val="19"/>
                <w:szCs w:val="19"/>
                <w:lang w:val="en-US"/>
              </w:rPr>
              <w:t>Error detection rate, false positive/negative ratio, decision accuracy score</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E77B0D3" w14:textId="77777777" w:rsidR="00DC2B9A" w:rsidRDefault="00B5030D">
            <w:r>
              <w:rPr>
                <w:sz w:val="19"/>
                <w:szCs w:val="19"/>
              </w:rPr>
              <w:t>Controlled task scoring</w:t>
            </w:r>
          </w:p>
        </w:tc>
      </w:tr>
      <w:tr w:rsidR="00DC2B9A" w14:paraId="17262268" w14:textId="77777777">
        <w:tc>
          <w:tcPr>
            <w:tcW w:w="600" w:type="dxa"/>
            <w:tcBorders>
              <w:top w:val="single" w:sz="1" w:space="0" w:color="CCCCCC"/>
              <w:left w:val="single" w:sz="1" w:space="0" w:color="CCCCCC"/>
              <w:bottom w:val="single" w:sz="1" w:space="0" w:color="CCCCCC"/>
              <w:right w:val="single" w:sz="1" w:space="0" w:color="CCCCCC"/>
            </w:tcBorders>
            <w:shd w:val="clear" w:color="auto" w:fill="F0EEF9"/>
            <w:tcMar>
              <w:top w:w="70" w:type="dxa"/>
              <w:left w:w="100" w:type="dxa"/>
              <w:bottom w:w="70" w:type="dxa"/>
              <w:right w:w="80" w:type="dxa"/>
            </w:tcMar>
            <w:vAlign w:val="center"/>
          </w:tcPr>
          <w:p w14:paraId="4CE97C7B" w14:textId="77777777" w:rsidR="00DC2B9A" w:rsidRDefault="00B5030D">
            <w:r>
              <w:rPr>
                <w:b/>
                <w:bCs/>
                <w:color w:val="4A3B9C"/>
                <w:sz w:val="20"/>
                <w:szCs w:val="20"/>
              </w:rPr>
              <w:t>H3</w:t>
            </w:r>
          </w:p>
        </w:tc>
        <w:tc>
          <w:tcPr>
            <w:tcW w:w="4400" w:type="dxa"/>
            <w:tcBorders>
              <w:top w:val="single" w:sz="1" w:space="0" w:color="CCCCCC"/>
              <w:left w:val="single" w:sz="1" w:space="0" w:color="CCCCCC"/>
              <w:bottom w:val="single" w:sz="1" w:space="0" w:color="CCCCCC"/>
              <w:right w:val="single" w:sz="1" w:space="0" w:color="CCCCCC"/>
            </w:tcBorders>
            <w:shd w:val="clear" w:color="auto" w:fill="F0EEF9"/>
            <w:tcMar>
              <w:top w:w="70" w:type="dxa"/>
              <w:left w:w="100" w:type="dxa"/>
              <w:bottom w:w="70" w:type="dxa"/>
              <w:right w:w="80" w:type="dxa"/>
            </w:tcMar>
          </w:tcPr>
          <w:p w14:paraId="34594EAE" w14:textId="1B075C7A" w:rsidR="00DC2B9A" w:rsidRPr="00B5055A" w:rsidRDefault="00B5055A">
            <w:pPr>
              <w:rPr>
                <w:sz w:val="19"/>
                <w:szCs w:val="19"/>
                <w:lang w:val="en-US"/>
              </w:rPr>
            </w:pPr>
            <w:r w:rsidRPr="00B5055A">
              <w:rPr>
                <w:sz w:val="19"/>
                <w:szCs w:val="19"/>
                <w:lang w:val="en"/>
              </w:rPr>
              <w:t>TCO enables greater monitoring scalability: a single operator can manage more concurrent workflows with less quality degradation</w:t>
            </w:r>
          </w:p>
        </w:tc>
        <w:tc>
          <w:tcPr>
            <w:tcW w:w="2180" w:type="dxa"/>
            <w:tcBorders>
              <w:top w:val="single" w:sz="1" w:space="0" w:color="CCCCCC"/>
              <w:left w:val="single" w:sz="1" w:space="0" w:color="CCCCCC"/>
              <w:bottom w:val="single" w:sz="1" w:space="0" w:color="CCCCCC"/>
              <w:right w:val="single" w:sz="1" w:space="0" w:color="CCCCCC"/>
            </w:tcBorders>
            <w:shd w:val="clear" w:color="auto" w:fill="F0EEF9"/>
            <w:tcMar>
              <w:top w:w="70" w:type="dxa"/>
              <w:left w:w="100" w:type="dxa"/>
              <w:bottom w:w="70" w:type="dxa"/>
              <w:right w:w="80" w:type="dxa"/>
            </w:tcMar>
          </w:tcPr>
          <w:p w14:paraId="612C3470" w14:textId="77777777" w:rsidR="00DC2B9A" w:rsidRPr="00B1745F" w:rsidRDefault="00B5030D">
            <w:pPr>
              <w:rPr>
                <w:lang w:val="en-US"/>
              </w:rPr>
            </w:pPr>
            <w:r w:rsidRPr="00B1745F">
              <w:rPr>
                <w:i/>
                <w:iCs/>
                <w:sz w:val="19"/>
                <w:szCs w:val="19"/>
                <w:lang w:val="en-US"/>
              </w:rPr>
              <w:t>Workflows/operator ratio, decision throughput, quality degradation slope</w:t>
            </w:r>
          </w:p>
        </w:tc>
        <w:tc>
          <w:tcPr>
            <w:tcW w:w="2180" w:type="dxa"/>
            <w:tcBorders>
              <w:top w:val="single" w:sz="1" w:space="0" w:color="CCCCCC"/>
              <w:left w:val="single" w:sz="1" w:space="0" w:color="CCCCCC"/>
              <w:bottom w:val="single" w:sz="1" w:space="0" w:color="CCCCCC"/>
              <w:right w:val="single" w:sz="1" w:space="0" w:color="CCCCCC"/>
            </w:tcBorders>
            <w:shd w:val="clear" w:color="auto" w:fill="F0EEF9"/>
            <w:tcMar>
              <w:top w:w="70" w:type="dxa"/>
              <w:left w:w="100" w:type="dxa"/>
              <w:bottom w:w="70" w:type="dxa"/>
              <w:right w:w="80" w:type="dxa"/>
            </w:tcMar>
          </w:tcPr>
          <w:p w14:paraId="77E4949C" w14:textId="77777777" w:rsidR="00DC2B9A" w:rsidRDefault="00B5030D">
            <w:r>
              <w:rPr>
                <w:sz w:val="19"/>
                <w:szCs w:val="19"/>
              </w:rPr>
              <w:t>Concurrent workflow simulation</w:t>
            </w:r>
          </w:p>
        </w:tc>
      </w:tr>
      <w:tr w:rsidR="00DC2B9A" w14:paraId="7713A73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14:paraId="2D029B77" w14:textId="77777777" w:rsidR="00DC2B9A" w:rsidRDefault="00B5030D">
            <w:r>
              <w:rPr>
                <w:b/>
                <w:bCs/>
                <w:color w:val="4A3B9C"/>
                <w:sz w:val="20"/>
                <w:szCs w:val="20"/>
              </w:rPr>
              <w:t>H4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812FA19" w14:textId="6F43D85B" w:rsidR="00DC2B9A" w:rsidRPr="00ED24B2" w:rsidRDefault="00ED24B2">
            <w:pPr>
              <w:rPr>
                <w:sz w:val="19"/>
                <w:szCs w:val="19"/>
                <w:lang w:val="en-US"/>
              </w:rPr>
            </w:pPr>
            <w:r w:rsidRPr="00ED24B2">
              <w:rPr>
                <w:sz w:val="19"/>
                <w:szCs w:val="19"/>
                <w:lang w:val="en"/>
              </w:rPr>
              <w:t>Tensor inference improves the early detection of systemic risks before they reach critical thresholds</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B117110" w14:textId="77777777" w:rsidR="00DC2B9A" w:rsidRPr="00B1745F" w:rsidRDefault="00B5030D">
            <w:pPr>
              <w:rPr>
                <w:lang w:val="en-US"/>
              </w:rPr>
            </w:pPr>
            <w:r w:rsidRPr="00B1745F">
              <w:rPr>
                <w:i/>
                <w:iCs/>
                <w:sz w:val="19"/>
                <w:szCs w:val="19"/>
                <w:lang w:val="en-US"/>
              </w:rPr>
              <w:t>Lead time to detection, false alarm rate, risk prediction accuracy (AUC)</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72B66CE" w14:textId="77777777" w:rsidR="00DC2B9A" w:rsidRDefault="00B5030D">
            <w:r>
              <w:rPr>
                <w:sz w:val="19"/>
                <w:szCs w:val="19"/>
              </w:rPr>
              <w:t>Retrospective scenario analysis</w:t>
            </w:r>
          </w:p>
        </w:tc>
      </w:tr>
      <w:tr w:rsidR="00DC2B9A" w14:paraId="55FACADD" w14:textId="77777777">
        <w:tc>
          <w:tcPr>
            <w:tcW w:w="600" w:type="dxa"/>
            <w:tcBorders>
              <w:top w:val="single" w:sz="1" w:space="0" w:color="CCCCCC"/>
              <w:left w:val="single" w:sz="1" w:space="0" w:color="CCCCCC"/>
              <w:bottom w:val="single" w:sz="1" w:space="0" w:color="CCCCCC"/>
              <w:right w:val="single" w:sz="1" w:space="0" w:color="CCCCCC"/>
            </w:tcBorders>
            <w:shd w:val="clear" w:color="auto" w:fill="F0EEF9"/>
            <w:tcMar>
              <w:top w:w="70" w:type="dxa"/>
              <w:left w:w="100" w:type="dxa"/>
              <w:bottom w:w="70" w:type="dxa"/>
              <w:right w:w="80" w:type="dxa"/>
            </w:tcMar>
            <w:vAlign w:val="center"/>
          </w:tcPr>
          <w:p w14:paraId="480262D6" w14:textId="77777777" w:rsidR="00DC2B9A" w:rsidRDefault="00B5030D">
            <w:r>
              <w:rPr>
                <w:b/>
                <w:bCs/>
                <w:color w:val="4A3B9C"/>
                <w:sz w:val="20"/>
                <w:szCs w:val="20"/>
              </w:rPr>
              <w:t>H5</w:t>
            </w:r>
          </w:p>
        </w:tc>
        <w:tc>
          <w:tcPr>
            <w:tcW w:w="4400" w:type="dxa"/>
            <w:tcBorders>
              <w:top w:val="single" w:sz="1" w:space="0" w:color="CCCCCC"/>
              <w:left w:val="single" w:sz="1" w:space="0" w:color="CCCCCC"/>
              <w:bottom w:val="single" w:sz="1" w:space="0" w:color="CCCCCC"/>
              <w:right w:val="single" w:sz="1" w:space="0" w:color="CCCCCC"/>
            </w:tcBorders>
            <w:shd w:val="clear" w:color="auto" w:fill="F0EEF9"/>
            <w:tcMar>
              <w:top w:w="70" w:type="dxa"/>
              <w:left w:w="100" w:type="dxa"/>
              <w:bottom w:w="70" w:type="dxa"/>
              <w:right w:w="80" w:type="dxa"/>
            </w:tcMar>
          </w:tcPr>
          <w:p w14:paraId="1E9689C8" w14:textId="2A5280F2" w:rsidR="00DC2B9A" w:rsidRPr="00ED24B2" w:rsidRDefault="00ED24B2">
            <w:pPr>
              <w:rPr>
                <w:sz w:val="19"/>
                <w:szCs w:val="19"/>
                <w:lang w:val="en-US"/>
              </w:rPr>
            </w:pPr>
            <w:r w:rsidRPr="00ED24B2">
              <w:rPr>
                <w:sz w:val="19"/>
                <w:szCs w:val="19"/>
                <w:lang w:val="en"/>
              </w:rPr>
              <w:t>The natural language policy injection mechanism produces higher systemic quality re-orchestration policies than direct technical corrections from the control group.</w:t>
            </w:r>
          </w:p>
        </w:tc>
        <w:tc>
          <w:tcPr>
            <w:tcW w:w="2180" w:type="dxa"/>
            <w:tcBorders>
              <w:top w:val="single" w:sz="1" w:space="0" w:color="CCCCCC"/>
              <w:left w:val="single" w:sz="1" w:space="0" w:color="CCCCCC"/>
              <w:bottom w:val="single" w:sz="1" w:space="0" w:color="CCCCCC"/>
              <w:right w:val="single" w:sz="1" w:space="0" w:color="CCCCCC"/>
            </w:tcBorders>
            <w:shd w:val="clear" w:color="auto" w:fill="F0EEF9"/>
            <w:tcMar>
              <w:top w:w="70" w:type="dxa"/>
              <w:left w:w="100" w:type="dxa"/>
              <w:bottom w:w="70" w:type="dxa"/>
              <w:right w:w="80" w:type="dxa"/>
            </w:tcMar>
          </w:tcPr>
          <w:p w14:paraId="10306F90" w14:textId="77777777" w:rsidR="00DC2B9A" w:rsidRPr="00B1745F" w:rsidRDefault="00B5030D">
            <w:pPr>
              <w:rPr>
                <w:lang w:val="en-US"/>
              </w:rPr>
            </w:pPr>
            <w:r w:rsidRPr="00B1745F">
              <w:rPr>
                <w:i/>
                <w:iCs/>
                <w:sz w:val="19"/>
                <w:szCs w:val="19"/>
                <w:lang w:val="en-US"/>
              </w:rPr>
              <w:t>System quality delta post-injection, vector improvement per pilar, semantic quality score</w:t>
            </w:r>
          </w:p>
        </w:tc>
        <w:tc>
          <w:tcPr>
            <w:tcW w:w="2180" w:type="dxa"/>
            <w:tcBorders>
              <w:top w:val="single" w:sz="1" w:space="0" w:color="CCCCCC"/>
              <w:left w:val="single" w:sz="1" w:space="0" w:color="CCCCCC"/>
              <w:bottom w:val="single" w:sz="1" w:space="0" w:color="CCCCCC"/>
              <w:right w:val="single" w:sz="1" w:space="0" w:color="CCCCCC"/>
            </w:tcBorders>
            <w:shd w:val="clear" w:color="auto" w:fill="F0EEF9"/>
            <w:tcMar>
              <w:top w:w="70" w:type="dxa"/>
              <w:left w:w="100" w:type="dxa"/>
              <w:bottom w:w="70" w:type="dxa"/>
              <w:right w:w="80" w:type="dxa"/>
            </w:tcMar>
          </w:tcPr>
          <w:p w14:paraId="2D3499BE" w14:textId="77777777" w:rsidR="00DC2B9A" w:rsidRDefault="00B5030D">
            <w:r>
              <w:rPr>
                <w:sz w:val="19"/>
                <w:szCs w:val="19"/>
              </w:rPr>
              <w:t>Cross-group policy evaluation</w:t>
            </w:r>
          </w:p>
        </w:tc>
      </w:tr>
    </w:tbl>
    <w:p w14:paraId="11456D02" w14:textId="77777777" w:rsidR="00DC2B9A" w:rsidRDefault="00DC2B9A">
      <w:pPr>
        <w:spacing w:before="60" w:after="60"/>
      </w:pPr>
    </w:p>
    <w:p w14:paraId="2F73AEB5" w14:textId="77777777" w:rsidR="00DC2B9A" w:rsidRPr="00B1745F" w:rsidRDefault="00B5030D">
      <w:pPr>
        <w:spacing w:before="60" w:after="120"/>
        <w:jc w:val="center"/>
        <w:rPr>
          <w:lang w:val="en-US"/>
        </w:rPr>
      </w:pPr>
      <w:r w:rsidRPr="00B1745F">
        <w:rPr>
          <w:i/>
          <w:iCs/>
          <w:color w:val="666666"/>
          <w:sz w:val="18"/>
          <w:szCs w:val="18"/>
          <w:lang w:val="en-US"/>
        </w:rPr>
        <w:t>Table 3. TCO research hypotheses with primary metrics and measurement instruments.</w:t>
      </w:r>
    </w:p>
    <w:p w14:paraId="04022C73" w14:textId="77777777" w:rsidR="00DC2B9A" w:rsidRPr="00B1745F" w:rsidRDefault="00DC2B9A">
      <w:pPr>
        <w:spacing w:before="60" w:after="60"/>
        <w:rPr>
          <w:lang w:val="en-US"/>
        </w:rPr>
      </w:pPr>
    </w:p>
    <w:p w14:paraId="626FF152" w14:textId="77777777" w:rsidR="00DC2B9A" w:rsidRPr="00B1745F" w:rsidRDefault="00B5030D">
      <w:pPr>
        <w:rPr>
          <w:lang w:val="en-US"/>
        </w:rPr>
      </w:pPr>
      <w:r w:rsidRPr="00B1745F">
        <w:rPr>
          <w:lang w:val="en-US"/>
        </w:rPr>
        <w:br w:type="page"/>
      </w:r>
    </w:p>
    <w:p w14:paraId="7B89C3CE" w14:textId="77777777" w:rsidR="00DC2B9A" w:rsidRPr="00B1745F" w:rsidRDefault="00B5030D">
      <w:pPr>
        <w:pStyle w:val="Ttulo1"/>
        <w:spacing w:before="280" w:after="120"/>
        <w:rPr>
          <w:lang w:val="en-US"/>
        </w:rPr>
      </w:pPr>
      <w:r w:rsidRPr="00B1745F">
        <w:rPr>
          <w:sz w:val="24"/>
          <w:szCs w:val="24"/>
          <w:lang w:val="en-US"/>
        </w:rPr>
        <w:lastRenderedPageBreak/>
        <w:t>6. Challenges and Open Problems</w:t>
      </w:r>
    </w:p>
    <w:p w14:paraId="6F29C10D" w14:textId="77777777" w:rsidR="00DC2B9A" w:rsidRPr="00B1745F" w:rsidRDefault="00B5030D">
      <w:pPr>
        <w:pStyle w:val="Ttulo2"/>
        <w:rPr>
          <w:lang w:val="en-US"/>
        </w:rPr>
      </w:pPr>
      <w:r w:rsidRPr="00B1745F">
        <w:rPr>
          <w:color w:val="1A3A5C"/>
          <w:sz w:val="24"/>
          <w:szCs w:val="24"/>
          <w:lang w:val="en-US"/>
        </w:rPr>
        <w:t>6.1 Vector Calibration</w:t>
      </w:r>
    </w:p>
    <w:p w14:paraId="2FDFFC72" w14:textId="77777777" w:rsidR="00DC2B9A" w:rsidRPr="00B1745F" w:rsidRDefault="00B5030D">
      <w:pPr>
        <w:spacing w:before="60" w:after="120"/>
        <w:jc w:val="both"/>
        <w:rPr>
          <w:lang w:val="en-US"/>
        </w:rPr>
      </w:pPr>
      <w:r w:rsidRPr="00B1745F">
        <w:rPr>
          <w:lang w:val="en-US"/>
        </w:rPr>
        <w:t>The quality and reliability of TCO depend critically on the calibration of the weight vectors w</w:t>
      </w:r>
      <w:r>
        <w:t>ᵢⱼ</w:t>
      </w:r>
      <w:r w:rsidRPr="00B1745F">
        <w:rPr>
          <w:lang w:val="en-US"/>
        </w:rPr>
        <w:t xml:space="preserve"> for each pilar. Miscalibrated weights produce distorted quality signals that mislead the orchestrator. The initial specification proposes equal weights as a baseline, with domain-specific calibration as a research deliverable. The MVP must include a calibration protocol using expert annotation and inter-rater reliability measures [18].</w:t>
      </w:r>
    </w:p>
    <w:p w14:paraId="3EE46A78" w14:textId="77777777" w:rsidR="00DC2B9A" w:rsidRPr="00B1745F" w:rsidRDefault="00B5030D">
      <w:pPr>
        <w:pStyle w:val="Ttulo2"/>
        <w:rPr>
          <w:lang w:val="en-US"/>
        </w:rPr>
      </w:pPr>
      <w:r w:rsidRPr="00B1745F">
        <w:rPr>
          <w:color w:val="1A3A5C"/>
          <w:sz w:val="24"/>
          <w:szCs w:val="24"/>
          <w:lang w:val="en-US"/>
        </w:rPr>
        <w:t>6.2 Tensor Interpretability</w:t>
      </w:r>
    </w:p>
    <w:p w14:paraId="5BD55B41" w14:textId="77777777" w:rsidR="00DC2B9A" w:rsidRPr="00B1745F" w:rsidRDefault="00B5030D">
      <w:pPr>
        <w:spacing w:before="60" w:after="120"/>
        <w:jc w:val="both"/>
        <w:rPr>
          <w:lang w:val="en-US"/>
        </w:rPr>
      </w:pPr>
      <w:r w:rsidRPr="00B1745F">
        <w:rPr>
          <w:lang w:val="en-US"/>
        </w:rPr>
        <w:t>A tensor of dimension n × |S| × |A| × |T| grows rapidly with system scale. For large multi-agent systems, the tensor may not be directly interpretable by a human orchestrator without dimensionality reduction. Techniques including CP decomposition and Tucker decomposition [15] are proposed as inference-layer preprocessing steps, but their output interpretability in this domain requires empirical validation.</w:t>
      </w:r>
    </w:p>
    <w:p w14:paraId="231AA867" w14:textId="77777777" w:rsidR="00DC2B9A" w:rsidRPr="00B1745F" w:rsidRDefault="00B5030D">
      <w:pPr>
        <w:pStyle w:val="Ttulo2"/>
        <w:rPr>
          <w:lang w:val="en-US"/>
        </w:rPr>
      </w:pPr>
      <w:r w:rsidRPr="00B1745F">
        <w:rPr>
          <w:color w:val="1A3A5C"/>
          <w:sz w:val="24"/>
          <w:szCs w:val="24"/>
          <w:lang w:val="en-US"/>
        </w:rPr>
        <w:t>6.3 Multi-Agent Bias</w:t>
      </w:r>
    </w:p>
    <w:p w14:paraId="50BB3E73" w14:textId="77777777" w:rsidR="00DC2B9A" w:rsidRPr="00B1745F" w:rsidRDefault="00B5030D">
      <w:pPr>
        <w:spacing w:before="60" w:after="120"/>
        <w:jc w:val="both"/>
        <w:rPr>
          <w:lang w:val="en-US"/>
        </w:rPr>
      </w:pPr>
      <w:r w:rsidRPr="00B1745F">
        <w:rPr>
          <w:lang w:val="en-US"/>
        </w:rPr>
        <w:t>Agents operating in parallel may develop systematic biases in their quality evaluations — over-optimistic or over-pessimistic estimates for specific artifact types. The tensor's inter-agent comparison capability (</w:t>
      </w:r>
      <w:r>
        <w:t>Ρ</w:t>
      </w:r>
      <w:r w:rsidRPr="00B1745F">
        <w:rPr>
          <w:lang w:val="en-US"/>
        </w:rPr>
        <w:t>) is designed to surface these discrepancies, but the inference model must be robust to systematic agent bias rather than treating all vectors as equally reliable. The confidence dimension v₁₀ partially addresses this but requires further formalization.</w:t>
      </w:r>
    </w:p>
    <w:p w14:paraId="3A57A31C" w14:textId="77777777" w:rsidR="00DC2B9A" w:rsidRPr="00B1745F" w:rsidRDefault="00B5030D">
      <w:pPr>
        <w:pStyle w:val="Ttulo2"/>
        <w:rPr>
          <w:lang w:val="en-US"/>
        </w:rPr>
      </w:pPr>
      <w:r w:rsidRPr="00B1745F">
        <w:rPr>
          <w:color w:val="1A3A5C"/>
          <w:sz w:val="24"/>
          <w:szCs w:val="24"/>
          <w:lang w:val="en-US"/>
        </w:rPr>
        <w:t>6.4 Policy Injection Semantics</w:t>
      </w:r>
    </w:p>
    <w:p w14:paraId="4F194123" w14:textId="77777777" w:rsidR="00DC2B9A" w:rsidRPr="00B1745F" w:rsidRDefault="00B5030D">
      <w:pPr>
        <w:spacing w:before="60" w:after="120"/>
        <w:jc w:val="both"/>
        <w:rPr>
          <w:lang w:val="en-US"/>
        </w:rPr>
      </w:pPr>
      <w:r w:rsidRPr="00B1745F">
        <w:rPr>
          <w:lang w:val="en-US"/>
        </w:rPr>
        <w:t>Natural language policy injection is the most expressive and least constrained component of the TCO cycle. While expressiveness is a feature, unstructured natural language policies may produce ambiguous or conflicting agent instructions. A structured natural language schema — analogous to prompt engineering frameworks — may be necessary to ensure policy injection produces reliable re-orchestration. This is an open design problem with implications for both usability and system reliability.</w:t>
      </w:r>
    </w:p>
    <w:p w14:paraId="16E4BEFF" w14:textId="77777777" w:rsidR="00DC2B9A" w:rsidRPr="00B1745F" w:rsidRDefault="00DC2B9A">
      <w:pPr>
        <w:spacing w:before="60" w:after="60"/>
        <w:rPr>
          <w:lang w:val="en-US"/>
        </w:rPr>
      </w:pPr>
    </w:p>
    <w:p w14:paraId="608009F6" w14:textId="77777777" w:rsidR="00DC2B9A" w:rsidRPr="00B1745F" w:rsidRDefault="00B5030D">
      <w:pPr>
        <w:rPr>
          <w:lang w:val="en-US"/>
        </w:rPr>
      </w:pPr>
      <w:r w:rsidRPr="00B1745F">
        <w:rPr>
          <w:lang w:val="en-US"/>
        </w:rPr>
        <w:br w:type="page"/>
      </w:r>
    </w:p>
    <w:p w14:paraId="2B0B0D97" w14:textId="77777777" w:rsidR="00DC2B9A" w:rsidRDefault="00B5030D">
      <w:pPr>
        <w:pStyle w:val="Ttulo1"/>
        <w:spacing w:before="280" w:after="120"/>
      </w:pPr>
      <w:r>
        <w:rPr>
          <w:sz w:val="24"/>
          <w:szCs w:val="24"/>
        </w:rPr>
        <w:lastRenderedPageBreak/>
        <w:t>7. Expected Contributions</w:t>
      </w:r>
    </w:p>
    <w:p w14:paraId="621530EC" w14:textId="77777777" w:rsidR="00DC2B9A" w:rsidRDefault="00B5030D">
      <w:pPr>
        <w:pStyle w:val="Ttulo2"/>
      </w:pPr>
      <w:r>
        <w:rPr>
          <w:color w:val="1A3A5C"/>
          <w:sz w:val="24"/>
          <w:szCs w:val="24"/>
        </w:rPr>
        <w:t>7.1 Theoretical Contributions</w:t>
      </w:r>
    </w:p>
    <w:p w14:paraId="6202AA1F" w14:textId="77777777" w:rsidR="00DC2B9A" w:rsidRPr="00B1745F" w:rsidRDefault="00B5030D">
      <w:pPr>
        <w:pStyle w:val="Prrafodelista"/>
        <w:numPr>
          <w:ilvl w:val="0"/>
          <w:numId w:val="2"/>
        </w:numPr>
        <w:spacing w:before="40" w:after="40"/>
        <w:rPr>
          <w:lang w:val="en-US"/>
        </w:rPr>
      </w:pPr>
      <w:r w:rsidRPr="00B1745F">
        <w:rPr>
          <w:lang w:val="en-US"/>
        </w:rPr>
        <w:t>The Natural Cognitive Frontier (NCF): a formally defined theoretical construct identifying the optimal abstraction level for human-AI collaboration in complex system oversight.</w:t>
      </w:r>
    </w:p>
    <w:p w14:paraId="1B453FAE" w14:textId="77777777" w:rsidR="00DC2B9A" w:rsidRPr="00B1745F" w:rsidRDefault="00B5030D">
      <w:pPr>
        <w:pStyle w:val="Prrafodelista"/>
        <w:numPr>
          <w:ilvl w:val="0"/>
          <w:numId w:val="2"/>
        </w:numPr>
        <w:spacing w:before="40" w:after="40"/>
        <w:rPr>
          <w:lang w:val="en-US"/>
        </w:rPr>
      </w:pPr>
      <w:r w:rsidRPr="00B1745F">
        <w:rPr>
          <w:lang w:val="en-US"/>
        </w:rPr>
        <w:t>The TCO bidirectional loop model: a formalized architecture for human-AI orchestration that resolves automation bias through structural active judgment rather than interface design.</w:t>
      </w:r>
    </w:p>
    <w:p w14:paraId="4AA8B693" w14:textId="77777777" w:rsidR="00DC2B9A" w:rsidRPr="00B1745F" w:rsidRDefault="00B5030D">
      <w:pPr>
        <w:pStyle w:val="Prrafodelista"/>
        <w:numPr>
          <w:ilvl w:val="0"/>
          <w:numId w:val="2"/>
        </w:numPr>
        <w:spacing w:before="40" w:after="40"/>
        <w:rPr>
          <w:lang w:val="en-US"/>
        </w:rPr>
      </w:pPr>
      <w:r w:rsidRPr="00B1745F">
        <w:rPr>
          <w:lang w:val="en-US"/>
        </w:rPr>
        <w:t>Application of tensor-based state representation to the domain of human cognitive oversight of software quality — a novel combination of multi-agent representation theory and human factors engineering.</w:t>
      </w:r>
    </w:p>
    <w:p w14:paraId="4571005E" w14:textId="77777777" w:rsidR="00DC2B9A" w:rsidRDefault="00B5030D">
      <w:pPr>
        <w:pStyle w:val="Ttulo2"/>
      </w:pPr>
      <w:r>
        <w:rPr>
          <w:color w:val="1A3A5C"/>
          <w:sz w:val="24"/>
          <w:szCs w:val="24"/>
        </w:rPr>
        <w:t>7.2 Practical Contributions</w:t>
      </w:r>
    </w:p>
    <w:p w14:paraId="1B27DD42" w14:textId="77777777" w:rsidR="00DC2B9A" w:rsidRPr="00B1745F" w:rsidRDefault="00B5030D">
      <w:pPr>
        <w:pStyle w:val="Prrafodelista"/>
        <w:numPr>
          <w:ilvl w:val="0"/>
          <w:numId w:val="2"/>
        </w:numPr>
        <w:spacing w:before="40" w:after="40"/>
        <w:rPr>
          <w:lang w:val="en-US"/>
        </w:rPr>
      </w:pPr>
      <w:r w:rsidRPr="00B1745F">
        <w:rPr>
          <w:lang w:val="en-US"/>
        </w:rPr>
        <w:t>A replicable framework for AI-driven software development teams to implement structured human oversight at scale, with defined interfaces at each layer.</w:t>
      </w:r>
    </w:p>
    <w:p w14:paraId="635FEEE9" w14:textId="77777777" w:rsidR="00DC2B9A" w:rsidRPr="00B1745F" w:rsidRDefault="00B5030D">
      <w:pPr>
        <w:pStyle w:val="Prrafodelista"/>
        <w:numPr>
          <w:ilvl w:val="0"/>
          <w:numId w:val="2"/>
        </w:numPr>
        <w:spacing w:before="40" w:after="40"/>
        <w:rPr>
          <w:lang w:val="en-US"/>
        </w:rPr>
      </w:pPr>
      <w:r w:rsidRPr="00B1745F">
        <w:rPr>
          <w:lang w:val="en-US"/>
        </w:rPr>
        <w:t>Reduction of brain fry and cognitive fatigue in AI supervision roles, with measurable impact on decision quality and operator wellbeing.</w:t>
      </w:r>
    </w:p>
    <w:p w14:paraId="725D5ADA" w14:textId="77777777" w:rsidR="00DC2B9A" w:rsidRPr="00B1745F" w:rsidRDefault="00B5030D">
      <w:pPr>
        <w:pStyle w:val="Prrafodelista"/>
        <w:numPr>
          <w:ilvl w:val="0"/>
          <w:numId w:val="2"/>
        </w:numPr>
        <w:spacing w:before="40" w:after="40"/>
        <w:rPr>
          <w:lang w:val="en-US"/>
        </w:rPr>
      </w:pPr>
      <w:r w:rsidRPr="00B1745F">
        <w:rPr>
          <w:lang w:val="en-US"/>
        </w:rPr>
        <w:t>Expanded access to the orchestrator role: by requiring only natural language competency rather than technical expertise, TCO enables product, architecture, and business leadership to participate meaningfully in AI system governance.</w:t>
      </w:r>
    </w:p>
    <w:p w14:paraId="027340DB" w14:textId="77777777" w:rsidR="00DC2B9A" w:rsidRPr="00B1745F" w:rsidRDefault="00B5030D">
      <w:pPr>
        <w:pStyle w:val="Prrafodelista"/>
        <w:numPr>
          <w:ilvl w:val="0"/>
          <w:numId w:val="2"/>
        </w:numPr>
        <w:spacing w:before="40" w:after="40"/>
        <w:rPr>
          <w:lang w:val="en-US"/>
        </w:rPr>
      </w:pPr>
      <w:r w:rsidRPr="00B1745F">
        <w:rPr>
          <w:lang w:val="en-US"/>
        </w:rPr>
        <w:t>A foundation for next-generation DevOps tooling integrating quality vector dashboards, tensor visualization, and natural language policy interfaces.</w:t>
      </w:r>
    </w:p>
    <w:p w14:paraId="1A8BB527" w14:textId="77777777" w:rsidR="00DC2B9A" w:rsidRDefault="00B5030D">
      <w:pPr>
        <w:pStyle w:val="Ttulo2"/>
      </w:pPr>
      <w:r>
        <w:rPr>
          <w:color w:val="1A3A5C"/>
          <w:sz w:val="24"/>
          <w:szCs w:val="24"/>
        </w:rPr>
        <w:t>7.3 Future Work</w:t>
      </w:r>
    </w:p>
    <w:p w14:paraId="7CB1575B" w14:textId="77777777" w:rsidR="00DC2B9A" w:rsidRPr="00B1745F" w:rsidRDefault="00B5030D">
      <w:pPr>
        <w:pStyle w:val="Prrafodelista"/>
        <w:numPr>
          <w:ilvl w:val="0"/>
          <w:numId w:val="2"/>
        </w:numPr>
        <w:spacing w:before="40" w:after="40"/>
        <w:rPr>
          <w:lang w:val="en-US"/>
        </w:rPr>
      </w:pPr>
      <w:r w:rsidRPr="00B1745F">
        <w:rPr>
          <w:lang w:val="en-US"/>
        </w:rPr>
        <w:t>Real-world deployment validation across multiple organizational contexts and AI development stacks.</w:t>
      </w:r>
    </w:p>
    <w:p w14:paraId="3A714C20" w14:textId="77777777" w:rsidR="00DC2B9A" w:rsidRPr="00B1745F" w:rsidRDefault="00B5030D">
      <w:pPr>
        <w:pStyle w:val="Prrafodelista"/>
        <w:numPr>
          <w:ilvl w:val="0"/>
          <w:numId w:val="2"/>
        </w:numPr>
        <w:spacing w:before="40" w:after="40"/>
        <w:rPr>
          <w:lang w:val="en-US"/>
        </w:rPr>
      </w:pPr>
      <w:r w:rsidRPr="00B1745F">
        <w:rPr>
          <w:lang w:val="en-US"/>
        </w:rPr>
        <w:t>Adaptive vector learning: automated recalibration of w</w:t>
      </w:r>
      <w:r>
        <w:t>ᵢⱼ</w:t>
      </w:r>
      <w:r w:rsidRPr="00B1745F">
        <w:rPr>
          <w:lang w:val="en-US"/>
        </w:rPr>
        <w:t xml:space="preserve"> weights based on observed correlations between vector values and deployment outcomes.</w:t>
      </w:r>
    </w:p>
    <w:p w14:paraId="27822A17" w14:textId="77777777" w:rsidR="00DC2B9A" w:rsidRPr="00B1745F" w:rsidRDefault="00B5030D">
      <w:pPr>
        <w:pStyle w:val="Prrafodelista"/>
        <w:numPr>
          <w:ilvl w:val="0"/>
          <w:numId w:val="2"/>
        </w:numPr>
        <w:spacing w:before="40" w:after="40"/>
        <w:rPr>
          <w:lang w:val="en-US"/>
        </w:rPr>
      </w:pPr>
      <w:r w:rsidRPr="00B1745F">
        <w:rPr>
          <w:lang w:val="en-US"/>
        </w:rPr>
        <w:t>Integration with observability platforms: mapping TCO quality dimensions to existing metric streams (Prometheus, OpenTelemetry) to reduce instrumentation overhead.</w:t>
      </w:r>
    </w:p>
    <w:p w14:paraId="47956C40" w14:textId="77777777" w:rsidR="00DC2B9A" w:rsidRPr="00B1745F" w:rsidRDefault="00B5030D">
      <w:pPr>
        <w:pStyle w:val="Prrafodelista"/>
        <w:numPr>
          <w:ilvl w:val="0"/>
          <w:numId w:val="2"/>
        </w:numPr>
        <w:spacing w:before="40" w:after="40"/>
        <w:rPr>
          <w:lang w:val="en-US"/>
        </w:rPr>
      </w:pPr>
      <w:r w:rsidRPr="00B1745F">
        <w:rPr>
          <w:lang w:val="en-US"/>
        </w:rPr>
        <w:t>Autonomous policy suggestion: training a policy generation model on historical P_new entries and their system impact to provide policy drafts for orchestrator review.</w:t>
      </w:r>
    </w:p>
    <w:p w14:paraId="4A66C06C" w14:textId="77777777" w:rsidR="00DC2B9A" w:rsidRPr="00B1745F" w:rsidRDefault="00DC2B9A">
      <w:pPr>
        <w:spacing w:before="60" w:after="60"/>
        <w:rPr>
          <w:lang w:val="en-US"/>
        </w:rPr>
      </w:pPr>
    </w:p>
    <w:p w14:paraId="62F0BBA9" w14:textId="77777777" w:rsidR="00DC2B9A" w:rsidRPr="00B1745F" w:rsidRDefault="00B5030D">
      <w:pPr>
        <w:rPr>
          <w:lang w:val="en-US"/>
        </w:rPr>
      </w:pPr>
      <w:r w:rsidRPr="00B1745F">
        <w:rPr>
          <w:lang w:val="en-US"/>
        </w:rPr>
        <w:br w:type="page"/>
      </w:r>
    </w:p>
    <w:p w14:paraId="485C26B9" w14:textId="77777777" w:rsidR="00DC2B9A" w:rsidRPr="00B1745F" w:rsidRDefault="00B5030D">
      <w:pPr>
        <w:pStyle w:val="Ttulo1"/>
        <w:spacing w:before="280" w:after="120"/>
        <w:rPr>
          <w:lang w:val="en-US"/>
        </w:rPr>
      </w:pPr>
      <w:r w:rsidRPr="00B1745F">
        <w:rPr>
          <w:sz w:val="24"/>
          <w:szCs w:val="24"/>
          <w:lang w:val="en-US"/>
        </w:rPr>
        <w:lastRenderedPageBreak/>
        <w:t>8. References</w:t>
      </w:r>
    </w:p>
    <w:p w14:paraId="1246695E" w14:textId="77777777" w:rsidR="00DC2B9A" w:rsidRPr="00B1745F" w:rsidRDefault="00B5030D">
      <w:pPr>
        <w:spacing w:before="40" w:after="60"/>
        <w:ind w:left="720" w:hanging="720"/>
        <w:rPr>
          <w:lang w:val="en-US"/>
        </w:rPr>
      </w:pPr>
      <w:r w:rsidRPr="00B1745F">
        <w:rPr>
          <w:sz w:val="19"/>
          <w:szCs w:val="19"/>
          <w:lang w:val="en-US"/>
        </w:rPr>
        <w:t>[1]  Sweller, J. (1988). Cognitive load during problem solving: Effects on learning. Cognitive Science, 12(2), 257–285. https://doi.org/10.1207/s15516709cog1202_4</w:t>
      </w:r>
    </w:p>
    <w:p w14:paraId="3244ECAD" w14:textId="77777777" w:rsidR="00DC2B9A" w:rsidRPr="00B1745F" w:rsidRDefault="00B5030D">
      <w:pPr>
        <w:spacing w:before="40" w:after="60"/>
        <w:ind w:left="720" w:hanging="720"/>
        <w:rPr>
          <w:lang w:val="en-US"/>
        </w:rPr>
      </w:pPr>
      <w:r w:rsidRPr="00B1745F">
        <w:rPr>
          <w:sz w:val="19"/>
          <w:szCs w:val="19"/>
          <w:lang w:val="en-US"/>
        </w:rPr>
        <w:t>[2]  Sweller, J., Ayres, P., &amp; Kalyuga, S. (2011). Cognitive Load Theory. Psychology of Learning and Motivation, 55, 37–76.</w:t>
      </w:r>
    </w:p>
    <w:p w14:paraId="19388529" w14:textId="77777777" w:rsidR="00DC2B9A" w:rsidRPr="00B1745F" w:rsidRDefault="00B5030D">
      <w:pPr>
        <w:spacing w:before="40" w:after="60"/>
        <w:ind w:left="720" w:hanging="720"/>
        <w:rPr>
          <w:lang w:val="en-US"/>
        </w:rPr>
      </w:pPr>
      <w:r w:rsidRPr="00B1745F">
        <w:rPr>
          <w:sz w:val="19"/>
          <w:szCs w:val="19"/>
          <w:lang w:val="en-US"/>
        </w:rPr>
        <w:t>[3]  Cowan, N. (2001). The magical number 4 in short-term memory: A reconsideration of mental storage capacity. Behavioral and Brain Sciences, 24(1), 87–114.</w:t>
      </w:r>
    </w:p>
    <w:p w14:paraId="28594758" w14:textId="77777777" w:rsidR="00DC2B9A" w:rsidRPr="00B1745F" w:rsidRDefault="00B5030D">
      <w:pPr>
        <w:spacing w:before="40" w:after="60"/>
        <w:ind w:left="720" w:hanging="720"/>
        <w:rPr>
          <w:lang w:val="en-US"/>
        </w:rPr>
      </w:pPr>
      <w:r w:rsidRPr="00B1745F">
        <w:rPr>
          <w:sz w:val="19"/>
          <w:szCs w:val="19"/>
          <w:lang w:val="en-US"/>
        </w:rPr>
        <w:t>[4]  Endsley, M. R. (1995). Toward a theory of situation awareness in dynamic systems. Human Factors, 37(1), 32–64.</w:t>
      </w:r>
    </w:p>
    <w:p w14:paraId="0412BF75" w14:textId="77777777" w:rsidR="00DC2B9A" w:rsidRPr="00B1745F" w:rsidRDefault="00B5030D">
      <w:pPr>
        <w:spacing w:before="40" w:after="60"/>
        <w:ind w:left="720" w:hanging="720"/>
        <w:rPr>
          <w:lang w:val="en-US"/>
        </w:rPr>
      </w:pPr>
      <w:r w:rsidRPr="00B1745F">
        <w:rPr>
          <w:sz w:val="19"/>
          <w:szCs w:val="19"/>
          <w:lang w:val="en-US"/>
        </w:rPr>
        <w:t>[5]  Endsley, M. R., &amp; Garland, D. J. (Eds.). (2000). Situation Awareness Analysis and Measurement. Lawrence Erlbaum Associates.</w:t>
      </w:r>
    </w:p>
    <w:p w14:paraId="5E479FBA" w14:textId="77777777" w:rsidR="00DC2B9A" w:rsidRPr="00B1745F" w:rsidRDefault="00B5030D">
      <w:pPr>
        <w:spacing w:before="40" w:after="60"/>
        <w:ind w:left="720" w:hanging="720"/>
        <w:rPr>
          <w:lang w:val="en-US"/>
        </w:rPr>
      </w:pPr>
      <w:r w:rsidRPr="00B1745F">
        <w:rPr>
          <w:sz w:val="19"/>
          <w:szCs w:val="19"/>
          <w:lang w:val="en-US"/>
        </w:rPr>
        <w:t>[6]  Sheridan, T. B. (1992). Telerobotics, Automation, and Human Supervisory Control. MIT Press.</w:t>
      </w:r>
    </w:p>
    <w:p w14:paraId="7CC7938F" w14:textId="77777777" w:rsidR="00DC2B9A" w:rsidRPr="00B1745F" w:rsidRDefault="00B5030D">
      <w:pPr>
        <w:spacing w:before="40" w:after="60"/>
        <w:ind w:left="720" w:hanging="720"/>
        <w:rPr>
          <w:lang w:val="en-US"/>
        </w:rPr>
      </w:pPr>
      <w:r w:rsidRPr="00B1745F">
        <w:rPr>
          <w:sz w:val="19"/>
          <w:szCs w:val="19"/>
          <w:lang w:val="en-US"/>
        </w:rPr>
        <w:t>[7]  Miller, C. A., &amp; Parasuraman, R. (2007). Designing for flexible interaction between humans and automation: Delegation interfaces for supervisory control. Human Factors, 49(1), 57–75. [LHCA framework]</w:t>
      </w:r>
    </w:p>
    <w:p w14:paraId="0F74D1DC" w14:textId="77777777" w:rsidR="00DC2B9A" w:rsidRPr="00B1745F" w:rsidRDefault="00B5030D">
      <w:pPr>
        <w:spacing w:before="40" w:after="60"/>
        <w:ind w:left="720" w:hanging="720"/>
        <w:rPr>
          <w:lang w:val="en-US"/>
        </w:rPr>
      </w:pPr>
      <w:r w:rsidRPr="00B1745F">
        <w:rPr>
          <w:sz w:val="19"/>
          <w:szCs w:val="19"/>
          <w:lang w:val="en-US"/>
        </w:rPr>
        <w:t>[8]  Human-in-the-Loop AI: A Systematic Review of Concepts, Methods, and Applications. (2025). Entropy, 28(4), 377. https://doi.org/10.3390/e28040377</w:t>
      </w:r>
    </w:p>
    <w:p w14:paraId="0FA3909C" w14:textId="77777777" w:rsidR="00DC2B9A" w:rsidRPr="00B1745F" w:rsidRDefault="00B5030D">
      <w:pPr>
        <w:spacing w:before="40" w:after="60"/>
        <w:ind w:left="720" w:hanging="720"/>
        <w:rPr>
          <w:lang w:val="en-US"/>
        </w:rPr>
      </w:pPr>
      <w:r w:rsidRPr="00B1745F">
        <w:rPr>
          <w:sz w:val="19"/>
          <w:szCs w:val="19"/>
          <w:lang w:val="en-US"/>
        </w:rPr>
        <w:t>[9]  Human-in-the-loop has hit the wall: It's time for AI to oversee AI. (2026, January). SiliconANGLE.</w:t>
      </w:r>
    </w:p>
    <w:p w14:paraId="10EF602E" w14:textId="77777777" w:rsidR="00DC2B9A" w:rsidRPr="00B1745F" w:rsidRDefault="00B5030D">
      <w:pPr>
        <w:spacing w:before="40" w:after="60"/>
        <w:ind w:left="720" w:hanging="720"/>
        <w:rPr>
          <w:lang w:val="en-US"/>
        </w:rPr>
      </w:pPr>
      <w:r w:rsidRPr="00B1745F">
        <w:rPr>
          <w:sz w:val="19"/>
          <w:szCs w:val="19"/>
          <w:lang w:val="en-US"/>
        </w:rPr>
        <w:t>[10]  Parasuraman, R., &amp; Manzey, D. H. (2010). Complacency and bias in human use of automation: An attentional integration. Human Factors, 52(3), 381–410.</w:t>
      </w:r>
    </w:p>
    <w:p w14:paraId="4A497E55" w14:textId="77777777" w:rsidR="00DC2B9A" w:rsidRPr="00B1745F" w:rsidRDefault="00B5030D">
      <w:pPr>
        <w:spacing w:before="40" w:after="60"/>
        <w:ind w:left="720" w:hanging="720"/>
        <w:rPr>
          <w:lang w:val="en-US"/>
        </w:rPr>
      </w:pPr>
      <w:r w:rsidRPr="00B1745F">
        <w:rPr>
          <w:sz w:val="19"/>
          <w:szCs w:val="19"/>
          <w:lang w:val="en-US"/>
        </w:rPr>
        <w:t>[11]  Kücking, F., et al. (2024). Automation Bias in AI-Decision Support: Results from an Empirical Study. Studies in Health Technology and Informatics, 317, 298–304.</w:t>
      </w:r>
    </w:p>
    <w:p w14:paraId="00805082" w14:textId="77777777" w:rsidR="00DC2B9A" w:rsidRPr="00B1745F" w:rsidRDefault="00B5030D">
      <w:pPr>
        <w:spacing w:before="40" w:after="60"/>
        <w:ind w:left="720" w:hanging="720"/>
        <w:rPr>
          <w:lang w:val="en-US"/>
        </w:rPr>
      </w:pPr>
      <w:r w:rsidRPr="00B1745F">
        <w:rPr>
          <w:sz w:val="19"/>
          <w:szCs w:val="19"/>
          <w:lang w:val="en-US"/>
        </w:rPr>
        <w:t>[12]  Codebridge. (2025). The Hidden Costs of AI-Generated Code: Analysis of 211M changed lines of code, 2020–2024. https://www.codebridge.tech</w:t>
      </w:r>
    </w:p>
    <w:p w14:paraId="559D4598" w14:textId="77777777" w:rsidR="00DC2B9A" w:rsidRPr="00B1745F" w:rsidRDefault="00B5030D">
      <w:pPr>
        <w:spacing w:before="40" w:after="60"/>
        <w:ind w:left="720" w:hanging="720"/>
        <w:rPr>
          <w:lang w:val="en-US"/>
        </w:rPr>
      </w:pPr>
      <w:r w:rsidRPr="00B1745F">
        <w:rPr>
          <w:sz w:val="19"/>
          <w:szCs w:val="19"/>
          <w:lang w:val="en-US"/>
        </w:rPr>
        <w:t>[13]  Chen, B., et al. (2021). Tensor decomposition for multi-agent predictive state representation. Expert Systems with Applications, 183. https://doi.org/10.1016/j.eswa.2021.115413</w:t>
      </w:r>
    </w:p>
    <w:p w14:paraId="0D83C52B" w14:textId="77777777" w:rsidR="00DC2B9A" w:rsidRPr="00B1745F" w:rsidRDefault="00B5030D">
      <w:pPr>
        <w:spacing w:before="40" w:after="60"/>
        <w:ind w:left="720" w:hanging="720"/>
        <w:rPr>
          <w:lang w:val="en-US"/>
        </w:rPr>
      </w:pPr>
      <w:r w:rsidRPr="00B1745F">
        <w:rPr>
          <w:sz w:val="19"/>
          <w:szCs w:val="19"/>
          <w:lang w:val="en-US"/>
        </w:rPr>
        <w:t>[14]  Mahajan, A., et al. (2021). TESSERACT: Tensorised actors for multi-agent reinforcement learning. Proceedings of ICML 2021.</w:t>
      </w:r>
    </w:p>
    <w:p w14:paraId="132FC59C" w14:textId="77777777" w:rsidR="00DC2B9A" w:rsidRPr="00B1745F" w:rsidRDefault="00B5030D">
      <w:pPr>
        <w:spacing w:before="40" w:after="60"/>
        <w:ind w:left="720" w:hanging="720"/>
        <w:rPr>
          <w:lang w:val="en-US"/>
        </w:rPr>
      </w:pPr>
      <w:r w:rsidRPr="00B1745F">
        <w:rPr>
          <w:sz w:val="19"/>
          <w:szCs w:val="19"/>
          <w:lang w:val="en-US"/>
        </w:rPr>
        <w:t>[15]  Van Der Vaart, P., et al. (2021). Model-based multi-agent reinforcement learning with tensor decompositions. arXiv:2110.14524.</w:t>
      </w:r>
    </w:p>
    <w:p w14:paraId="2ABCB3FC" w14:textId="77777777" w:rsidR="00DC2B9A" w:rsidRPr="00B1745F" w:rsidRDefault="00B5030D">
      <w:pPr>
        <w:spacing w:before="40" w:after="60"/>
        <w:ind w:left="720" w:hanging="720"/>
        <w:rPr>
          <w:lang w:val="en-US"/>
        </w:rPr>
      </w:pPr>
      <w:r w:rsidRPr="00B1745F">
        <w:rPr>
          <w:sz w:val="19"/>
          <w:szCs w:val="19"/>
          <w:lang w:val="en-US"/>
        </w:rPr>
        <w:t>[16]  Vygotsky, L. S. (1978). Mind in Society: The Development of Higher Psychological Processes. Harvard University Press.</w:t>
      </w:r>
    </w:p>
    <w:p w14:paraId="24519ADF" w14:textId="77777777" w:rsidR="00DC2B9A" w:rsidRPr="00B1745F" w:rsidRDefault="00B5030D">
      <w:pPr>
        <w:spacing w:before="40" w:after="60"/>
        <w:ind w:left="720" w:hanging="720"/>
        <w:rPr>
          <w:lang w:val="en-US"/>
        </w:rPr>
      </w:pPr>
      <w:r w:rsidRPr="00B1745F">
        <w:rPr>
          <w:sz w:val="19"/>
          <w:szCs w:val="19"/>
          <w:lang w:val="en-US"/>
        </w:rPr>
        <w:t>[17]  Syncing Minds and Machines: Hybrid Cognitive Alignment as an Emergent Coordination Mechanism in Human–AI Collaboration. (2025). Academy of Management Review. https://doi.org/10.5465/amr.2024.0546</w:t>
      </w:r>
    </w:p>
    <w:p w14:paraId="69AF2C0F" w14:textId="77777777" w:rsidR="00DC2B9A" w:rsidRPr="00B1745F" w:rsidRDefault="00B5030D">
      <w:pPr>
        <w:spacing w:before="40" w:after="60"/>
        <w:ind w:left="720" w:hanging="720"/>
        <w:rPr>
          <w:lang w:val="en-US"/>
        </w:rPr>
      </w:pPr>
      <w:r w:rsidRPr="00B1745F">
        <w:rPr>
          <w:sz w:val="19"/>
          <w:szCs w:val="19"/>
          <w:lang w:val="en-US"/>
        </w:rPr>
        <w:t>[18]  Lommel, A., Burchardt, A., &amp; Uszkoreit, H. (2014). Multidimensional Quality Metrics (MQM): A framework for declaring and describing translation quality metrics. Tradumàtica, 0, 455–463. [Applied to vector calibration methodology]</w:t>
      </w:r>
    </w:p>
    <w:p w14:paraId="003A2D7F" w14:textId="77777777" w:rsidR="00DC2B9A" w:rsidRPr="00B1745F" w:rsidRDefault="00B5030D">
      <w:pPr>
        <w:spacing w:before="40" w:after="60"/>
        <w:ind w:left="720" w:hanging="720"/>
        <w:rPr>
          <w:lang w:val="en-US"/>
        </w:rPr>
      </w:pPr>
      <w:r w:rsidRPr="00B1745F">
        <w:rPr>
          <w:sz w:val="19"/>
          <w:szCs w:val="19"/>
          <w:lang w:val="en-US"/>
        </w:rPr>
        <w:t>[19]  Takerngsaksiri, W., et al. (2024). Human-In-the-Loop Software Development Agents (HULA). arXiv:2411.12924.</w:t>
      </w:r>
    </w:p>
    <w:p w14:paraId="52EFFFC8" w14:textId="77777777" w:rsidR="00DC2B9A" w:rsidRPr="00B1745F" w:rsidRDefault="00B5030D">
      <w:pPr>
        <w:spacing w:before="40" w:after="60"/>
        <w:ind w:left="720" w:hanging="720"/>
        <w:rPr>
          <w:lang w:val="en-US"/>
        </w:rPr>
      </w:pPr>
      <w:r w:rsidRPr="00B1745F">
        <w:rPr>
          <w:sz w:val="19"/>
          <w:szCs w:val="19"/>
          <w:lang w:val="en-US"/>
        </w:rPr>
        <w:t>[20]  Pareschi, R., &amp; Saghafian, S. (2024). Human-artificial interaction in the age of agentic AI: A system-theoretical approach. Frontiers in Human Dynamics.</w:t>
      </w:r>
    </w:p>
    <w:p w14:paraId="5C3480A9" w14:textId="77777777" w:rsidR="00DC2B9A" w:rsidRPr="00B1745F" w:rsidRDefault="00DC2B9A">
      <w:pPr>
        <w:spacing w:before="120" w:after="120"/>
        <w:rPr>
          <w:lang w:val="en-US"/>
        </w:rPr>
      </w:pPr>
    </w:p>
    <w:p w14:paraId="6538B5EC" w14:textId="77777777" w:rsidR="00DC2B9A" w:rsidRPr="00B1745F" w:rsidRDefault="00B5030D">
      <w:pPr>
        <w:pStyle w:val="Ttulo1"/>
        <w:spacing w:before="280" w:after="120"/>
        <w:rPr>
          <w:lang w:val="en-US"/>
        </w:rPr>
      </w:pPr>
      <w:r w:rsidRPr="00B1745F">
        <w:rPr>
          <w:sz w:val="24"/>
          <w:szCs w:val="24"/>
          <w:lang w:val="en-US"/>
        </w:rPr>
        <w:t>Appendix A — Evaluation Vector JSON Schema</w:t>
      </w:r>
    </w:p>
    <w:p w14:paraId="4BA81977" w14:textId="77777777" w:rsidR="00DC2B9A" w:rsidRPr="00B1745F" w:rsidRDefault="00B5030D">
      <w:pPr>
        <w:spacing w:before="60" w:after="120"/>
        <w:jc w:val="both"/>
        <w:rPr>
          <w:lang w:val="en-US"/>
        </w:rPr>
      </w:pPr>
      <w:r w:rsidRPr="00B1745F">
        <w:rPr>
          <w:lang w:val="en-US"/>
        </w:rPr>
        <w:t>The following schema defines the canonical JSON representation of the TCO evaluation vector V for API and storage interchange: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B9A" w14:paraId="23BB34D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40" w:type="dxa"/>
              <w:left w:w="200" w:type="dxa"/>
              <w:bottom w:w="140" w:type="dxa"/>
              <w:right w:w="200" w:type="dxa"/>
            </w:tcMar>
          </w:tcPr>
          <w:p w14:paraId="0AE5D84E"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w:t>
            </w:r>
          </w:p>
          <w:p w14:paraId="2EA7D54B"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artifact</w:t>
            </w:r>
            <w:proofErr w:type="gramEnd"/>
            <w:r w:rsidRPr="00B1745F">
              <w:rPr>
                <w:rFonts w:ascii="Courier New" w:eastAsia="Courier New" w:hAnsi="Courier New" w:cs="Courier New"/>
                <w:color w:val="A8E6CF"/>
                <w:sz w:val="19"/>
                <w:szCs w:val="19"/>
                <w:lang w:val="en-US"/>
              </w:rPr>
              <w:t>_id":            "string (UUID)",</w:t>
            </w:r>
          </w:p>
          <w:p w14:paraId="77AE777C"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agent</w:t>
            </w:r>
            <w:proofErr w:type="gramEnd"/>
            <w:r w:rsidRPr="00B1745F">
              <w:rPr>
                <w:rFonts w:ascii="Courier New" w:eastAsia="Courier New" w:hAnsi="Courier New" w:cs="Courier New"/>
                <w:color w:val="A8E6CF"/>
                <w:sz w:val="19"/>
                <w:szCs w:val="19"/>
                <w:lang w:val="en-US"/>
              </w:rPr>
              <w:t>_id":               "string",</w:t>
            </w:r>
          </w:p>
          <w:p w14:paraId="7B2AB6B2"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lastRenderedPageBreak/>
              <w:t xml:space="preserve">  "stage":                  "design | build | test | deploy",</w:t>
            </w:r>
          </w:p>
          <w:p w14:paraId="30AFC52C"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"timestamp":              "ISO 8601",</w:t>
            </w:r>
          </w:p>
          <w:p w14:paraId="622C0239"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"vector": {</w:t>
            </w:r>
          </w:p>
          <w:p w14:paraId="4D5E2B5C"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functional</w:t>
            </w:r>
            <w:proofErr w:type="gramEnd"/>
            <w:r w:rsidRPr="00B1745F">
              <w:rPr>
                <w:rFonts w:ascii="Courier New" w:eastAsia="Courier New" w:hAnsi="Courier New" w:cs="Courier New"/>
                <w:color w:val="A8E6CF"/>
                <w:sz w:val="19"/>
                <w:szCs w:val="19"/>
                <w:lang w:val="en-US"/>
              </w:rPr>
              <w:t>_correctness": float,   // v₁  ∈ [0,1]</w:t>
            </w:r>
          </w:p>
          <w:p w14:paraId="30B23C6B"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architectural</w:t>
            </w:r>
            <w:proofErr w:type="gramEnd"/>
            <w:r w:rsidRPr="00B1745F">
              <w:rPr>
                <w:rFonts w:ascii="Courier New" w:eastAsia="Courier New" w:hAnsi="Courier New" w:cs="Courier New"/>
                <w:color w:val="A8E6CF"/>
                <w:sz w:val="19"/>
                <w:szCs w:val="19"/>
                <w:lang w:val="en-US"/>
              </w:rPr>
              <w:t>_alignment": float,  // v₂  ∈ [0,1]</w:t>
            </w:r>
          </w:p>
          <w:p w14:paraId="40C4A019"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scalability</w:t>
            </w:r>
            <w:proofErr w:type="gramEnd"/>
            <w:r w:rsidRPr="00B1745F">
              <w:rPr>
                <w:rFonts w:ascii="Courier New" w:eastAsia="Courier New" w:hAnsi="Courier New" w:cs="Courier New"/>
                <w:color w:val="A8E6CF"/>
                <w:sz w:val="19"/>
                <w:szCs w:val="19"/>
                <w:lang w:val="en-US"/>
              </w:rPr>
              <w:t>_projection":  float,  // v₃  ∈ [0,1]</w:t>
            </w:r>
          </w:p>
          <w:p w14:paraId="523EC702"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security</w:t>
            </w:r>
            <w:proofErr w:type="gramEnd"/>
            <w:r w:rsidRPr="00B1745F">
              <w:rPr>
                <w:rFonts w:ascii="Courier New" w:eastAsia="Courier New" w:hAnsi="Courier New" w:cs="Courier New"/>
                <w:color w:val="A8E6CF"/>
                <w:sz w:val="19"/>
                <w:szCs w:val="19"/>
                <w:lang w:val="en-US"/>
              </w:rPr>
              <w:t>_risk":           float,  // v₄  ∈ [0,1]  (1=no risk)</w:t>
            </w:r>
          </w:p>
          <w:p w14:paraId="4D656F18"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observability</w:t>
            </w:r>
            <w:proofErr w:type="gramEnd"/>
            <w:r w:rsidRPr="00B1745F">
              <w:rPr>
                <w:rFonts w:ascii="Courier New" w:eastAsia="Courier New" w:hAnsi="Courier New" w:cs="Courier New"/>
                <w:color w:val="A8E6CF"/>
                <w:sz w:val="19"/>
                <w:szCs w:val="19"/>
                <w:lang w:val="en-US"/>
              </w:rPr>
              <w:t>_coverage":  float,  // v₅  ∈ [0,1]</w:t>
            </w:r>
          </w:p>
          <w:p w14:paraId="4763BD9E"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"testability":             float,  // v₆  ∈ [0,1]</w:t>
            </w:r>
          </w:p>
          <w:p w14:paraId="586E1E54"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"maintainability":         float,  // v₇  ∈ [0,1]</w:t>
            </w:r>
          </w:p>
          <w:p w14:paraId="138E64BE"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technical</w:t>
            </w:r>
            <w:proofErr w:type="gramEnd"/>
            <w:r w:rsidRPr="00B1745F">
              <w:rPr>
                <w:rFonts w:ascii="Courier New" w:eastAsia="Courier New" w:hAnsi="Courier New" w:cs="Courier New"/>
                <w:color w:val="A8E6CF"/>
                <w:sz w:val="19"/>
                <w:szCs w:val="19"/>
                <w:lang w:val="en-US"/>
              </w:rPr>
              <w:t>_debt":          float,  // v₈  ∈ [0,1]  (1=no debt)</w:t>
            </w:r>
          </w:p>
          <w:p w14:paraId="58BB99E6"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"performance":             float,  // v₉  ∈ [0,1]</w:t>
            </w:r>
          </w:p>
          <w:p w14:paraId="300BF455"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"confidence":              float,  // v₁₀ ∈ [0,1]</w:t>
            </w:r>
          </w:p>
          <w:p w14:paraId="55A92A4F"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anomaly</w:t>
            </w:r>
            <w:proofErr w:type="gramEnd"/>
            <w:r w:rsidRPr="00B1745F">
              <w:rPr>
                <w:rFonts w:ascii="Courier New" w:eastAsia="Courier New" w:hAnsi="Courier New" w:cs="Courier New"/>
                <w:color w:val="A8E6CF"/>
                <w:sz w:val="19"/>
                <w:szCs w:val="19"/>
                <w:lang w:val="en-US"/>
              </w:rPr>
              <w:t>_score":           float   // v₁₁ ∈ [0,1]  (1=no anomaly)</w:t>
            </w:r>
          </w:p>
          <w:p w14:paraId="55C8F2D6"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
          <w:p w14:paraId="1918E94A"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"weights":                { /* optional: w</w:t>
            </w:r>
            <w:r>
              <w:rPr>
                <w:rFonts w:ascii="Courier New" w:eastAsia="Courier New" w:hAnsi="Courier New" w:cs="Courier New"/>
                <w:color w:val="A8E6CF"/>
                <w:sz w:val="19"/>
                <w:szCs w:val="19"/>
              </w:rPr>
              <w:t>ᵢⱼ</w:t>
            </w:r>
            <w:r w:rsidRPr="00B1745F">
              <w:rPr>
                <w:rFonts w:ascii="Courier New" w:eastAsia="Courier New" w:hAnsi="Courier New" w:cs="Courier New"/>
                <w:color w:val="A8E6CF"/>
                <w:sz w:val="19"/>
                <w:szCs w:val="19"/>
                <w:lang w:val="en-US"/>
              </w:rPr>
              <w:t xml:space="preserve"> calibration map */ },</w:t>
            </w:r>
          </w:p>
          <w:p w14:paraId="6BBA84C9"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"metadata":              { "qa_agent": "string", "model_version": "string" }</w:t>
            </w:r>
          </w:p>
          <w:p w14:paraId="6D85091B" w14:textId="77777777" w:rsidR="00DC2B9A" w:rsidRDefault="00B5030D">
            <w:pPr>
              <w:spacing w:before="20" w:after="20"/>
            </w:pPr>
            <w:r>
              <w:rPr>
                <w:rFonts w:ascii="Courier New" w:eastAsia="Courier New" w:hAnsi="Courier New" w:cs="Courier New"/>
                <w:color w:val="A8E6CF"/>
                <w:sz w:val="19"/>
                <w:szCs w:val="19"/>
              </w:rPr>
              <w:t>}</w:t>
            </w:r>
          </w:p>
        </w:tc>
      </w:tr>
    </w:tbl>
    <w:p w14:paraId="5FE6E276" w14:textId="77777777" w:rsidR="00DC2B9A" w:rsidRDefault="00DC2B9A">
      <w:pPr>
        <w:spacing w:before="120" w:after="120"/>
      </w:pPr>
    </w:p>
    <w:p w14:paraId="378AB836" w14:textId="77777777" w:rsidR="00DC2B9A" w:rsidRPr="00B1745F" w:rsidRDefault="00B5030D">
      <w:pPr>
        <w:pStyle w:val="Ttulo1"/>
        <w:spacing w:before="280" w:after="120"/>
        <w:rPr>
          <w:lang w:val="en-US"/>
        </w:rPr>
      </w:pPr>
      <w:r w:rsidRPr="00B1745F">
        <w:rPr>
          <w:sz w:val="24"/>
          <w:szCs w:val="24"/>
          <w:lang w:val="en-US"/>
        </w:rPr>
        <w:t>Appendix B — Inference Layer Output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B9A" w14:paraId="7F88B3D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40" w:type="dxa"/>
              <w:left w:w="200" w:type="dxa"/>
              <w:bottom w:w="140" w:type="dxa"/>
              <w:right w:w="200" w:type="dxa"/>
            </w:tcMar>
          </w:tcPr>
          <w:p w14:paraId="5FC9C64F"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w:t>
            </w:r>
          </w:p>
          <w:p w14:paraId="5AC9A49B"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tensor</w:t>
            </w:r>
            <w:proofErr w:type="gramEnd"/>
            <w:r w:rsidRPr="00B1745F">
              <w:rPr>
                <w:rFonts w:ascii="Courier New" w:eastAsia="Courier New" w:hAnsi="Courier New" w:cs="Courier New"/>
                <w:color w:val="A8E6CF"/>
                <w:sz w:val="19"/>
                <w:szCs w:val="19"/>
                <w:lang w:val="en-US"/>
              </w:rPr>
              <w:t>_snapshot_id": "string",</w:t>
            </w:r>
          </w:p>
          <w:p w14:paraId="04BCBB55"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evaluated</w:t>
            </w:r>
            <w:proofErr w:type="gramEnd"/>
            <w:r w:rsidRPr="00B1745F">
              <w:rPr>
                <w:rFonts w:ascii="Courier New" w:eastAsia="Courier New" w:hAnsi="Courier New" w:cs="Courier New"/>
                <w:color w:val="A8E6CF"/>
                <w:sz w:val="19"/>
                <w:szCs w:val="19"/>
                <w:lang w:val="en-US"/>
              </w:rPr>
              <w:t>_at":       "ISO 8601",</w:t>
            </w:r>
          </w:p>
          <w:p w14:paraId="576B6A5E"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"Omega": {</w:t>
            </w:r>
          </w:p>
          <w:p w14:paraId="4EDC84B8"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global</w:t>
            </w:r>
            <w:proofErr w:type="gramEnd"/>
            <w:r w:rsidRPr="00B1745F">
              <w:rPr>
                <w:rFonts w:ascii="Courier New" w:eastAsia="Courier New" w:hAnsi="Courier New" w:cs="Courier New"/>
                <w:color w:val="A8E6CF"/>
                <w:sz w:val="19"/>
                <w:szCs w:val="19"/>
                <w:lang w:val="en-US"/>
              </w:rPr>
              <w:t>_state":  "stable | warning | critical",</w:t>
            </w:r>
          </w:p>
          <w:p w14:paraId="7CDC683F"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composite</w:t>
            </w:r>
            <w:proofErr w:type="gramEnd"/>
            <w:r w:rsidRPr="00B1745F">
              <w:rPr>
                <w:rFonts w:ascii="Courier New" w:eastAsia="Courier New" w:hAnsi="Courier New" w:cs="Courier New"/>
                <w:color w:val="A8E6CF"/>
                <w:sz w:val="19"/>
                <w:szCs w:val="19"/>
                <w:lang w:val="en-US"/>
              </w:rPr>
              <w:t>_score": float,</w:t>
            </w:r>
          </w:p>
          <w:p w14:paraId="2E983E2F"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pillar</w:t>
            </w:r>
            <w:proofErr w:type="gramEnd"/>
            <w:r w:rsidRPr="00B1745F">
              <w:rPr>
                <w:rFonts w:ascii="Courier New" w:eastAsia="Courier New" w:hAnsi="Courier New" w:cs="Courier New"/>
                <w:color w:val="A8E6CF"/>
                <w:sz w:val="19"/>
                <w:szCs w:val="19"/>
                <w:lang w:val="en-US"/>
              </w:rPr>
              <w:t>_scores":  { /* per-dimension summary */ }</w:t>
            </w:r>
          </w:p>
          <w:p w14:paraId="2196704F"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
          <w:p w14:paraId="235F5B5F"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"Delta": {</w:t>
            </w:r>
          </w:p>
          <w:p w14:paraId="1C4108BB"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"trends": [ { "dimension": "str", "agent": "str", "stage": "str",</w:t>
            </w:r>
          </w:p>
          <w:p w14:paraId="05F8B0C6"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"direction": "improving | stable | degrading",</w:t>
            </w:r>
          </w:p>
          <w:p w14:paraId="30A2504E"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"slope": float } ]</w:t>
            </w:r>
          </w:p>
          <w:p w14:paraId="5DEF98E6"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
          <w:p w14:paraId="4BC9A438"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"Rho": {</w:t>
            </w:r>
          </w:p>
          <w:p w14:paraId="11ADCB11"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"conflicts": [ { "agents": ["a1","a2"], "dimension": "str",</w:t>
            </w:r>
          </w:p>
          <w:p w14:paraId="53541308"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delta</w:t>
            </w:r>
            <w:proofErr w:type="gramEnd"/>
            <w:r w:rsidRPr="00B1745F">
              <w:rPr>
                <w:rFonts w:ascii="Courier New" w:eastAsia="Courier New" w:hAnsi="Courier New" w:cs="Courier New"/>
                <w:color w:val="A8E6CF"/>
                <w:sz w:val="19"/>
                <w:szCs w:val="19"/>
                <w:lang w:val="en-US"/>
              </w:rPr>
              <w:t>_score": float, "severity": "low|medium|high" } ],</w:t>
            </w:r>
          </w:p>
          <w:p w14:paraId="5B6AFB29"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correlated</w:t>
            </w:r>
            <w:proofErr w:type="gramEnd"/>
            <w:r w:rsidRPr="00B1745F">
              <w:rPr>
                <w:rFonts w:ascii="Courier New" w:eastAsia="Courier New" w:hAnsi="Courier New" w:cs="Courier New"/>
                <w:color w:val="A8E6CF"/>
                <w:sz w:val="19"/>
                <w:szCs w:val="19"/>
                <w:lang w:val="en-US"/>
              </w:rPr>
              <w:t>_failures": [ { "dimensions": ["str"], "correlation": float } ]</w:t>
            </w:r>
          </w:p>
          <w:p w14:paraId="32324B42"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
          <w:p w14:paraId="4E7DE404"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"Xi": {</w:t>
            </w:r>
          </w:p>
          <w:p w14:paraId="4EA13A67"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"recommendations": [</w:t>
            </w:r>
          </w:p>
          <w:p w14:paraId="1A4A702A"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 "rank": int, "action": "string", "target": "stage|agent|dimension",</w:t>
            </w:r>
          </w:p>
          <w:p w14:paraId="34BDC091" w14:textId="77777777" w:rsidR="00DC2B9A" w:rsidRPr="00B1745F" w:rsidRDefault="00B5030D">
            <w:pPr>
              <w:spacing w:before="20" w:after="20"/>
              <w:rPr>
                <w:lang w:val="en-US"/>
              </w:rPr>
            </w:pPr>
            <w:r w:rsidRPr="00B1745F">
              <w:rPr>
                <w:rFonts w:ascii="Courier New" w:eastAsia="Courier New" w:hAnsi="Courier New" w:cs="Courier New"/>
                <w:color w:val="A8E6CF"/>
                <w:sz w:val="19"/>
                <w:szCs w:val="19"/>
                <w:lang w:val="en-US"/>
              </w:rPr>
              <w:t xml:space="preserve">        "</w:t>
            </w:r>
            <w:proofErr w:type="gramStart"/>
            <w:r w:rsidRPr="00B1745F">
              <w:rPr>
                <w:rFonts w:ascii="Courier New" w:eastAsia="Courier New" w:hAnsi="Courier New" w:cs="Courier New"/>
                <w:color w:val="A8E6CF"/>
                <w:sz w:val="19"/>
                <w:szCs w:val="19"/>
                <w:lang w:val="en-US"/>
              </w:rPr>
              <w:t>estimated</w:t>
            </w:r>
            <w:proofErr w:type="gramEnd"/>
            <w:r w:rsidRPr="00B1745F">
              <w:rPr>
                <w:rFonts w:ascii="Courier New" w:eastAsia="Courier New" w:hAnsi="Courier New" w:cs="Courier New"/>
                <w:color w:val="A8E6CF"/>
                <w:sz w:val="19"/>
                <w:szCs w:val="19"/>
                <w:lang w:val="en-US"/>
              </w:rPr>
              <w:t>_impact": float, "urgency": "low|medium|high" }</w:t>
            </w:r>
          </w:p>
          <w:p w14:paraId="6E915530" w14:textId="77777777" w:rsidR="00DC2B9A" w:rsidRDefault="00B5030D">
            <w:pPr>
              <w:spacing w:before="20" w:after="20"/>
            </w:pPr>
            <w:r w:rsidRPr="00B1745F">
              <w:rPr>
                <w:rFonts w:ascii="Courier New" w:eastAsia="Courier New" w:hAnsi="Courier New" w:cs="Courier New"/>
                <w:color w:val="A8E6CF"/>
                <w:sz w:val="19"/>
                <w:szCs w:val="19"/>
                <w:lang w:val="en-US"/>
              </w:rPr>
              <w:t xml:space="preserve">    </w:t>
            </w:r>
            <w:r>
              <w:rPr>
                <w:rFonts w:ascii="Courier New" w:eastAsia="Courier New" w:hAnsi="Courier New" w:cs="Courier New"/>
                <w:color w:val="A8E6CF"/>
                <w:sz w:val="19"/>
                <w:szCs w:val="19"/>
              </w:rPr>
              <w:t>]</w:t>
            </w:r>
          </w:p>
          <w:p w14:paraId="587DFC76" w14:textId="77777777" w:rsidR="00DC2B9A" w:rsidRDefault="00B5030D">
            <w:pPr>
              <w:spacing w:before="20" w:after="20"/>
            </w:pPr>
            <w:r>
              <w:rPr>
                <w:rFonts w:ascii="Courier New" w:eastAsia="Courier New" w:hAnsi="Courier New" w:cs="Courier New"/>
                <w:color w:val="A8E6CF"/>
                <w:sz w:val="19"/>
                <w:szCs w:val="19"/>
              </w:rPr>
              <w:t xml:space="preserve">  }</w:t>
            </w:r>
          </w:p>
          <w:p w14:paraId="744B159A" w14:textId="77777777" w:rsidR="00DC2B9A" w:rsidRDefault="00B5030D">
            <w:pPr>
              <w:spacing w:before="20" w:after="20"/>
            </w:pPr>
            <w:r>
              <w:rPr>
                <w:rFonts w:ascii="Courier New" w:eastAsia="Courier New" w:hAnsi="Courier New" w:cs="Courier New"/>
                <w:color w:val="A8E6CF"/>
                <w:sz w:val="19"/>
                <w:szCs w:val="19"/>
              </w:rPr>
              <w:t>}</w:t>
            </w:r>
          </w:p>
        </w:tc>
      </w:tr>
    </w:tbl>
    <w:p w14:paraId="3A6966D3" w14:textId="77777777" w:rsidR="00B5030D" w:rsidRDefault="00B5030D"/>
    <w:sectPr w:rsidR="00B5030D">
      <w:headerReference w:type="default" r:id="rId8"/>
      <w:footerReference w:type="default" r:id="rId9"/>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A683B" w14:textId="77777777" w:rsidR="00463F18" w:rsidRDefault="00463F18">
      <w:r>
        <w:separator/>
      </w:r>
    </w:p>
  </w:endnote>
  <w:endnote w:type="continuationSeparator" w:id="0">
    <w:p w14:paraId="5939EAF4" w14:textId="77777777" w:rsidR="00463F18" w:rsidRDefault="00463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826E1" w14:textId="62961545" w:rsidR="00DC2B9A" w:rsidRDefault="00B5030D">
    <w:pPr>
      <w:pBdr>
        <w:top w:val="single" w:sz="4" w:space="1" w:color="2E6DA4"/>
      </w:pBdr>
      <w:spacing w:before="80"/>
      <w:jc w:val="center"/>
    </w:pPr>
    <w:r>
      <w:rPr>
        <w:color w:val="888888"/>
        <w:sz w:val="18"/>
        <w:szCs w:val="18"/>
      </w:rPr>
      <w:t>P</w:t>
    </w:r>
    <w:r w:rsidR="00B1745F">
      <w:rPr>
        <w:color w:val="888888"/>
        <w:sz w:val="18"/>
        <w:szCs w:val="18"/>
      </w:rPr>
      <w:t>age</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B1745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9C5F7" w14:textId="77777777" w:rsidR="00463F18" w:rsidRDefault="00463F18">
      <w:r>
        <w:separator/>
      </w:r>
    </w:p>
  </w:footnote>
  <w:footnote w:type="continuationSeparator" w:id="0">
    <w:p w14:paraId="7434EF1E" w14:textId="77777777" w:rsidR="00463F18" w:rsidRDefault="00463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09F3F" w14:textId="77777777" w:rsidR="00DC2B9A" w:rsidRPr="00B1745F" w:rsidRDefault="00B5030D">
    <w:pPr>
      <w:pBdr>
        <w:bottom w:val="single" w:sz="4" w:space="1" w:color="2E6DA4"/>
      </w:pBdr>
      <w:spacing w:after="120"/>
      <w:rPr>
        <w:lang w:val="en-US"/>
      </w:rPr>
    </w:pPr>
    <w:r w:rsidRPr="00B1745F">
      <w:rPr>
        <w:b/>
        <w:bCs/>
        <w:color w:val="1A3A5C"/>
        <w:sz w:val="18"/>
        <w:szCs w:val="18"/>
        <w:lang w:val="en-US"/>
      </w:rPr>
      <w:t>TCO — Tensor-based Cognitive Oversight</w:t>
    </w:r>
    <w:r w:rsidRPr="00B1745F">
      <w:rPr>
        <w:color w:val="888888"/>
        <w:sz w:val="18"/>
        <w:szCs w:val="18"/>
        <w:lang w:val="en-US"/>
      </w:rPr>
      <w:t xml:space="preserve">  |  Working Paper — 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57000"/>
    <w:multiLevelType w:val="hybridMultilevel"/>
    <w:tmpl w:val="24960D28"/>
    <w:lvl w:ilvl="0" w:tplc="3C82CD6A">
      <w:start w:val="1"/>
      <w:numFmt w:val="bullet"/>
      <w:lvlText w:val="●"/>
      <w:lvlJc w:val="left"/>
      <w:pPr>
        <w:ind w:left="720" w:hanging="360"/>
      </w:pPr>
    </w:lvl>
    <w:lvl w:ilvl="1" w:tplc="E132EF6A">
      <w:start w:val="1"/>
      <w:numFmt w:val="bullet"/>
      <w:lvlText w:val="○"/>
      <w:lvlJc w:val="left"/>
      <w:pPr>
        <w:ind w:left="1440" w:hanging="360"/>
      </w:pPr>
    </w:lvl>
    <w:lvl w:ilvl="2" w:tplc="6CEE5A84">
      <w:start w:val="1"/>
      <w:numFmt w:val="bullet"/>
      <w:lvlText w:val="■"/>
      <w:lvlJc w:val="left"/>
      <w:pPr>
        <w:ind w:left="2160" w:hanging="360"/>
      </w:pPr>
    </w:lvl>
    <w:lvl w:ilvl="3" w:tplc="021072B2">
      <w:start w:val="1"/>
      <w:numFmt w:val="bullet"/>
      <w:lvlText w:val="●"/>
      <w:lvlJc w:val="left"/>
      <w:pPr>
        <w:ind w:left="2880" w:hanging="360"/>
      </w:pPr>
    </w:lvl>
    <w:lvl w:ilvl="4" w:tplc="784EA9E8">
      <w:start w:val="1"/>
      <w:numFmt w:val="bullet"/>
      <w:lvlText w:val="○"/>
      <w:lvlJc w:val="left"/>
      <w:pPr>
        <w:ind w:left="3600" w:hanging="360"/>
      </w:pPr>
    </w:lvl>
    <w:lvl w:ilvl="5" w:tplc="9F46B8B4">
      <w:start w:val="1"/>
      <w:numFmt w:val="bullet"/>
      <w:lvlText w:val="■"/>
      <w:lvlJc w:val="left"/>
      <w:pPr>
        <w:ind w:left="4320" w:hanging="360"/>
      </w:pPr>
    </w:lvl>
    <w:lvl w:ilvl="6" w:tplc="625CFA70">
      <w:start w:val="1"/>
      <w:numFmt w:val="bullet"/>
      <w:lvlText w:val="●"/>
      <w:lvlJc w:val="left"/>
      <w:pPr>
        <w:ind w:left="5040" w:hanging="360"/>
      </w:pPr>
    </w:lvl>
    <w:lvl w:ilvl="7" w:tplc="3ABE04D2">
      <w:start w:val="1"/>
      <w:numFmt w:val="bullet"/>
      <w:lvlText w:val="●"/>
      <w:lvlJc w:val="left"/>
      <w:pPr>
        <w:ind w:left="5760" w:hanging="360"/>
      </w:pPr>
    </w:lvl>
    <w:lvl w:ilvl="8" w:tplc="66CE4F00">
      <w:start w:val="1"/>
      <w:numFmt w:val="bullet"/>
      <w:lvlText w:val="●"/>
      <w:lvlJc w:val="left"/>
      <w:pPr>
        <w:ind w:left="6480" w:hanging="360"/>
      </w:pPr>
    </w:lvl>
  </w:abstractNum>
  <w:abstractNum w:abstractNumId="1" w15:restartNumberingAfterBreak="0">
    <w:nsid w:val="1935322D"/>
    <w:multiLevelType w:val="hybridMultilevel"/>
    <w:tmpl w:val="6F6A969E"/>
    <w:lvl w:ilvl="0" w:tplc="A2180362">
      <w:start w:val="1"/>
      <w:numFmt w:val="bullet"/>
      <w:lvlText w:val="•"/>
      <w:lvlJc w:val="left"/>
      <w:pPr>
        <w:ind w:left="720" w:hanging="360"/>
      </w:pPr>
      <w:rPr>
        <w:rFonts w:ascii="Arial" w:eastAsia="Arial" w:hAnsi="Arial" w:cs="Arial"/>
      </w:rPr>
    </w:lvl>
    <w:lvl w:ilvl="1" w:tplc="39CA73AE">
      <w:start w:val="1"/>
      <w:numFmt w:val="bullet"/>
      <w:lvlText w:val="◦"/>
      <w:lvlJc w:val="left"/>
      <w:pPr>
        <w:ind w:left="1080" w:hanging="360"/>
      </w:pPr>
      <w:rPr>
        <w:rFonts w:ascii="Arial" w:eastAsia="Arial" w:hAnsi="Arial" w:cs="Arial"/>
      </w:rPr>
    </w:lvl>
    <w:lvl w:ilvl="2" w:tplc="60644B3E">
      <w:numFmt w:val="decimal"/>
      <w:lvlText w:val=""/>
      <w:lvlJc w:val="left"/>
    </w:lvl>
    <w:lvl w:ilvl="3" w:tplc="F9C0001A">
      <w:numFmt w:val="decimal"/>
      <w:lvlText w:val=""/>
      <w:lvlJc w:val="left"/>
    </w:lvl>
    <w:lvl w:ilvl="4" w:tplc="4A5C04CE">
      <w:numFmt w:val="decimal"/>
      <w:lvlText w:val=""/>
      <w:lvlJc w:val="left"/>
    </w:lvl>
    <w:lvl w:ilvl="5" w:tplc="CE60D928">
      <w:numFmt w:val="decimal"/>
      <w:lvlText w:val=""/>
      <w:lvlJc w:val="left"/>
    </w:lvl>
    <w:lvl w:ilvl="6" w:tplc="95DA6F50">
      <w:numFmt w:val="decimal"/>
      <w:lvlText w:val=""/>
      <w:lvlJc w:val="left"/>
    </w:lvl>
    <w:lvl w:ilvl="7" w:tplc="B5E24854">
      <w:numFmt w:val="decimal"/>
      <w:lvlText w:val=""/>
      <w:lvlJc w:val="left"/>
    </w:lvl>
    <w:lvl w:ilvl="8" w:tplc="2F96D840">
      <w:numFmt w:val="decimal"/>
      <w:lvlText w:val=""/>
      <w:lvlJc w:val="left"/>
    </w:lvl>
  </w:abstractNum>
  <w:abstractNum w:abstractNumId="2" w15:restartNumberingAfterBreak="0">
    <w:nsid w:val="511B39EB"/>
    <w:multiLevelType w:val="hybridMultilevel"/>
    <w:tmpl w:val="76148028"/>
    <w:lvl w:ilvl="0" w:tplc="0076188A">
      <w:start w:val="1"/>
      <w:numFmt w:val="decimal"/>
      <w:lvlText w:val="%1."/>
      <w:lvlJc w:val="left"/>
      <w:pPr>
        <w:ind w:left="720" w:hanging="360"/>
      </w:pPr>
      <w:rPr>
        <w:rFonts w:ascii="Arial" w:eastAsia="Arial" w:hAnsi="Arial" w:cs="Arial"/>
      </w:rPr>
    </w:lvl>
    <w:lvl w:ilvl="1" w:tplc="DAEC0B76">
      <w:numFmt w:val="decimal"/>
      <w:lvlText w:val=""/>
      <w:lvlJc w:val="left"/>
    </w:lvl>
    <w:lvl w:ilvl="2" w:tplc="FE26950A">
      <w:numFmt w:val="decimal"/>
      <w:lvlText w:val=""/>
      <w:lvlJc w:val="left"/>
    </w:lvl>
    <w:lvl w:ilvl="3" w:tplc="35488DB8">
      <w:numFmt w:val="decimal"/>
      <w:lvlText w:val=""/>
      <w:lvlJc w:val="left"/>
    </w:lvl>
    <w:lvl w:ilvl="4" w:tplc="6D26CE64">
      <w:numFmt w:val="decimal"/>
      <w:lvlText w:val=""/>
      <w:lvlJc w:val="left"/>
    </w:lvl>
    <w:lvl w:ilvl="5" w:tplc="56103F2A">
      <w:numFmt w:val="decimal"/>
      <w:lvlText w:val=""/>
      <w:lvlJc w:val="left"/>
    </w:lvl>
    <w:lvl w:ilvl="6" w:tplc="BA40CB3C">
      <w:numFmt w:val="decimal"/>
      <w:lvlText w:val=""/>
      <w:lvlJc w:val="left"/>
    </w:lvl>
    <w:lvl w:ilvl="7" w:tplc="59F68728">
      <w:numFmt w:val="decimal"/>
      <w:lvlText w:val=""/>
      <w:lvlJc w:val="left"/>
    </w:lvl>
    <w:lvl w:ilvl="8" w:tplc="936C240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B9A"/>
    <w:rsid w:val="00463F18"/>
    <w:rsid w:val="008A4DC9"/>
    <w:rsid w:val="00B1745F"/>
    <w:rsid w:val="00B5030D"/>
    <w:rsid w:val="00B5055A"/>
    <w:rsid w:val="00D74A6B"/>
    <w:rsid w:val="00D769F4"/>
    <w:rsid w:val="00DC2B9A"/>
    <w:rsid w:val="00DE22B8"/>
    <w:rsid w:val="00ED24B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E0DC5"/>
  <w15:docId w15:val="{B8FFBEF1-DBE1-4A05-BB43-47BEF064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3A5C"/>
      <w:sz w:val="40"/>
      <w:szCs w:val="40"/>
    </w:rPr>
  </w:style>
  <w:style w:type="paragraph" w:styleId="Ttulo2">
    <w:name w:val="heading 2"/>
    <w:uiPriority w:val="9"/>
    <w:unhideWhenUsed/>
    <w:qFormat/>
    <w:pPr>
      <w:spacing w:before="280" w:after="120"/>
      <w:outlineLvl w:val="1"/>
    </w:pPr>
    <w:rPr>
      <w:b/>
      <w:bCs/>
      <w:color w:val="2E6DA4"/>
      <w:sz w:val="30"/>
      <w:szCs w:val="30"/>
    </w:rPr>
  </w:style>
  <w:style w:type="paragraph" w:styleId="Ttulo3">
    <w:name w:val="heading 3"/>
    <w:uiPriority w:val="9"/>
    <w:unhideWhenUsed/>
    <w:qFormat/>
    <w:pPr>
      <w:spacing w:before="220" w:after="80"/>
      <w:outlineLvl w:val="2"/>
    </w:pPr>
    <w:rPr>
      <w:b/>
      <w:bCs/>
      <w:color w:val="0D6B55"/>
      <w:sz w:val="26"/>
      <w:szCs w:val="26"/>
    </w:rPr>
  </w:style>
  <w:style w:type="paragraph" w:styleId="Ttulo4">
    <w:name w:val="heading 4"/>
    <w:uiPriority w:val="9"/>
    <w:semiHidden/>
    <w:unhideWhenUsed/>
    <w:qFormat/>
    <w:pPr>
      <w:spacing w:before="180" w:after="60"/>
      <w:outlineLvl w:val="3"/>
    </w:pPr>
    <w:rPr>
      <w:b/>
      <w:bCs/>
      <w:color w:val="4A3B9C"/>
      <w:sz w:val="24"/>
      <w:szCs w:val="24"/>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1745F"/>
    <w:pPr>
      <w:tabs>
        <w:tab w:val="center" w:pos="4252"/>
        <w:tab w:val="right" w:pos="8504"/>
      </w:tabs>
    </w:pPr>
  </w:style>
  <w:style w:type="character" w:customStyle="1" w:styleId="EncabezadoCar">
    <w:name w:val="Encabezado Car"/>
    <w:basedOn w:val="Fuentedeprrafopredeter"/>
    <w:link w:val="Encabezado"/>
    <w:uiPriority w:val="99"/>
    <w:rsid w:val="00B1745F"/>
  </w:style>
  <w:style w:type="paragraph" w:styleId="Piedepgina">
    <w:name w:val="footer"/>
    <w:basedOn w:val="Normal"/>
    <w:link w:val="PiedepginaCar"/>
    <w:uiPriority w:val="99"/>
    <w:unhideWhenUsed/>
    <w:rsid w:val="00B1745F"/>
    <w:pPr>
      <w:tabs>
        <w:tab w:val="center" w:pos="4252"/>
        <w:tab w:val="right" w:pos="8504"/>
      </w:tabs>
    </w:pPr>
  </w:style>
  <w:style w:type="character" w:customStyle="1" w:styleId="PiedepginaCar">
    <w:name w:val="Pie de página Car"/>
    <w:basedOn w:val="Fuentedeprrafopredeter"/>
    <w:link w:val="Piedepgina"/>
    <w:uiPriority w:val="99"/>
    <w:rsid w:val="00B1745F"/>
  </w:style>
  <w:style w:type="paragraph" w:styleId="HTMLconformatoprevio">
    <w:name w:val="HTML Preformatted"/>
    <w:basedOn w:val="Normal"/>
    <w:link w:val="HTMLconformatoprevioCar"/>
    <w:uiPriority w:val="99"/>
    <w:semiHidden/>
    <w:unhideWhenUsed/>
    <w:rsid w:val="008A4DC9"/>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A4DC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54814">
      <w:bodyDiv w:val="1"/>
      <w:marLeft w:val="0"/>
      <w:marRight w:val="0"/>
      <w:marTop w:val="0"/>
      <w:marBottom w:val="0"/>
      <w:divBdr>
        <w:top w:val="none" w:sz="0" w:space="0" w:color="auto"/>
        <w:left w:val="none" w:sz="0" w:space="0" w:color="auto"/>
        <w:bottom w:val="none" w:sz="0" w:space="0" w:color="auto"/>
        <w:right w:val="none" w:sz="0" w:space="0" w:color="auto"/>
      </w:divBdr>
    </w:div>
    <w:div w:id="106780720">
      <w:bodyDiv w:val="1"/>
      <w:marLeft w:val="0"/>
      <w:marRight w:val="0"/>
      <w:marTop w:val="0"/>
      <w:marBottom w:val="0"/>
      <w:divBdr>
        <w:top w:val="none" w:sz="0" w:space="0" w:color="auto"/>
        <w:left w:val="none" w:sz="0" w:space="0" w:color="auto"/>
        <w:bottom w:val="none" w:sz="0" w:space="0" w:color="auto"/>
        <w:right w:val="none" w:sz="0" w:space="0" w:color="auto"/>
      </w:divBdr>
    </w:div>
    <w:div w:id="136648040">
      <w:bodyDiv w:val="1"/>
      <w:marLeft w:val="0"/>
      <w:marRight w:val="0"/>
      <w:marTop w:val="0"/>
      <w:marBottom w:val="0"/>
      <w:divBdr>
        <w:top w:val="none" w:sz="0" w:space="0" w:color="auto"/>
        <w:left w:val="none" w:sz="0" w:space="0" w:color="auto"/>
        <w:bottom w:val="none" w:sz="0" w:space="0" w:color="auto"/>
        <w:right w:val="none" w:sz="0" w:space="0" w:color="auto"/>
      </w:divBdr>
    </w:div>
    <w:div w:id="159392307">
      <w:bodyDiv w:val="1"/>
      <w:marLeft w:val="0"/>
      <w:marRight w:val="0"/>
      <w:marTop w:val="0"/>
      <w:marBottom w:val="0"/>
      <w:divBdr>
        <w:top w:val="none" w:sz="0" w:space="0" w:color="auto"/>
        <w:left w:val="none" w:sz="0" w:space="0" w:color="auto"/>
        <w:bottom w:val="none" w:sz="0" w:space="0" w:color="auto"/>
        <w:right w:val="none" w:sz="0" w:space="0" w:color="auto"/>
      </w:divBdr>
    </w:div>
    <w:div w:id="225802491">
      <w:bodyDiv w:val="1"/>
      <w:marLeft w:val="0"/>
      <w:marRight w:val="0"/>
      <w:marTop w:val="0"/>
      <w:marBottom w:val="0"/>
      <w:divBdr>
        <w:top w:val="none" w:sz="0" w:space="0" w:color="auto"/>
        <w:left w:val="none" w:sz="0" w:space="0" w:color="auto"/>
        <w:bottom w:val="none" w:sz="0" w:space="0" w:color="auto"/>
        <w:right w:val="none" w:sz="0" w:space="0" w:color="auto"/>
      </w:divBdr>
    </w:div>
    <w:div w:id="326057331">
      <w:bodyDiv w:val="1"/>
      <w:marLeft w:val="0"/>
      <w:marRight w:val="0"/>
      <w:marTop w:val="0"/>
      <w:marBottom w:val="0"/>
      <w:divBdr>
        <w:top w:val="none" w:sz="0" w:space="0" w:color="auto"/>
        <w:left w:val="none" w:sz="0" w:space="0" w:color="auto"/>
        <w:bottom w:val="none" w:sz="0" w:space="0" w:color="auto"/>
        <w:right w:val="none" w:sz="0" w:space="0" w:color="auto"/>
      </w:divBdr>
    </w:div>
    <w:div w:id="353573820">
      <w:bodyDiv w:val="1"/>
      <w:marLeft w:val="0"/>
      <w:marRight w:val="0"/>
      <w:marTop w:val="0"/>
      <w:marBottom w:val="0"/>
      <w:divBdr>
        <w:top w:val="none" w:sz="0" w:space="0" w:color="auto"/>
        <w:left w:val="none" w:sz="0" w:space="0" w:color="auto"/>
        <w:bottom w:val="none" w:sz="0" w:space="0" w:color="auto"/>
        <w:right w:val="none" w:sz="0" w:space="0" w:color="auto"/>
      </w:divBdr>
    </w:div>
    <w:div w:id="363794561">
      <w:bodyDiv w:val="1"/>
      <w:marLeft w:val="0"/>
      <w:marRight w:val="0"/>
      <w:marTop w:val="0"/>
      <w:marBottom w:val="0"/>
      <w:divBdr>
        <w:top w:val="none" w:sz="0" w:space="0" w:color="auto"/>
        <w:left w:val="none" w:sz="0" w:space="0" w:color="auto"/>
        <w:bottom w:val="none" w:sz="0" w:space="0" w:color="auto"/>
        <w:right w:val="none" w:sz="0" w:space="0" w:color="auto"/>
      </w:divBdr>
    </w:div>
    <w:div w:id="425538027">
      <w:bodyDiv w:val="1"/>
      <w:marLeft w:val="0"/>
      <w:marRight w:val="0"/>
      <w:marTop w:val="0"/>
      <w:marBottom w:val="0"/>
      <w:divBdr>
        <w:top w:val="none" w:sz="0" w:space="0" w:color="auto"/>
        <w:left w:val="none" w:sz="0" w:space="0" w:color="auto"/>
        <w:bottom w:val="none" w:sz="0" w:space="0" w:color="auto"/>
        <w:right w:val="none" w:sz="0" w:space="0" w:color="auto"/>
      </w:divBdr>
    </w:div>
    <w:div w:id="512306885">
      <w:bodyDiv w:val="1"/>
      <w:marLeft w:val="0"/>
      <w:marRight w:val="0"/>
      <w:marTop w:val="0"/>
      <w:marBottom w:val="0"/>
      <w:divBdr>
        <w:top w:val="none" w:sz="0" w:space="0" w:color="auto"/>
        <w:left w:val="none" w:sz="0" w:space="0" w:color="auto"/>
        <w:bottom w:val="none" w:sz="0" w:space="0" w:color="auto"/>
        <w:right w:val="none" w:sz="0" w:space="0" w:color="auto"/>
      </w:divBdr>
    </w:div>
    <w:div w:id="568733701">
      <w:bodyDiv w:val="1"/>
      <w:marLeft w:val="0"/>
      <w:marRight w:val="0"/>
      <w:marTop w:val="0"/>
      <w:marBottom w:val="0"/>
      <w:divBdr>
        <w:top w:val="none" w:sz="0" w:space="0" w:color="auto"/>
        <w:left w:val="none" w:sz="0" w:space="0" w:color="auto"/>
        <w:bottom w:val="none" w:sz="0" w:space="0" w:color="auto"/>
        <w:right w:val="none" w:sz="0" w:space="0" w:color="auto"/>
      </w:divBdr>
    </w:div>
    <w:div w:id="691418194">
      <w:bodyDiv w:val="1"/>
      <w:marLeft w:val="0"/>
      <w:marRight w:val="0"/>
      <w:marTop w:val="0"/>
      <w:marBottom w:val="0"/>
      <w:divBdr>
        <w:top w:val="none" w:sz="0" w:space="0" w:color="auto"/>
        <w:left w:val="none" w:sz="0" w:space="0" w:color="auto"/>
        <w:bottom w:val="none" w:sz="0" w:space="0" w:color="auto"/>
        <w:right w:val="none" w:sz="0" w:space="0" w:color="auto"/>
      </w:divBdr>
    </w:div>
    <w:div w:id="713890839">
      <w:bodyDiv w:val="1"/>
      <w:marLeft w:val="0"/>
      <w:marRight w:val="0"/>
      <w:marTop w:val="0"/>
      <w:marBottom w:val="0"/>
      <w:divBdr>
        <w:top w:val="none" w:sz="0" w:space="0" w:color="auto"/>
        <w:left w:val="none" w:sz="0" w:space="0" w:color="auto"/>
        <w:bottom w:val="none" w:sz="0" w:space="0" w:color="auto"/>
        <w:right w:val="none" w:sz="0" w:space="0" w:color="auto"/>
      </w:divBdr>
    </w:div>
    <w:div w:id="780610355">
      <w:bodyDiv w:val="1"/>
      <w:marLeft w:val="0"/>
      <w:marRight w:val="0"/>
      <w:marTop w:val="0"/>
      <w:marBottom w:val="0"/>
      <w:divBdr>
        <w:top w:val="none" w:sz="0" w:space="0" w:color="auto"/>
        <w:left w:val="none" w:sz="0" w:space="0" w:color="auto"/>
        <w:bottom w:val="none" w:sz="0" w:space="0" w:color="auto"/>
        <w:right w:val="none" w:sz="0" w:space="0" w:color="auto"/>
      </w:divBdr>
    </w:div>
    <w:div w:id="791903075">
      <w:bodyDiv w:val="1"/>
      <w:marLeft w:val="0"/>
      <w:marRight w:val="0"/>
      <w:marTop w:val="0"/>
      <w:marBottom w:val="0"/>
      <w:divBdr>
        <w:top w:val="none" w:sz="0" w:space="0" w:color="auto"/>
        <w:left w:val="none" w:sz="0" w:space="0" w:color="auto"/>
        <w:bottom w:val="none" w:sz="0" w:space="0" w:color="auto"/>
        <w:right w:val="none" w:sz="0" w:space="0" w:color="auto"/>
      </w:divBdr>
    </w:div>
    <w:div w:id="857504137">
      <w:bodyDiv w:val="1"/>
      <w:marLeft w:val="0"/>
      <w:marRight w:val="0"/>
      <w:marTop w:val="0"/>
      <w:marBottom w:val="0"/>
      <w:divBdr>
        <w:top w:val="none" w:sz="0" w:space="0" w:color="auto"/>
        <w:left w:val="none" w:sz="0" w:space="0" w:color="auto"/>
        <w:bottom w:val="none" w:sz="0" w:space="0" w:color="auto"/>
        <w:right w:val="none" w:sz="0" w:space="0" w:color="auto"/>
      </w:divBdr>
    </w:div>
    <w:div w:id="900796905">
      <w:bodyDiv w:val="1"/>
      <w:marLeft w:val="0"/>
      <w:marRight w:val="0"/>
      <w:marTop w:val="0"/>
      <w:marBottom w:val="0"/>
      <w:divBdr>
        <w:top w:val="none" w:sz="0" w:space="0" w:color="auto"/>
        <w:left w:val="none" w:sz="0" w:space="0" w:color="auto"/>
        <w:bottom w:val="none" w:sz="0" w:space="0" w:color="auto"/>
        <w:right w:val="none" w:sz="0" w:space="0" w:color="auto"/>
      </w:divBdr>
    </w:div>
    <w:div w:id="946351113">
      <w:bodyDiv w:val="1"/>
      <w:marLeft w:val="0"/>
      <w:marRight w:val="0"/>
      <w:marTop w:val="0"/>
      <w:marBottom w:val="0"/>
      <w:divBdr>
        <w:top w:val="none" w:sz="0" w:space="0" w:color="auto"/>
        <w:left w:val="none" w:sz="0" w:space="0" w:color="auto"/>
        <w:bottom w:val="none" w:sz="0" w:space="0" w:color="auto"/>
        <w:right w:val="none" w:sz="0" w:space="0" w:color="auto"/>
      </w:divBdr>
    </w:div>
    <w:div w:id="966662785">
      <w:bodyDiv w:val="1"/>
      <w:marLeft w:val="0"/>
      <w:marRight w:val="0"/>
      <w:marTop w:val="0"/>
      <w:marBottom w:val="0"/>
      <w:divBdr>
        <w:top w:val="none" w:sz="0" w:space="0" w:color="auto"/>
        <w:left w:val="none" w:sz="0" w:space="0" w:color="auto"/>
        <w:bottom w:val="none" w:sz="0" w:space="0" w:color="auto"/>
        <w:right w:val="none" w:sz="0" w:space="0" w:color="auto"/>
      </w:divBdr>
    </w:div>
    <w:div w:id="978152245">
      <w:bodyDiv w:val="1"/>
      <w:marLeft w:val="0"/>
      <w:marRight w:val="0"/>
      <w:marTop w:val="0"/>
      <w:marBottom w:val="0"/>
      <w:divBdr>
        <w:top w:val="none" w:sz="0" w:space="0" w:color="auto"/>
        <w:left w:val="none" w:sz="0" w:space="0" w:color="auto"/>
        <w:bottom w:val="none" w:sz="0" w:space="0" w:color="auto"/>
        <w:right w:val="none" w:sz="0" w:space="0" w:color="auto"/>
      </w:divBdr>
    </w:div>
    <w:div w:id="1052073950">
      <w:bodyDiv w:val="1"/>
      <w:marLeft w:val="0"/>
      <w:marRight w:val="0"/>
      <w:marTop w:val="0"/>
      <w:marBottom w:val="0"/>
      <w:divBdr>
        <w:top w:val="none" w:sz="0" w:space="0" w:color="auto"/>
        <w:left w:val="none" w:sz="0" w:space="0" w:color="auto"/>
        <w:bottom w:val="none" w:sz="0" w:space="0" w:color="auto"/>
        <w:right w:val="none" w:sz="0" w:space="0" w:color="auto"/>
      </w:divBdr>
    </w:div>
    <w:div w:id="1073507692">
      <w:bodyDiv w:val="1"/>
      <w:marLeft w:val="0"/>
      <w:marRight w:val="0"/>
      <w:marTop w:val="0"/>
      <w:marBottom w:val="0"/>
      <w:divBdr>
        <w:top w:val="none" w:sz="0" w:space="0" w:color="auto"/>
        <w:left w:val="none" w:sz="0" w:space="0" w:color="auto"/>
        <w:bottom w:val="none" w:sz="0" w:space="0" w:color="auto"/>
        <w:right w:val="none" w:sz="0" w:space="0" w:color="auto"/>
      </w:divBdr>
    </w:div>
    <w:div w:id="1078862581">
      <w:bodyDiv w:val="1"/>
      <w:marLeft w:val="0"/>
      <w:marRight w:val="0"/>
      <w:marTop w:val="0"/>
      <w:marBottom w:val="0"/>
      <w:divBdr>
        <w:top w:val="none" w:sz="0" w:space="0" w:color="auto"/>
        <w:left w:val="none" w:sz="0" w:space="0" w:color="auto"/>
        <w:bottom w:val="none" w:sz="0" w:space="0" w:color="auto"/>
        <w:right w:val="none" w:sz="0" w:space="0" w:color="auto"/>
      </w:divBdr>
    </w:div>
    <w:div w:id="1109620701">
      <w:bodyDiv w:val="1"/>
      <w:marLeft w:val="0"/>
      <w:marRight w:val="0"/>
      <w:marTop w:val="0"/>
      <w:marBottom w:val="0"/>
      <w:divBdr>
        <w:top w:val="none" w:sz="0" w:space="0" w:color="auto"/>
        <w:left w:val="none" w:sz="0" w:space="0" w:color="auto"/>
        <w:bottom w:val="none" w:sz="0" w:space="0" w:color="auto"/>
        <w:right w:val="none" w:sz="0" w:space="0" w:color="auto"/>
      </w:divBdr>
    </w:div>
    <w:div w:id="1159156136">
      <w:bodyDiv w:val="1"/>
      <w:marLeft w:val="0"/>
      <w:marRight w:val="0"/>
      <w:marTop w:val="0"/>
      <w:marBottom w:val="0"/>
      <w:divBdr>
        <w:top w:val="none" w:sz="0" w:space="0" w:color="auto"/>
        <w:left w:val="none" w:sz="0" w:space="0" w:color="auto"/>
        <w:bottom w:val="none" w:sz="0" w:space="0" w:color="auto"/>
        <w:right w:val="none" w:sz="0" w:space="0" w:color="auto"/>
      </w:divBdr>
    </w:div>
    <w:div w:id="1180893777">
      <w:bodyDiv w:val="1"/>
      <w:marLeft w:val="0"/>
      <w:marRight w:val="0"/>
      <w:marTop w:val="0"/>
      <w:marBottom w:val="0"/>
      <w:divBdr>
        <w:top w:val="none" w:sz="0" w:space="0" w:color="auto"/>
        <w:left w:val="none" w:sz="0" w:space="0" w:color="auto"/>
        <w:bottom w:val="none" w:sz="0" w:space="0" w:color="auto"/>
        <w:right w:val="none" w:sz="0" w:space="0" w:color="auto"/>
      </w:divBdr>
    </w:div>
    <w:div w:id="1232472582">
      <w:bodyDiv w:val="1"/>
      <w:marLeft w:val="0"/>
      <w:marRight w:val="0"/>
      <w:marTop w:val="0"/>
      <w:marBottom w:val="0"/>
      <w:divBdr>
        <w:top w:val="none" w:sz="0" w:space="0" w:color="auto"/>
        <w:left w:val="none" w:sz="0" w:space="0" w:color="auto"/>
        <w:bottom w:val="none" w:sz="0" w:space="0" w:color="auto"/>
        <w:right w:val="none" w:sz="0" w:space="0" w:color="auto"/>
      </w:divBdr>
    </w:div>
    <w:div w:id="1316489610">
      <w:bodyDiv w:val="1"/>
      <w:marLeft w:val="0"/>
      <w:marRight w:val="0"/>
      <w:marTop w:val="0"/>
      <w:marBottom w:val="0"/>
      <w:divBdr>
        <w:top w:val="none" w:sz="0" w:space="0" w:color="auto"/>
        <w:left w:val="none" w:sz="0" w:space="0" w:color="auto"/>
        <w:bottom w:val="none" w:sz="0" w:space="0" w:color="auto"/>
        <w:right w:val="none" w:sz="0" w:space="0" w:color="auto"/>
      </w:divBdr>
    </w:div>
    <w:div w:id="1335500520">
      <w:bodyDiv w:val="1"/>
      <w:marLeft w:val="0"/>
      <w:marRight w:val="0"/>
      <w:marTop w:val="0"/>
      <w:marBottom w:val="0"/>
      <w:divBdr>
        <w:top w:val="none" w:sz="0" w:space="0" w:color="auto"/>
        <w:left w:val="none" w:sz="0" w:space="0" w:color="auto"/>
        <w:bottom w:val="none" w:sz="0" w:space="0" w:color="auto"/>
        <w:right w:val="none" w:sz="0" w:space="0" w:color="auto"/>
      </w:divBdr>
    </w:div>
    <w:div w:id="1351953911">
      <w:bodyDiv w:val="1"/>
      <w:marLeft w:val="0"/>
      <w:marRight w:val="0"/>
      <w:marTop w:val="0"/>
      <w:marBottom w:val="0"/>
      <w:divBdr>
        <w:top w:val="none" w:sz="0" w:space="0" w:color="auto"/>
        <w:left w:val="none" w:sz="0" w:space="0" w:color="auto"/>
        <w:bottom w:val="none" w:sz="0" w:space="0" w:color="auto"/>
        <w:right w:val="none" w:sz="0" w:space="0" w:color="auto"/>
      </w:divBdr>
    </w:div>
    <w:div w:id="1373189207">
      <w:bodyDiv w:val="1"/>
      <w:marLeft w:val="0"/>
      <w:marRight w:val="0"/>
      <w:marTop w:val="0"/>
      <w:marBottom w:val="0"/>
      <w:divBdr>
        <w:top w:val="none" w:sz="0" w:space="0" w:color="auto"/>
        <w:left w:val="none" w:sz="0" w:space="0" w:color="auto"/>
        <w:bottom w:val="none" w:sz="0" w:space="0" w:color="auto"/>
        <w:right w:val="none" w:sz="0" w:space="0" w:color="auto"/>
      </w:divBdr>
    </w:div>
    <w:div w:id="1392653167">
      <w:bodyDiv w:val="1"/>
      <w:marLeft w:val="0"/>
      <w:marRight w:val="0"/>
      <w:marTop w:val="0"/>
      <w:marBottom w:val="0"/>
      <w:divBdr>
        <w:top w:val="none" w:sz="0" w:space="0" w:color="auto"/>
        <w:left w:val="none" w:sz="0" w:space="0" w:color="auto"/>
        <w:bottom w:val="none" w:sz="0" w:space="0" w:color="auto"/>
        <w:right w:val="none" w:sz="0" w:space="0" w:color="auto"/>
      </w:divBdr>
    </w:div>
    <w:div w:id="1433862833">
      <w:bodyDiv w:val="1"/>
      <w:marLeft w:val="0"/>
      <w:marRight w:val="0"/>
      <w:marTop w:val="0"/>
      <w:marBottom w:val="0"/>
      <w:divBdr>
        <w:top w:val="none" w:sz="0" w:space="0" w:color="auto"/>
        <w:left w:val="none" w:sz="0" w:space="0" w:color="auto"/>
        <w:bottom w:val="none" w:sz="0" w:space="0" w:color="auto"/>
        <w:right w:val="none" w:sz="0" w:space="0" w:color="auto"/>
      </w:divBdr>
    </w:div>
    <w:div w:id="1493789748">
      <w:bodyDiv w:val="1"/>
      <w:marLeft w:val="0"/>
      <w:marRight w:val="0"/>
      <w:marTop w:val="0"/>
      <w:marBottom w:val="0"/>
      <w:divBdr>
        <w:top w:val="none" w:sz="0" w:space="0" w:color="auto"/>
        <w:left w:val="none" w:sz="0" w:space="0" w:color="auto"/>
        <w:bottom w:val="none" w:sz="0" w:space="0" w:color="auto"/>
        <w:right w:val="none" w:sz="0" w:space="0" w:color="auto"/>
      </w:divBdr>
    </w:div>
    <w:div w:id="1520850242">
      <w:bodyDiv w:val="1"/>
      <w:marLeft w:val="0"/>
      <w:marRight w:val="0"/>
      <w:marTop w:val="0"/>
      <w:marBottom w:val="0"/>
      <w:divBdr>
        <w:top w:val="none" w:sz="0" w:space="0" w:color="auto"/>
        <w:left w:val="none" w:sz="0" w:space="0" w:color="auto"/>
        <w:bottom w:val="none" w:sz="0" w:space="0" w:color="auto"/>
        <w:right w:val="none" w:sz="0" w:space="0" w:color="auto"/>
      </w:divBdr>
    </w:div>
    <w:div w:id="1537742972">
      <w:bodyDiv w:val="1"/>
      <w:marLeft w:val="0"/>
      <w:marRight w:val="0"/>
      <w:marTop w:val="0"/>
      <w:marBottom w:val="0"/>
      <w:divBdr>
        <w:top w:val="none" w:sz="0" w:space="0" w:color="auto"/>
        <w:left w:val="none" w:sz="0" w:space="0" w:color="auto"/>
        <w:bottom w:val="none" w:sz="0" w:space="0" w:color="auto"/>
        <w:right w:val="none" w:sz="0" w:space="0" w:color="auto"/>
      </w:divBdr>
    </w:div>
    <w:div w:id="1632588543">
      <w:bodyDiv w:val="1"/>
      <w:marLeft w:val="0"/>
      <w:marRight w:val="0"/>
      <w:marTop w:val="0"/>
      <w:marBottom w:val="0"/>
      <w:divBdr>
        <w:top w:val="none" w:sz="0" w:space="0" w:color="auto"/>
        <w:left w:val="none" w:sz="0" w:space="0" w:color="auto"/>
        <w:bottom w:val="none" w:sz="0" w:space="0" w:color="auto"/>
        <w:right w:val="none" w:sz="0" w:space="0" w:color="auto"/>
      </w:divBdr>
    </w:div>
    <w:div w:id="1640648438">
      <w:bodyDiv w:val="1"/>
      <w:marLeft w:val="0"/>
      <w:marRight w:val="0"/>
      <w:marTop w:val="0"/>
      <w:marBottom w:val="0"/>
      <w:divBdr>
        <w:top w:val="none" w:sz="0" w:space="0" w:color="auto"/>
        <w:left w:val="none" w:sz="0" w:space="0" w:color="auto"/>
        <w:bottom w:val="none" w:sz="0" w:space="0" w:color="auto"/>
        <w:right w:val="none" w:sz="0" w:space="0" w:color="auto"/>
      </w:divBdr>
    </w:div>
    <w:div w:id="1668358049">
      <w:bodyDiv w:val="1"/>
      <w:marLeft w:val="0"/>
      <w:marRight w:val="0"/>
      <w:marTop w:val="0"/>
      <w:marBottom w:val="0"/>
      <w:divBdr>
        <w:top w:val="none" w:sz="0" w:space="0" w:color="auto"/>
        <w:left w:val="none" w:sz="0" w:space="0" w:color="auto"/>
        <w:bottom w:val="none" w:sz="0" w:space="0" w:color="auto"/>
        <w:right w:val="none" w:sz="0" w:space="0" w:color="auto"/>
      </w:divBdr>
    </w:div>
    <w:div w:id="1760329414">
      <w:bodyDiv w:val="1"/>
      <w:marLeft w:val="0"/>
      <w:marRight w:val="0"/>
      <w:marTop w:val="0"/>
      <w:marBottom w:val="0"/>
      <w:divBdr>
        <w:top w:val="none" w:sz="0" w:space="0" w:color="auto"/>
        <w:left w:val="none" w:sz="0" w:space="0" w:color="auto"/>
        <w:bottom w:val="none" w:sz="0" w:space="0" w:color="auto"/>
        <w:right w:val="none" w:sz="0" w:space="0" w:color="auto"/>
      </w:divBdr>
    </w:div>
    <w:div w:id="1791430763">
      <w:bodyDiv w:val="1"/>
      <w:marLeft w:val="0"/>
      <w:marRight w:val="0"/>
      <w:marTop w:val="0"/>
      <w:marBottom w:val="0"/>
      <w:divBdr>
        <w:top w:val="none" w:sz="0" w:space="0" w:color="auto"/>
        <w:left w:val="none" w:sz="0" w:space="0" w:color="auto"/>
        <w:bottom w:val="none" w:sz="0" w:space="0" w:color="auto"/>
        <w:right w:val="none" w:sz="0" w:space="0" w:color="auto"/>
      </w:divBdr>
    </w:div>
    <w:div w:id="1791970966">
      <w:bodyDiv w:val="1"/>
      <w:marLeft w:val="0"/>
      <w:marRight w:val="0"/>
      <w:marTop w:val="0"/>
      <w:marBottom w:val="0"/>
      <w:divBdr>
        <w:top w:val="none" w:sz="0" w:space="0" w:color="auto"/>
        <w:left w:val="none" w:sz="0" w:space="0" w:color="auto"/>
        <w:bottom w:val="none" w:sz="0" w:space="0" w:color="auto"/>
        <w:right w:val="none" w:sz="0" w:space="0" w:color="auto"/>
      </w:divBdr>
    </w:div>
    <w:div w:id="1826124277">
      <w:bodyDiv w:val="1"/>
      <w:marLeft w:val="0"/>
      <w:marRight w:val="0"/>
      <w:marTop w:val="0"/>
      <w:marBottom w:val="0"/>
      <w:divBdr>
        <w:top w:val="none" w:sz="0" w:space="0" w:color="auto"/>
        <w:left w:val="none" w:sz="0" w:space="0" w:color="auto"/>
        <w:bottom w:val="none" w:sz="0" w:space="0" w:color="auto"/>
        <w:right w:val="none" w:sz="0" w:space="0" w:color="auto"/>
      </w:divBdr>
    </w:div>
    <w:div w:id="1856772568">
      <w:bodyDiv w:val="1"/>
      <w:marLeft w:val="0"/>
      <w:marRight w:val="0"/>
      <w:marTop w:val="0"/>
      <w:marBottom w:val="0"/>
      <w:divBdr>
        <w:top w:val="none" w:sz="0" w:space="0" w:color="auto"/>
        <w:left w:val="none" w:sz="0" w:space="0" w:color="auto"/>
        <w:bottom w:val="none" w:sz="0" w:space="0" w:color="auto"/>
        <w:right w:val="none" w:sz="0" w:space="0" w:color="auto"/>
      </w:divBdr>
    </w:div>
    <w:div w:id="1908808764">
      <w:bodyDiv w:val="1"/>
      <w:marLeft w:val="0"/>
      <w:marRight w:val="0"/>
      <w:marTop w:val="0"/>
      <w:marBottom w:val="0"/>
      <w:divBdr>
        <w:top w:val="none" w:sz="0" w:space="0" w:color="auto"/>
        <w:left w:val="none" w:sz="0" w:space="0" w:color="auto"/>
        <w:bottom w:val="none" w:sz="0" w:space="0" w:color="auto"/>
        <w:right w:val="none" w:sz="0" w:space="0" w:color="auto"/>
      </w:divBdr>
    </w:div>
    <w:div w:id="1909798559">
      <w:bodyDiv w:val="1"/>
      <w:marLeft w:val="0"/>
      <w:marRight w:val="0"/>
      <w:marTop w:val="0"/>
      <w:marBottom w:val="0"/>
      <w:divBdr>
        <w:top w:val="none" w:sz="0" w:space="0" w:color="auto"/>
        <w:left w:val="none" w:sz="0" w:space="0" w:color="auto"/>
        <w:bottom w:val="none" w:sz="0" w:space="0" w:color="auto"/>
        <w:right w:val="none" w:sz="0" w:space="0" w:color="auto"/>
      </w:divBdr>
    </w:div>
    <w:div w:id="1963265240">
      <w:bodyDiv w:val="1"/>
      <w:marLeft w:val="0"/>
      <w:marRight w:val="0"/>
      <w:marTop w:val="0"/>
      <w:marBottom w:val="0"/>
      <w:divBdr>
        <w:top w:val="none" w:sz="0" w:space="0" w:color="auto"/>
        <w:left w:val="none" w:sz="0" w:space="0" w:color="auto"/>
        <w:bottom w:val="none" w:sz="0" w:space="0" w:color="auto"/>
        <w:right w:val="none" w:sz="0" w:space="0" w:color="auto"/>
      </w:divBdr>
    </w:div>
    <w:div w:id="1963877464">
      <w:bodyDiv w:val="1"/>
      <w:marLeft w:val="0"/>
      <w:marRight w:val="0"/>
      <w:marTop w:val="0"/>
      <w:marBottom w:val="0"/>
      <w:divBdr>
        <w:top w:val="none" w:sz="0" w:space="0" w:color="auto"/>
        <w:left w:val="none" w:sz="0" w:space="0" w:color="auto"/>
        <w:bottom w:val="none" w:sz="0" w:space="0" w:color="auto"/>
        <w:right w:val="none" w:sz="0" w:space="0" w:color="auto"/>
      </w:divBdr>
    </w:div>
    <w:div w:id="1982226000">
      <w:bodyDiv w:val="1"/>
      <w:marLeft w:val="0"/>
      <w:marRight w:val="0"/>
      <w:marTop w:val="0"/>
      <w:marBottom w:val="0"/>
      <w:divBdr>
        <w:top w:val="none" w:sz="0" w:space="0" w:color="auto"/>
        <w:left w:val="none" w:sz="0" w:space="0" w:color="auto"/>
        <w:bottom w:val="none" w:sz="0" w:space="0" w:color="auto"/>
        <w:right w:val="none" w:sz="0" w:space="0" w:color="auto"/>
      </w:divBdr>
    </w:div>
    <w:div w:id="2023702825">
      <w:bodyDiv w:val="1"/>
      <w:marLeft w:val="0"/>
      <w:marRight w:val="0"/>
      <w:marTop w:val="0"/>
      <w:marBottom w:val="0"/>
      <w:divBdr>
        <w:top w:val="none" w:sz="0" w:space="0" w:color="auto"/>
        <w:left w:val="none" w:sz="0" w:space="0" w:color="auto"/>
        <w:bottom w:val="none" w:sz="0" w:space="0" w:color="auto"/>
        <w:right w:val="none" w:sz="0" w:space="0" w:color="auto"/>
      </w:divBdr>
    </w:div>
    <w:div w:id="2060519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52004-7CC6-480B-8DB9-C0C58AAEF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18</Pages>
  <Words>6036</Words>
  <Characters>33198</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7</cp:revision>
  <dcterms:created xsi:type="dcterms:W3CDTF">2026-04-06T17:28:00Z</dcterms:created>
  <dcterms:modified xsi:type="dcterms:W3CDTF">2026-04-06T18:28:00Z</dcterms:modified>
</cp:coreProperties>
</file>