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CF9CC" w14:textId="77777777" w:rsidR="00290BE9" w:rsidRDefault="00000000">
      <w:r>
        <w:rPr>
          <w:b/>
          <w:sz w:val="20"/>
        </w:rPr>
        <w:t>ENG4550 — Projeto Integrado em Sistemas Produtivos (PI5)</w:t>
      </w:r>
    </w:p>
    <w:p w14:paraId="16A7FC4D" w14:textId="77777777" w:rsidR="00290BE9" w:rsidRDefault="00000000">
      <w:r>
        <w:rPr>
          <w:sz w:val="20"/>
        </w:rPr>
        <w:t>Departamento de Engenharia Industrial — PUC-Rio   |   Professor: Rodrigo Caiado</w:t>
      </w:r>
    </w:p>
    <w:p w14:paraId="4586CCBF" w14:textId="77777777" w:rsidR="00290BE9" w:rsidRDefault="00290BE9"/>
    <w:p w14:paraId="5F698CC2" w14:textId="77777777" w:rsidR="00290BE9" w:rsidRDefault="00000000">
      <w:pPr>
        <w:jc w:val="center"/>
      </w:pPr>
      <w:r>
        <w:rPr>
          <w:b/>
          <w:color w:val="1E4682"/>
          <w:sz w:val="36"/>
        </w:rPr>
        <w:t>Vila Aurora Alimentos &amp; Mercearia S.A.</w:t>
      </w:r>
    </w:p>
    <w:p w14:paraId="6F49D25A" w14:textId="77777777" w:rsidR="00290BE9" w:rsidRDefault="00000000">
      <w:pPr>
        <w:jc w:val="center"/>
      </w:pPr>
      <w:r>
        <w:rPr>
          <w:i/>
          <w:sz w:val="24"/>
        </w:rPr>
        <w:t>Do Caos à Orquestração — Transformando Previsão, Estoques e Execução no Varejo Tradicional</w:t>
      </w:r>
    </w:p>
    <w:p w14:paraId="7E17CBC4" w14:textId="77777777" w:rsidR="00290BE9" w:rsidRDefault="00290BE9"/>
    <w:p w14:paraId="71F10ED1" w14:textId="77777777" w:rsidR="00290BE9" w:rsidRDefault="00000000">
      <w:pPr>
        <w:jc w:val="center"/>
      </w:pPr>
      <w:r>
        <w:rPr>
          <w:b/>
          <w:sz w:val="26"/>
        </w:rPr>
        <w:t>Relatório Parcial 1 — Blocos 1 e 2 (Questões Q1 a Q9)</w:t>
      </w:r>
    </w:p>
    <w:p w14:paraId="47D2686D" w14:textId="77777777" w:rsidR="00290BE9" w:rsidRDefault="00000000">
      <w:pPr>
        <w:jc w:val="center"/>
      </w:pPr>
      <w:r>
        <w:rPr>
          <w:i/>
          <w:color w:val="505050"/>
        </w:rPr>
        <w:t>Cenário em análise: Lead Time Instável em Congelados + Choque Promocional em Premium</w:t>
      </w:r>
    </w:p>
    <w:p w14:paraId="6DFD0B37" w14:textId="77777777" w:rsidR="00290BE9" w:rsidRDefault="00290BE9"/>
    <w:p w14:paraId="1FA43338" w14:textId="77777777" w:rsidR="00290BE9" w:rsidRDefault="00000000">
      <w:pPr>
        <w:jc w:val="center"/>
      </w:pPr>
      <w:r>
        <w:t>João Almeida  •  Lucas Agostinho  •  Gabriel Stadler  •  Felipe Sarmento</w:t>
      </w:r>
    </w:p>
    <w:p w14:paraId="794DB718" w14:textId="77777777" w:rsidR="00290BE9" w:rsidRDefault="00000000">
      <w:pPr>
        <w:jc w:val="center"/>
      </w:pPr>
      <w:r>
        <w:rPr>
          <w:i/>
          <w:sz w:val="20"/>
        </w:rPr>
        <w:t>Abril de 2026</w:t>
      </w:r>
    </w:p>
    <w:p w14:paraId="3576060F" w14:textId="77777777" w:rsidR="00290BE9" w:rsidRDefault="00000000">
      <w:pPr>
        <w:spacing w:before="280" w:after="120"/>
      </w:pPr>
      <w:r>
        <w:rPr>
          <w:b/>
          <w:color w:val="1E4682"/>
          <w:sz w:val="32"/>
        </w:rPr>
        <w:t>Q1. Visão PCP 5.0</w:t>
      </w:r>
    </w:p>
    <w:p w14:paraId="0BD34E7C" w14:textId="77777777" w:rsidR="00290BE9" w:rsidRDefault="00000000">
      <w:pPr>
        <w:spacing w:after="120"/>
        <w:jc w:val="both"/>
      </w:pPr>
      <w:r>
        <w:t>A Vila Aurora opera hoje em um ciclo reativo: previsão baseada em média simples dos últimos três meses, políticas de estoque de duas semanas fixas aplicadas a todas as famílias, e ausência de rotina estruturada de S&amp;OE. Esse arranjo já seria problemático em regime normal, mas o cenário em análise impõe dois choques simultâneos — aumento de 50% no lead time de F4 (Congelados) por oito semanas a partir da semana 30, e promoção de F2 (Premium) com +55% de demanda na mesma semana. O modelo atual não absorve choques simultâneos de oferta e demanda em famílias distintas.</w:t>
      </w:r>
    </w:p>
    <w:p w14:paraId="4476A724" w14:textId="77777777" w:rsidR="00290BE9" w:rsidRDefault="00000000">
      <w:pPr>
        <w:spacing w:after="120"/>
        <w:jc w:val="both"/>
      </w:pPr>
      <w:r>
        <w:t>A transformação para PCP 5.0 deve ocorrer em três camadas complementares. Na camada de digitalização, corrigir lacunas de cadastro (12% dos SKUs sem EAN), integrar e-commerce em tempo real e implementar modelos de previsão diferenciados por perfil de demanda — smooth, erratic ou com sazonalidade explícita. Na camada de sustentabilidade, incorporar custo de descarte e emissões de CO₂ diretamente na função objetivo das políticas de estoque; o limite de 15 viagens emergenciais por mês força proatividade, e o descarte crônico de 4,5% em F1 (estimado em R$ 38 mil/mês segundo o P8 do diagnóstico interno) exige lotes calibrados pelo shelf life. Na camada human-centric, instituir rotina semanal de S&amp;OE com gatilhos quantitativos, decisores nomeados e dashboard de semáforos, explicitando o que é automatizável e o que exige julgamento humano.</w:t>
      </w:r>
    </w:p>
    <w:p w14:paraId="16F6DD7B" w14:textId="77777777" w:rsidR="00290BE9" w:rsidRDefault="00000000">
      <w:pPr>
        <w:spacing w:after="120"/>
        <w:jc w:val="both"/>
      </w:pPr>
      <w:r>
        <w:t>O estado-alvo é um sistema integrado e adaptável, onde previsão diferenciada alimenta políticas específicas por família, simulações antecipam choques e S&amp;OE estruturado resolve trade-offs com critérios explícitos — tema aprofundado em Q7 e nos blocos seguintes.</w:t>
      </w:r>
    </w:p>
    <w:p w14:paraId="179B8384" w14:textId="77777777" w:rsidR="00290BE9" w:rsidRDefault="00000000">
      <w:pPr>
        <w:spacing w:before="280" w:after="120"/>
      </w:pPr>
      <w:r>
        <w:rPr>
          <w:b/>
          <w:color w:val="1E4682"/>
          <w:sz w:val="32"/>
        </w:rPr>
        <w:t>Q2. KPIs Estratégicos</w:t>
      </w:r>
    </w:p>
    <w:p w14:paraId="44110B89" w14:textId="77777777" w:rsidR="00290BE9" w:rsidRDefault="00000000">
      <w:pPr>
        <w:spacing w:after="120"/>
        <w:jc w:val="both"/>
      </w:pPr>
      <w:r>
        <w:t>Propomos três KPIs não negociáveis, um para cada dimensão crítica — serviço, custo/eficiência e ESG — formando o triângulo que orientará todas as decisões de PCP.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1584"/>
        <w:gridCol w:w="2880"/>
        <w:gridCol w:w="2880"/>
      </w:tblGrid>
      <w:tr w:rsidR="00290BE9" w14:paraId="5AB6C172" w14:textId="77777777">
        <w:trPr>
          <w:jc w:val="center"/>
        </w:trPr>
        <w:tc>
          <w:tcPr>
            <w:tcW w:w="3744" w:type="dxa"/>
            <w:tcBorders>
              <w:top w:val="single" w:sz="4" w:space="0" w:color="1E4682"/>
              <w:left w:val="single" w:sz="4" w:space="0" w:color="1E4682"/>
              <w:bottom w:val="single" w:sz="4" w:space="0" w:color="1E4682"/>
              <w:right w:val="single" w:sz="4" w:space="0" w:color="1E4682"/>
            </w:tcBorders>
            <w:shd w:val="clear" w:color="auto" w:fill="1E4682"/>
            <w:vAlign w:val="center"/>
          </w:tcPr>
          <w:p w14:paraId="5CF46388" w14:textId="77777777" w:rsidR="00290BE9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KPI</w:t>
            </w:r>
          </w:p>
        </w:tc>
        <w:tc>
          <w:tcPr>
            <w:tcW w:w="1584" w:type="dxa"/>
            <w:tcBorders>
              <w:top w:val="single" w:sz="4" w:space="0" w:color="1E4682"/>
              <w:left w:val="single" w:sz="4" w:space="0" w:color="1E4682"/>
              <w:bottom w:val="single" w:sz="4" w:space="0" w:color="1E4682"/>
              <w:right w:val="single" w:sz="4" w:space="0" w:color="1E4682"/>
            </w:tcBorders>
            <w:shd w:val="clear" w:color="auto" w:fill="1E4682"/>
            <w:vAlign w:val="center"/>
          </w:tcPr>
          <w:p w14:paraId="269B2D4D" w14:textId="77777777" w:rsidR="00290BE9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Dimensão</w:t>
            </w:r>
          </w:p>
        </w:tc>
        <w:tc>
          <w:tcPr>
            <w:tcW w:w="2880" w:type="dxa"/>
            <w:tcBorders>
              <w:top w:val="single" w:sz="4" w:space="0" w:color="1E4682"/>
              <w:left w:val="single" w:sz="4" w:space="0" w:color="1E4682"/>
              <w:bottom w:val="single" w:sz="4" w:space="0" w:color="1E4682"/>
              <w:right w:val="single" w:sz="4" w:space="0" w:color="1E4682"/>
            </w:tcBorders>
            <w:shd w:val="clear" w:color="auto" w:fill="1E4682"/>
            <w:vAlign w:val="center"/>
          </w:tcPr>
          <w:p w14:paraId="2A25B519" w14:textId="77777777" w:rsidR="00290BE9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Meta</w:t>
            </w:r>
          </w:p>
        </w:tc>
        <w:tc>
          <w:tcPr>
            <w:tcW w:w="2880" w:type="dxa"/>
            <w:tcBorders>
              <w:top w:val="single" w:sz="4" w:space="0" w:color="1E4682"/>
              <w:left w:val="single" w:sz="4" w:space="0" w:color="1E4682"/>
              <w:bottom w:val="single" w:sz="4" w:space="0" w:color="1E4682"/>
              <w:right w:val="single" w:sz="4" w:space="0" w:color="1E4682"/>
            </w:tcBorders>
            <w:shd w:val="clear" w:color="auto" w:fill="1E4682"/>
            <w:vAlign w:val="center"/>
          </w:tcPr>
          <w:p w14:paraId="03A1368F" w14:textId="77777777" w:rsidR="00290BE9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Baseline (dados E_KPIs)</w:t>
            </w:r>
          </w:p>
        </w:tc>
      </w:tr>
      <w:tr w:rsidR="00290BE9" w14:paraId="78FE4763" w14:textId="77777777">
        <w:trPr>
          <w:jc w:val="center"/>
        </w:trPr>
        <w:tc>
          <w:tcPr>
            <w:tcW w:w="3744" w:type="dxa"/>
            <w:tcBorders>
              <w:top w:val="single" w:sz="4" w:space="0" w:color="B0B8C0"/>
              <w:left w:val="single" w:sz="4" w:space="0" w:color="B0B8C0"/>
              <w:bottom w:val="single" w:sz="4" w:space="0" w:color="B0B8C0"/>
              <w:right w:val="single" w:sz="4" w:space="0" w:color="B0B8C0"/>
            </w:tcBorders>
            <w:vAlign w:val="center"/>
          </w:tcPr>
          <w:p w14:paraId="302826C7" w14:textId="77777777" w:rsidR="00290BE9" w:rsidRDefault="00000000">
            <w:r>
              <w:rPr>
                <w:sz w:val="19"/>
              </w:rPr>
              <w:t>Fill Rate Ponderado por Canal</w:t>
            </w:r>
          </w:p>
        </w:tc>
        <w:tc>
          <w:tcPr>
            <w:tcW w:w="1584" w:type="dxa"/>
            <w:tcBorders>
              <w:top w:val="single" w:sz="4" w:space="0" w:color="B0B8C0"/>
              <w:left w:val="single" w:sz="4" w:space="0" w:color="B0B8C0"/>
              <w:bottom w:val="single" w:sz="4" w:space="0" w:color="B0B8C0"/>
              <w:right w:val="single" w:sz="4" w:space="0" w:color="B0B8C0"/>
            </w:tcBorders>
            <w:vAlign w:val="center"/>
          </w:tcPr>
          <w:p w14:paraId="0F647D82" w14:textId="77777777" w:rsidR="00290BE9" w:rsidRDefault="00000000">
            <w:r>
              <w:rPr>
                <w:sz w:val="19"/>
              </w:rPr>
              <w:t>Serviço</w:t>
            </w:r>
          </w:p>
        </w:tc>
        <w:tc>
          <w:tcPr>
            <w:tcW w:w="2880" w:type="dxa"/>
            <w:tcBorders>
              <w:top w:val="single" w:sz="4" w:space="0" w:color="B0B8C0"/>
              <w:left w:val="single" w:sz="4" w:space="0" w:color="B0B8C0"/>
              <w:bottom w:val="single" w:sz="4" w:space="0" w:color="B0B8C0"/>
              <w:right w:val="single" w:sz="4" w:space="0" w:color="B0B8C0"/>
            </w:tcBorders>
            <w:vAlign w:val="center"/>
          </w:tcPr>
          <w:p w14:paraId="1D2F9635" w14:textId="77777777" w:rsidR="00290BE9" w:rsidRDefault="00000000">
            <w:r>
              <w:rPr>
                <w:sz w:val="19"/>
              </w:rPr>
              <w:t>≥ 97%</w:t>
            </w:r>
          </w:p>
        </w:tc>
        <w:tc>
          <w:tcPr>
            <w:tcW w:w="2880" w:type="dxa"/>
            <w:tcBorders>
              <w:top w:val="single" w:sz="4" w:space="0" w:color="B0B8C0"/>
              <w:left w:val="single" w:sz="4" w:space="0" w:color="B0B8C0"/>
              <w:bottom w:val="single" w:sz="4" w:space="0" w:color="B0B8C0"/>
              <w:right w:val="single" w:sz="4" w:space="0" w:color="B0B8C0"/>
            </w:tcBorders>
            <w:vAlign w:val="center"/>
          </w:tcPr>
          <w:p w14:paraId="45A228A6" w14:textId="77777777" w:rsidR="00290BE9" w:rsidRDefault="00000000">
            <w:r>
              <w:rPr>
                <w:sz w:val="19"/>
              </w:rPr>
              <w:t>91,1% (pico mínimo 84%)</w:t>
            </w:r>
          </w:p>
        </w:tc>
      </w:tr>
      <w:tr w:rsidR="00290BE9" w14:paraId="3F6EA8C9" w14:textId="77777777">
        <w:trPr>
          <w:jc w:val="center"/>
        </w:trPr>
        <w:tc>
          <w:tcPr>
            <w:tcW w:w="3744" w:type="dxa"/>
            <w:tcBorders>
              <w:top w:val="single" w:sz="4" w:space="0" w:color="B0B8C0"/>
              <w:left w:val="single" w:sz="4" w:space="0" w:color="B0B8C0"/>
              <w:bottom w:val="single" w:sz="4" w:space="0" w:color="B0B8C0"/>
              <w:right w:val="single" w:sz="4" w:space="0" w:color="B0B8C0"/>
            </w:tcBorders>
            <w:shd w:val="clear" w:color="auto" w:fill="F0F4F8"/>
            <w:vAlign w:val="center"/>
          </w:tcPr>
          <w:p w14:paraId="4E058E0F" w14:textId="77777777" w:rsidR="00290BE9" w:rsidRDefault="00000000">
            <w:r>
              <w:rPr>
                <w:sz w:val="19"/>
              </w:rPr>
              <w:lastRenderedPageBreak/>
              <w:t>Custo Logístico / Receita</w:t>
            </w:r>
          </w:p>
        </w:tc>
        <w:tc>
          <w:tcPr>
            <w:tcW w:w="1584" w:type="dxa"/>
            <w:tcBorders>
              <w:top w:val="single" w:sz="4" w:space="0" w:color="B0B8C0"/>
              <w:left w:val="single" w:sz="4" w:space="0" w:color="B0B8C0"/>
              <w:bottom w:val="single" w:sz="4" w:space="0" w:color="B0B8C0"/>
              <w:right w:val="single" w:sz="4" w:space="0" w:color="B0B8C0"/>
            </w:tcBorders>
            <w:shd w:val="clear" w:color="auto" w:fill="F0F4F8"/>
            <w:vAlign w:val="center"/>
          </w:tcPr>
          <w:p w14:paraId="4627C145" w14:textId="77777777" w:rsidR="00290BE9" w:rsidRDefault="00000000">
            <w:r>
              <w:rPr>
                <w:sz w:val="19"/>
              </w:rPr>
              <w:t>Custo</w:t>
            </w:r>
          </w:p>
        </w:tc>
        <w:tc>
          <w:tcPr>
            <w:tcW w:w="2880" w:type="dxa"/>
            <w:tcBorders>
              <w:top w:val="single" w:sz="4" w:space="0" w:color="B0B8C0"/>
              <w:left w:val="single" w:sz="4" w:space="0" w:color="B0B8C0"/>
              <w:bottom w:val="single" w:sz="4" w:space="0" w:color="B0B8C0"/>
              <w:right w:val="single" w:sz="4" w:space="0" w:color="B0B8C0"/>
            </w:tcBorders>
            <w:shd w:val="clear" w:color="auto" w:fill="F0F4F8"/>
            <w:vAlign w:val="center"/>
          </w:tcPr>
          <w:p w14:paraId="7E2E5C83" w14:textId="77777777" w:rsidR="00290BE9" w:rsidRDefault="00000000">
            <w:r>
              <w:rPr>
                <w:sz w:val="19"/>
              </w:rPr>
              <w:t>≤ 6,5%</w:t>
            </w:r>
          </w:p>
        </w:tc>
        <w:tc>
          <w:tcPr>
            <w:tcW w:w="2880" w:type="dxa"/>
            <w:tcBorders>
              <w:top w:val="single" w:sz="4" w:space="0" w:color="B0B8C0"/>
              <w:left w:val="single" w:sz="4" w:space="0" w:color="B0B8C0"/>
              <w:bottom w:val="single" w:sz="4" w:space="0" w:color="B0B8C0"/>
              <w:right w:val="single" w:sz="4" w:space="0" w:color="B0B8C0"/>
            </w:tcBorders>
            <w:shd w:val="clear" w:color="auto" w:fill="F0F4F8"/>
            <w:vAlign w:val="center"/>
          </w:tcPr>
          <w:p w14:paraId="53A015BC" w14:textId="77777777" w:rsidR="00290BE9" w:rsidRDefault="00000000">
            <w:r>
              <w:rPr>
                <w:sz w:val="19"/>
              </w:rPr>
              <w:t>~8,2% (estimado P4)</w:t>
            </w:r>
          </w:p>
        </w:tc>
      </w:tr>
      <w:tr w:rsidR="00290BE9" w14:paraId="0F1E245A" w14:textId="77777777">
        <w:trPr>
          <w:jc w:val="center"/>
        </w:trPr>
        <w:tc>
          <w:tcPr>
            <w:tcW w:w="3744" w:type="dxa"/>
            <w:tcBorders>
              <w:top w:val="single" w:sz="4" w:space="0" w:color="B0B8C0"/>
              <w:left w:val="single" w:sz="4" w:space="0" w:color="B0B8C0"/>
              <w:bottom w:val="single" w:sz="4" w:space="0" w:color="B0B8C0"/>
              <w:right w:val="single" w:sz="4" w:space="0" w:color="B0B8C0"/>
            </w:tcBorders>
            <w:vAlign w:val="center"/>
          </w:tcPr>
          <w:p w14:paraId="134DF88B" w14:textId="77777777" w:rsidR="00290BE9" w:rsidRDefault="00000000">
            <w:r>
              <w:rPr>
                <w:sz w:val="19"/>
              </w:rPr>
              <w:t>Índice Desperdício Zero</w:t>
            </w:r>
          </w:p>
        </w:tc>
        <w:tc>
          <w:tcPr>
            <w:tcW w:w="1584" w:type="dxa"/>
            <w:tcBorders>
              <w:top w:val="single" w:sz="4" w:space="0" w:color="B0B8C0"/>
              <w:left w:val="single" w:sz="4" w:space="0" w:color="B0B8C0"/>
              <w:bottom w:val="single" w:sz="4" w:space="0" w:color="B0B8C0"/>
              <w:right w:val="single" w:sz="4" w:space="0" w:color="B0B8C0"/>
            </w:tcBorders>
            <w:vAlign w:val="center"/>
          </w:tcPr>
          <w:p w14:paraId="3144B7F3" w14:textId="77777777" w:rsidR="00290BE9" w:rsidRDefault="00000000">
            <w:r>
              <w:rPr>
                <w:sz w:val="19"/>
              </w:rPr>
              <w:t>ESG</w:t>
            </w:r>
          </w:p>
        </w:tc>
        <w:tc>
          <w:tcPr>
            <w:tcW w:w="2880" w:type="dxa"/>
            <w:tcBorders>
              <w:top w:val="single" w:sz="4" w:space="0" w:color="B0B8C0"/>
              <w:left w:val="single" w:sz="4" w:space="0" w:color="B0B8C0"/>
              <w:bottom w:val="single" w:sz="4" w:space="0" w:color="B0B8C0"/>
              <w:right w:val="single" w:sz="4" w:space="0" w:color="B0B8C0"/>
            </w:tcBorders>
            <w:vAlign w:val="center"/>
          </w:tcPr>
          <w:p w14:paraId="3451BBBF" w14:textId="77777777" w:rsidR="00290BE9" w:rsidRDefault="00000000">
            <w:r>
              <w:rPr>
                <w:sz w:val="19"/>
              </w:rPr>
              <w:t>Descarte ≤ 2%  •  Viagens ≤ 10/mês</w:t>
            </w:r>
          </w:p>
        </w:tc>
        <w:tc>
          <w:tcPr>
            <w:tcW w:w="2880" w:type="dxa"/>
            <w:tcBorders>
              <w:top w:val="single" w:sz="4" w:space="0" w:color="B0B8C0"/>
              <w:left w:val="single" w:sz="4" w:space="0" w:color="B0B8C0"/>
              <w:bottom w:val="single" w:sz="4" w:space="0" w:color="B0B8C0"/>
              <w:right w:val="single" w:sz="4" w:space="0" w:color="B0B8C0"/>
            </w:tcBorders>
            <w:vAlign w:val="center"/>
          </w:tcPr>
          <w:p w14:paraId="3E9C5964" w14:textId="77777777" w:rsidR="00290BE9" w:rsidRDefault="00000000">
            <w:r>
              <w:rPr>
                <w:sz w:val="19"/>
              </w:rPr>
              <w:t>4,5% em F1  •  14,2 viagens/mês (pico 21)</w:t>
            </w:r>
          </w:p>
        </w:tc>
      </w:tr>
    </w:tbl>
    <w:p w14:paraId="12654E11" w14:textId="77777777" w:rsidR="00290BE9" w:rsidRDefault="00290BE9">
      <w:pPr>
        <w:spacing w:after="80"/>
      </w:pPr>
    </w:p>
    <w:p w14:paraId="53708C96" w14:textId="77777777" w:rsidR="00290BE9" w:rsidRDefault="00000000">
      <w:pPr>
        <w:spacing w:after="120"/>
        <w:jc w:val="both"/>
      </w:pPr>
      <w:r>
        <w:rPr>
          <w:b/>
        </w:rPr>
        <w:t xml:space="preserve">KPI 1 — Fill Rate Ponderado por Canal (≥ 97%). </w:t>
      </w:r>
      <w:r>
        <w:t>O fill rate simples mascara dinâmicas: a loja física opera próxima a 94%, mas o e-commerce fica em ~88% (com 6% de cancelamento por indisponibilidade). Ponderar pelos pesos de mix (loja 70%, e-commerce 15%, marketplace 10%, retira 5%) alinha a métrica ao KPI do cliente final. A meta de 97% vem do benchmark de varejo premium.</w:t>
      </w:r>
    </w:p>
    <w:p w14:paraId="1FCE28FE" w14:textId="77777777" w:rsidR="00290BE9" w:rsidRDefault="00000000">
      <w:pPr>
        <w:spacing w:after="120"/>
        <w:jc w:val="both"/>
      </w:pPr>
      <w:r>
        <w:rPr>
          <w:b/>
        </w:rPr>
        <w:t xml:space="preserve">KPI 2 — Custo Logístico / Receita (≤ 6,5%). </w:t>
      </w:r>
      <w:r>
        <w:t>Soma de custos de pedido, armazenagem, ruptura, descarte e viagens extras sobre receita líquida. Normaliza comparação entre períodos. Meta de 6,5% representa redução de ~20% sobre o baseline atual.</w:t>
      </w:r>
    </w:p>
    <w:p w14:paraId="43074B3A" w14:textId="77777777" w:rsidR="00290BE9" w:rsidRDefault="00000000">
      <w:pPr>
        <w:spacing w:after="120"/>
        <w:jc w:val="both"/>
      </w:pPr>
      <w:r>
        <w:rPr>
          <w:b/>
        </w:rPr>
        <w:t xml:space="preserve">KPI 3 — Índice Desperdício Zero. </w:t>
      </w:r>
      <w:r>
        <w:t>Índice composto de descarte percentual (em valor) e número de viagens emergenciais mensais (proxy direto de CO₂). Cada viagem emergencial custa R$ 1.250 e emite 42 kg de CO₂. A combinação das duas métricas evita o efeito perverso de reduzir descarte aumentando o número de entregas emergenciais.</w:t>
      </w:r>
    </w:p>
    <w:p w14:paraId="09DDB755" w14:textId="77777777" w:rsidR="00290BE9" w:rsidRDefault="00000000">
      <w:pPr>
        <w:spacing w:after="120"/>
        <w:jc w:val="both"/>
      </w:pPr>
      <w:r>
        <w:rPr>
          <w:b/>
        </w:rPr>
        <w:t xml:space="preserve">Triângulo de ferro. </w:t>
      </w:r>
      <w:r>
        <w:t>Os três KPIs são acoplados: elevar fill rate exige mais estoque de segurança, o que eleva custo e descarte; reduzir viagens pode comprometer fill rate se não houver compensação via previsão melhor. O papel do PCP é encontrar o equilíbrio, e as simulações Monte Carlo do Bloco 4 mapearão a fronteira eficiente entre essas três dimensões.</w:t>
      </w:r>
    </w:p>
    <w:p w14:paraId="19CEE164" w14:textId="77777777" w:rsidR="00290BE9" w:rsidRDefault="00000000">
      <w:pPr>
        <w:spacing w:before="280" w:after="120"/>
      </w:pPr>
      <w:r>
        <w:rPr>
          <w:b/>
          <w:color w:val="1E4682"/>
          <w:sz w:val="32"/>
        </w:rPr>
        <w:t>Q3. Granularidade de Análise</w:t>
      </w:r>
    </w:p>
    <w:p w14:paraId="30A984EF" w14:textId="77777777" w:rsidR="00290BE9" w:rsidRDefault="00000000">
      <w:pPr>
        <w:spacing w:after="120"/>
        <w:jc w:val="both"/>
      </w:pPr>
      <w:r>
        <w:t>Adotamos família de produtos como granularidade principal, com desagregação hierárquica top-down para SKU via shares do Anexo A2. A previsão ocorre sobre a série agregada (104 semanas por família, Anexo D1); a alocação por SKU respeita restrições de lote e shelf life.</w:t>
      </w:r>
    </w:p>
    <w:p w14:paraId="725D82DD" w14:textId="77777777" w:rsidR="00290BE9" w:rsidRDefault="00000000">
      <w:pPr>
        <w:spacing w:after="120"/>
        <w:jc w:val="both"/>
      </w:pPr>
      <w:r>
        <w:t>A escolha preserva sinal em séries de menor variabilidade: o coeficiente de variação estrutural reportado no Anexo A é F1 = 12%, F2 = 47%, F3 = 10%, F4 = 25%, F5 = 55% (valores que representam a variabilidade líquida após remover sazonalidade e tendência). A CV realizada na série agregada é sistematicamente maior — F1 = 22%, F2 = 62%, F3 = 15%, F4 = 35%, F5 = 62% — porque inclui estrutura e eventos exógenos. Essa distinção é importante porque os modelos trabalham com a série observada, não com o CV estrutural. Dentro de cada família, a variabilidade relativa entre SKUs é suficientemente baixa (coeficiente relativo entre 0,7 e 1,3) para que a agregação não distorça; análise por canal é tratada como alocação pós-previsão, não como granularidade paralela.</w:t>
      </w:r>
    </w:p>
    <w:p w14:paraId="0872416A" w14:textId="77777777" w:rsidR="00290BE9" w:rsidRDefault="00000000">
      <w:pPr>
        <w:spacing w:before="280" w:after="120"/>
      </w:pPr>
      <w:r>
        <w:rPr>
          <w:b/>
          <w:color w:val="1E4682"/>
          <w:sz w:val="32"/>
        </w:rPr>
        <w:t>Q4. Benchmarking Inicial de Modelos</w:t>
      </w:r>
    </w:p>
    <w:p w14:paraId="22442CFE" w14:textId="77777777" w:rsidR="00290BE9" w:rsidRDefault="00000000">
      <w:pPr>
        <w:spacing w:after="120"/>
        <w:jc w:val="both"/>
      </w:pPr>
      <w:r>
        <w:rPr>
          <w:b/>
        </w:rPr>
        <w:t xml:space="preserve">SKUs contrastantes. </w:t>
      </w:r>
      <w:r>
        <w:t>F1-001 (Leite Integral 1L): 984 un/semana, CV = 23%, shelf life 7 dias, perfil smooth. F2-003 (Vinho Reserva 750ml): 68 un/semana, CV = 63%, shelf life 730 dias, perfil erratic.</w:t>
      </w:r>
    </w:p>
    <w:p w14:paraId="2C7EC991" w14:textId="77777777" w:rsidR="00290BE9" w:rsidRDefault="00000000">
      <w:pPr>
        <w:spacing w:after="120"/>
        <w:jc w:val="both"/>
      </w:pPr>
      <w:r>
        <w:rPr>
          <w:b/>
        </w:rPr>
        <w:t xml:space="preserve">Metodologia. </w:t>
      </w:r>
      <w:r>
        <w:t>Split temporal: 80 semanas de treino (1-80), 24 semanas de teste (81-104). Modelos comparados: Naive, SES (α otimizado por MLE), Holt linear (α, β otimizados) e Holt-Winters aditivo com sazonalidade anual (seasonal_periods=52, inicialização 'known' com priors neutros, parâmetros α, β, γ otimizados). Implementação em statsmodels; script completo em src/q4_benchmarking_sku.py no repositório.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2016"/>
        <w:gridCol w:w="1584"/>
        <w:gridCol w:w="1584"/>
        <w:gridCol w:w="1584"/>
      </w:tblGrid>
      <w:tr w:rsidR="00290BE9" w14:paraId="1A63D5F9" w14:textId="77777777">
        <w:trPr>
          <w:jc w:val="center"/>
        </w:trPr>
        <w:tc>
          <w:tcPr>
            <w:tcW w:w="2448" w:type="dxa"/>
            <w:tcBorders>
              <w:top w:val="single" w:sz="4" w:space="0" w:color="1E4682"/>
              <w:left w:val="single" w:sz="4" w:space="0" w:color="1E4682"/>
              <w:bottom w:val="single" w:sz="4" w:space="0" w:color="1E4682"/>
              <w:right w:val="single" w:sz="4" w:space="0" w:color="1E4682"/>
            </w:tcBorders>
            <w:shd w:val="clear" w:color="auto" w:fill="1E4682"/>
            <w:vAlign w:val="center"/>
          </w:tcPr>
          <w:p w14:paraId="1707897C" w14:textId="77777777" w:rsidR="00290BE9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SKU</w:t>
            </w:r>
          </w:p>
        </w:tc>
        <w:tc>
          <w:tcPr>
            <w:tcW w:w="2016" w:type="dxa"/>
            <w:tcBorders>
              <w:top w:val="single" w:sz="4" w:space="0" w:color="1E4682"/>
              <w:left w:val="single" w:sz="4" w:space="0" w:color="1E4682"/>
              <w:bottom w:val="single" w:sz="4" w:space="0" w:color="1E4682"/>
              <w:right w:val="single" w:sz="4" w:space="0" w:color="1E4682"/>
            </w:tcBorders>
            <w:shd w:val="clear" w:color="auto" w:fill="1E4682"/>
            <w:vAlign w:val="center"/>
          </w:tcPr>
          <w:p w14:paraId="17320A4E" w14:textId="77777777" w:rsidR="00290BE9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Modelo</w:t>
            </w:r>
          </w:p>
        </w:tc>
        <w:tc>
          <w:tcPr>
            <w:tcW w:w="1584" w:type="dxa"/>
            <w:tcBorders>
              <w:top w:val="single" w:sz="4" w:space="0" w:color="1E4682"/>
              <w:left w:val="single" w:sz="4" w:space="0" w:color="1E4682"/>
              <w:bottom w:val="single" w:sz="4" w:space="0" w:color="1E4682"/>
              <w:right w:val="single" w:sz="4" w:space="0" w:color="1E4682"/>
            </w:tcBorders>
            <w:shd w:val="clear" w:color="auto" w:fill="1E4682"/>
            <w:vAlign w:val="center"/>
          </w:tcPr>
          <w:p w14:paraId="75C204E9" w14:textId="77777777" w:rsidR="00290BE9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MAE</w:t>
            </w:r>
          </w:p>
        </w:tc>
        <w:tc>
          <w:tcPr>
            <w:tcW w:w="1584" w:type="dxa"/>
            <w:tcBorders>
              <w:top w:val="single" w:sz="4" w:space="0" w:color="1E4682"/>
              <w:left w:val="single" w:sz="4" w:space="0" w:color="1E4682"/>
              <w:bottom w:val="single" w:sz="4" w:space="0" w:color="1E4682"/>
              <w:right w:val="single" w:sz="4" w:space="0" w:color="1E4682"/>
            </w:tcBorders>
            <w:shd w:val="clear" w:color="auto" w:fill="1E4682"/>
            <w:vAlign w:val="center"/>
          </w:tcPr>
          <w:p w14:paraId="2F434FCA" w14:textId="77777777" w:rsidR="00290BE9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RMSE</w:t>
            </w:r>
          </w:p>
        </w:tc>
        <w:tc>
          <w:tcPr>
            <w:tcW w:w="1584" w:type="dxa"/>
            <w:tcBorders>
              <w:top w:val="single" w:sz="4" w:space="0" w:color="1E4682"/>
              <w:left w:val="single" w:sz="4" w:space="0" w:color="1E4682"/>
              <w:bottom w:val="single" w:sz="4" w:space="0" w:color="1E4682"/>
              <w:right w:val="single" w:sz="4" w:space="0" w:color="1E4682"/>
            </w:tcBorders>
            <w:shd w:val="clear" w:color="auto" w:fill="1E4682"/>
            <w:vAlign w:val="center"/>
          </w:tcPr>
          <w:p w14:paraId="4458B6A6" w14:textId="77777777" w:rsidR="00290BE9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MAPE</w:t>
            </w:r>
          </w:p>
        </w:tc>
      </w:tr>
      <w:tr w:rsidR="00290BE9" w14:paraId="73816BCF" w14:textId="77777777">
        <w:trPr>
          <w:jc w:val="center"/>
        </w:trPr>
        <w:tc>
          <w:tcPr>
            <w:tcW w:w="2448" w:type="dxa"/>
            <w:tcBorders>
              <w:top w:val="single" w:sz="4" w:space="0" w:color="B0B8C0"/>
              <w:left w:val="single" w:sz="4" w:space="0" w:color="B0B8C0"/>
              <w:bottom w:val="single" w:sz="4" w:space="0" w:color="B0B8C0"/>
              <w:right w:val="single" w:sz="4" w:space="0" w:color="B0B8C0"/>
            </w:tcBorders>
            <w:vAlign w:val="center"/>
          </w:tcPr>
          <w:p w14:paraId="031478DE" w14:textId="77777777" w:rsidR="00290BE9" w:rsidRDefault="00000000">
            <w:r>
              <w:rPr>
                <w:sz w:val="19"/>
              </w:rPr>
              <w:t>F1-001 (Leite)</w:t>
            </w:r>
          </w:p>
        </w:tc>
        <w:tc>
          <w:tcPr>
            <w:tcW w:w="2016" w:type="dxa"/>
            <w:tcBorders>
              <w:top w:val="single" w:sz="4" w:space="0" w:color="B0B8C0"/>
              <w:left w:val="single" w:sz="4" w:space="0" w:color="B0B8C0"/>
              <w:bottom w:val="single" w:sz="4" w:space="0" w:color="B0B8C0"/>
              <w:right w:val="single" w:sz="4" w:space="0" w:color="B0B8C0"/>
            </w:tcBorders>
            <w:vAlign w:val="center"/>
          </w:tcPr>
          <w:p w14:paraId="436D9418" w14:textId="77777777" w:rsidR="00290BE9" w:rsidRDefault="00000000">
            <w:r>
              <w:rPr>
                <w:sz w:val="19"/>
              </w:rPr>
              <w:t>Naive</w:t>
            </w:r>
          </w:p>
        </w:tc>
        <w:tc>
          <w:tcPr>
            <w:tcW w:w="1584" w:type="dxa"/>
            <w:tcBorders>
              <w:top w:val="single" w:sz="4" w:space="0" w:color="B0B8C0"/>
              <w:left w:val="single" w:sz="4" w:space="0" w:color="B0B8C0"/>
              <w:bottom w:val="single" w:sz="4" w:space="0" w:color="B0B8C0"/>
              <w:right w:val="single" w:sz="4" w:space="0" w:color="B0B8C0"/>
            </w:tcBorders>
            <w:vAlign w:val="center"/>
          </w:tcPr>
          <w:p w14:paraId="5DD74672" w14:textId="77777777" w:rsidR="00290BE9" w:rsidRDefault="00000000">
            <w:r>
              <w:rPr>
                <w:sz w:val="19"/>
              </w:rPr>
              <w:t>238,3</w:t>
            </w:r>
          </w:p>
        </w:tc>
        <w:tc>
          <w:tcPr>
            <w:tcW w:w="1584" w:type="dxa"/>
            <w:tcBorders>
              <w:top w:val="single" w:sz="4" w:space="0" w:color="B0B8C0"/>
              <w:left w:val="single" w:sz="4" w:space="0" w:color="B0B8C0"/>
              <w:bottom w:val="single" w:sz="4" w:space="0" w:color="B0B8C0"/>
              <w:right w:val="single" w:sz="4" w:space="0" w:color="B0B8C0"/>
            </w:tcBorders>
            <w:vAlign w:val="center"/>
          </w:tcPr>
          <w:p w14:paraId="26B65935" w14:textId="77777777" w:rsidR="00290BE9" w:rsidRDefault="00000000">
            <w:r>
              <w:rPr>
                <w:sz w:val="19"/>
              </w:rPr>
              <w:t>288,8</w:t>
            </w:r>
          </w:p>
        </w:tc>
        <w:tc>
          <w:tcPr>
            <w:tcW w:w="1584" w:type="dxa"/>
            <w:tcBorders>
              <w:top w:val="single" w:sz="4" w:space="0" w:color="B0B8C0"/>
              <w:left w:val="single" w:sz="4" w:space="0" w:color="B0B8C0"/>
              <w:bottom w:val="single" w:sz="4" w:space="0" w:color="B0B8C0"/>
              <w:right w:val="single" w:sz="4" w:space="0" w:color="B0B8C0"/>
            </w:tcBorders>
            <w:vAlign w:val="center"/>
          </w:tcPr>
          <w:p w14:paraId="3C891F45" w14:textId="77777777" w:rsidR="00290BE9" w:rsidRDefault="00000000">
            <w:r>
              <w:rPr>
                <w:sz w:val="19"/>
              </w:rPr>
              <w:t>25,1%</w:t>
            </w:r>
          </w:p>
        </w:tc>
      </w:tr>
      <w:tr w:rsidR="00290BE9" w14:paraId="59AC77F5" w14:textId="77777777">
        <w:trPr>
          <w:jc w:val="center"/>
        </w:trPr>
        <w:tc>
          <w:tcPr>
            <w:tcW w:w="2448" w:type="dxa"/>
            <w:tcBorders>
              <w:top w:val="single" w:sz="4" w:space="0" w:color="B0B8C0"/>
              <w:left w:val="single" w:sz="4" w:space="0" w:color="B0B8C0"/>
              <w:bottom w:val="single" w:sz="4" w:space="0" w:color="B0B8C0"/>
              <w:right w:val="single" w:sz="4" w:space="0" w:color="B0B8C0"/>
            </w:tcBorders>
            <w:shd w:val="clear" w:color="auto" w:fill="F0F4F8"/>
            <w:vAlign w:val="center"/>
          </w:tcPr>
          <w:p w14:paraId="4711EAEC" w14:textId="77777777" w:rsidR="00290BE9" w:rsidRDefault="00290BE9"/>
        </w:tc>
        <w:tc>
          <w:tcPr>
            <w:tcW w:w="2016" w:type="dxa"/>
            <w:tcBorders>
              <w:top w:val="single" w:sz="4" w:space="0" w:color="B0B8C0"/>
              <w:left w:val="single" w:sz="4" w:space="0" w:color="B0B8C0"/>
              <w:bottom w:val="single" w:sz="4" w:space="0" w:color="B0B8C0"/>
              <w:right w:val="single" w:sz="4" w:space="0" w:color="B0B8C0"/>
            </w:tcBorders>
            <w:shd w:val="clear" w:color="auto" w:fill="F0F4F8"/>
            <w:vAlign w:val="center"/>
          </w:tcPr>
          <w:p w14:paraId="156E29FE" w14:textId="77777777" w:rsidR="00290BE9" w:rsidRDefault="00000000">
            <w:r>
              <w:rPr>
                <w:sz w:val="19"/>
              </w:rPr>
              <w:t>SES</w:t>
            </w:r>
          </w:p>
        </w:tc>
        <w:tc>
          <w:tcPr>
            <w:tcW w:w="1584" w:type="dxa"/>
            <w:tcBorders>
              <w:top w:val="single" w:sz="4" w:space="0" w:color="B0B8C0"/>
              <w:left w:val="single" w:sz="4" w:space="0" w:color="B0B8C0"/>
              <w:bottom w:val="single" w:sz="4" w:space="0" w:color="B0B8C0"/>
              <w:right w:val="single" w:sz="4" w:space="0" w:color="B0B8C0"/>
            </w:tcBorders>
            <w:shd w:val="clear" w:color="auto" w:fill="F0F4F8"/>
            <w:vAlign w:val="center"/>
          </w:tcPr>
          <w:p w14:paraId="3E4DA8F9" w14:textId="77777777" w:rsidR="00290BE9" w:rsidRDefault="00000000">
            <w:r>
              <w:rPr>
                <w:sz w:val="19"/>
              </w:rPr>
              <w:t>224,8</w:t>
            </w:r>
          </w:p>
        </w:tc>
        <w:tc>
          <w:tcPr>
            <w:tcW w:w="1584" w:type="dxa"/>
            <w:tcBorders>
              <w:top w:val="single" w:sz="4" w:space="0" w:color="B0B8C0"/>
              <w:left w:val="single" w:sz="4" w:space="0" w:color="B0B8C0"/>
              <w:bottom w:val="single" w:sz="4" w:space="0" w:color="B0B8C0"/>
              <w:right w:val="single" w:sz="4" w:space="0" w:color="B0B8C0"/>
            </w:tcBorders>
            <w:shd w:val="clear" w:color="auto" w:fill="F0F4F8"/>
            <w:vAlign w:val="center"/>
          </w:tcPr>
          <w:p w14:paraId="44583F09" w14:textId="77777777" w:rsidR="00290BE9" w:rsidRDefault="00000000">
            <w:r>
              <w:rPr>
                <w:sz w:val="19"/>
              </w:rPr>
              <w:t>304,3</w:t>
            </w:r>
          </w:p>
        </w:tc>
        <w:tc>
          <w:tcPr>
            <w:tcW w:w="1584" w:type="dxa"/>
            <w:tcBorders>
              <w:top w:val="single" w:sz="4" w:space="0" w:color="B0B8C0"/>
              <w:left w:val="single" w:sz="4" w:space="0" w:color="B0B8C0"/>
              <w:bottom w:val="single" w:sz="4" w:space="0" w:color="B0B8C0"/>
              <w:right w:val="single" w:sz="4" w:space="0" w:color="B0B8C0"/>
            </w:tcBorders>
            <w:shd w:val="clear" w:color="auto" w:fill="F0F4F8"/>
            <w:vAlign w:val="center"/>
          </w:tcPr>
          <w:p w14:paraId="0877094D" w14:textId="77777777" w:rsidR="00290BE9" w:rsidRDefault="00000000">
            <w:r>
              <w:rPr>
                <w:sz w:val="19"/>
              </w:rPr>
              <w:t>20,0%</w:t>
            </w:r>
          </w:p>
        </w:tc>
      </w:tr>
      <w:tr w:rsidR="00290BE9" w14:paraId="3211FFCC" w14:textId="77777777">
        <w:trPr>
          <w:jc w:val="center"/>
        </w:trPr>
        <w:tc>
          <w:tcPr>
            <w:tcW w:w="2448" w:type="dxa"/>
            <w:tcBorders>
              <w:top w:val="single" w:sz="4" w:space="0" w:color="B0B8C0"/>
              <w:left w:val="single" w:sz="4" w:space="0" w:color="B0B8C0"/>
              <w:bottom w:val="single" w:sz="4" w:space="0" w:color="B0B8C0"/>
              <w:right w:val="single" w:sz="4" w:space="0" w:color="B0B8C0"/>
            </w:tcBorders>
            <w:vAlign w:val="center"/>
          </w:tcPr>
          <w:p w14:paraId="4882D98E" w14:textId="77777777" w:rsidR="00290BE9" w:rsidRDefault="00290BE9"/>
        </w:tc>
        <w:tc>
          <w:tcPr>
            <w:tcW w:w="2016" w:type="dxa"/>
            <w:tcBorders>
              <w:top w:val="single" w:sz="4" w:space="0" w:color="B0B8C0"/>
              <w:left w:val="single" w:sz="4" w:space="0" w:color="B0B8C0"/>
              <w:bottom w:val="single" w:sz="4" w:space="0" w:color="B0B8C0"/>
              <w:right w:val="single" w:sz="4" w:space="0" w:color="B0B8C0"/>
            </w:tcBorders>
            <w:vAlign w:val="center"/>
          </w:tcPr>
          <w:p w14:paraId="5EE0F779" w14:textId="77777777" w:rsidR="00290BE9" w:rsidRDefault="00000000">
            <w:r>
              <w:rPr>
                <w:sz w:val="19"/>
              </w:rPr>
              <w:t>Holt</w:t>
            </w:r>
          </w:p>
        </w:tc>
        <w:tc>
          <w:tcPr>
            <w:tcW w:w="1584" w:type="dxa"/>
            <w:tcBorders>
              <w:top w:val="single" w:sz="4" w:space="0" w:color="B0B8C0"/>
              <w:left w:val="single" w:sz="4" w:space="0" w:color="B0B8C0"/>
              <w:bottom w:val="single" w:sz="4" w:space="0" w:color="B0B8C0"/>
              <w:right w:val="single" w:sz="4" w:space="0" w:color="B0B8C0"/>
            </w:tcBorders>
            <w:vAlign w:val="center"/>
          </w:tcPr>
          <w:p w14:paraId="7782C375" w14:textId="77777777" w:rsidR="00290BE9" w:rsidRDefault="00000000">
            <w:r>
              <w:rPr>
                <w:sz w:val="19"/>
              </w:rPr>
              <w:t>232,2</w:t>
            </w:r>
          </w:p>
        </w:tc>
        <w:tc>
          <w:tcPr>
            <w:tcW w:w="1584" w:type="dxa"/>
            <w:tcBorders>
              <w:top w:val="single" w:sz="4" w:space="0" w:color="B0B8C0"/>
              <w:left w:val="single" w:sz="4" w:space="0" w:color="B0B8C0"/>
              <w:bottom w:val="single" w:sz="4" w:space="0" w:color="B0B8C0"/>
              <w:right w:val="single" w:sz="4" w:space="0" w:color="B0B8C0"/>
            </w:tcBorders>
            <w:vAlign w:val="center"/>
          </w:tcPr>
          <w:p w14:paraId="6E914BEC" w14:textId="77777777" w:rsidR="00290BE9" w:rsidRDefault="00000000">
            <w:r>
              <w:rPr>
                <w:sz w:val="19"/>
              </w:rPr>
              <w:t>329,9</w:t>
            </w:r>
          </w:p>
        </w:tc>
        <w:tc>
          <w:tcPr>
            <w:tcW w:w="1584" w:type="dxa"/>
            <w:tcBorders>
              <w:top w:val="single" w:sz="4" w:space="0" w:color="B0B8C0"/>
              <w:left w:val="single" w:sz="4" w:space="0" w:color="B0B8C0"/>
              <w:bottom w:val="single" w:sz="4" w:space="0" w:color="B0B8C0"/>
              <w:right w:val="single" w:sz="4" w:space="0" w:color="B0B8C0"/>
            </w:tcBorders>
            <w:vAlign w:val="center"/>
          </w:tcPr>
          <w:p w14:paraId="571A96A4" w14:textId="77777777" w:rsidR="00290BE9" w:rsidRDefault="00000000">
            <w:r>
              <w:rPr>
                <w:sz w:val="19"/>
              </w:rPr>
              <w:t>19,8%</w:t>
            </w:r>
          </w:p>
        </w:tc>
      </w:tr>
      <w:tr w:rsidR="00290BE9" w14:paraId="7AC96FFB" w14:textId="77777777">
        <w:trPr>
          <w:jc w:val="center"/>
        </w:trPr>
        <w:tc>
          <w:tcPr>
            <w:tcW w:w="2448" w:type="dxa"/>
            <w:tcBorders>
              <w:top w:val="single" w:sz="4" w:space="0" w:color="B0B8C0"/>
              <w:left w:val="single" w:sz="4" w:space="0" w:color="B0B8C0"/>
              <w:bottom w:val="single" w:sz="4" w:space="0" w:color="B0B8C0"/>
              <w:right w:val="single" w:sz="4" w:space="0" w:color="B0B8C0"/>
            </w:tcBorders>
            <w:shd w:val="clear" w:color="auto" w:fill="F0F4F8"/>
            <w:vAlign w:val="center"/>
          </w:tcPr>
          <w:p w14:paraId="778F165D" w14:textId="77777777" w:rsidR="00290BE9" w:rsidRDefault="00290BE9"/>
        </w:tc>
        <w:tc>
          <w:tcPr>
            <w:tcW w:w="2016" w:type="dxa"/>
            <w:tcBorders>
              <w:top w:val="single" w:sz="4" w:space="0" w:color="B0B8C0"/>
              <w:left w:val="single" w:sz="4" w:space="0" w:color="B0B8C0"/>
              <w:bottom w:val="single" w:sz="4" w:space="0" w:color="B0B8C0"/>
              <w:right w:val="single" w:sz="4" w:space="0" w:color="B0B8C0"/>
            </w:tcBorders>
            <w:shd w:val="clear" w:color="auto" w:fill="F0F4F8"/>
            <w:vAlign w:val="center"/>
          </w:tcPr>
          <w:p w14:paraId="4759E525" w14:textId="77777777" w:rsidR="00290BE9" w:rsidRDefault="00000000">
            <w:r>
              <w:rPr>
                <w:sz w:val="19"/>
              </w:rPr>
              <w:t>Holt-Winters</w:t>
            </w:r>
          </w:p>
        </w:tc>
        <w:tc>
          <w:tcPr>
            <w:tcW w:w="1584" w:type="dxa"/>
            <w:tcBorders>
              <w:top w:val="single" w:sz="4" w:space="0" w:color="B0B8C0"/>
              <w:left w:val="single" w:sz="4" w:space="0" w:color="B0B8C0"/>
              <w:bottom w:val="single" w:sz="4" w:space="0" w:color="B0B8C0"/>
              <w:right w:val="single" w:sz="4" w:space="0" w:color="B0B8C0"/>
            </w:tcBorders>
            <w:shd w:val="clear" w:color="auto" w:fill="F0F4F8"/>
            <w:vAlign w:val="center"/>
          </w:tcPr>
          <w:p w14:paraId="5EB8A3EA" w14:textId="77777777" w:rsidR="00290BE9" w:rsidRDefault="00000000">
            <w:r>
              <w:rPr>
                <w:sz w:val="19"/>
              </w:rPr>
              <w:t>200,6</w:t>
            </w:r>
          </w:p>
        </w:tc>
        <w:tc>
          <w:tcPr>
            <w:tcW w:w="1584" w:type="dxa"/>
            <w:tcBorders>
              <w:top w:val="single" w:sz="4" w:space="0" w:color="B0B8C0"/>
              <w:left w:val="single" w:sz="4" w:space="0" w:color="B0B8C0"/>
              <w:bottom w:val="single" w:sz="4" w:space="0" w:color="B0B8C0"/>
              <w:right w:val="single" w:sz="4" w:space="0" w:color="B0B8C0"/>
            </w:tcBorders>
            <w:shd w:val="clear" w:color="auto" w:fill="F0F4F8"/>
            <w:vAlign w:val="center"/>
          </w:tcPr>
          <w:p w14:paraId="6C75424A" w14:textId="77777777" w:rsidR="00290BE9" w:rsidRDefault="00000000">
            <w:r>
              <w:rPr>
                <w:sz w:val="19"/>
              </w:rPr>
              <w:t>264,5</w:t>
            </w:r>
          </w:p>
        </w:tc>
        <w:tc>
          <w:tcPr>
            <w:tcW w:w="1584" w:type="dxa"/>
            <w:tcBorders>
              <w:top w:val="single" w:sz="4" w:space="0" w:color="B0B8C0"/>
              <w:left w:val="single" w:sz="4" w:space="0" w:color="B0B8C0"/>
              <w:bottom w:val="single" w:sz="4" w:space="0" w:color="B0B8C0"/>
              <w:right w:val="single" w:sz="4" w:space="0" w:color="B0B8C0"/>
            </w:tcBorders>
            <w:shd w:val="clear" w:color="auto" w:fill="F0F4F8"/>
            <w:vAlign w:val="center"/>
          </w:tcPr>
          <w:p w14:paraId="697CFB81" w14:textId="77777777" w:rsidR="00290BE9" w:rsidRDefault="00000000">
            <w:r>
              <w:rPr>
                <w:sz w:val="19"/>
              </w:rPr>
              <w:t>18,2%</w:t>
            </w:r>
          </w:p>
        </w:tc>
      </w:tr>
      <w:tr w:rsidR="00290BE9" w14:paraId="1DB91709" w14:textId="77777777">
        <w:trPr>
          <w:jc w:val="center"/>
        </w:trPr>
        <w:tc>
          <w:tcPr>
            <w:tcW w:w="2448" w:type="dxa"/>
            <w:tcBorders>
              <w:top w:val="single" w:sz="4" w:space="0" w:color="B0B8C0"/>
              <w:left w:val="single" w:sz="4" w:space="0" w:color="B0B8C0"/>
              <w:bottom w:val="single" w:sz="4" w:space="0" w:color="B0B8C0"/>
              <w:right w:val="single" w:sz="4" w:space="0" w:color="B0B8C0"/>
            </w:tcBorders>
            <w:vAlign w:val="center"/>
          </w:tcPr>
          <w:p w14:paraId="1CD9F482" w14:textId="77777777" w:rsidR="00290BE9" w:rsidRDefault="00000000">
            <w:r>
              <w:rPr>
                <w:sz w:val="19"/>
              </w:rPr>
              <w:t>F2-003 (Vinho)</w:t>
            </w:r>
          </w:p>
        </w:tc>
        <w:tc>
          <w:tcPr>
            <w:tcW w:w="2016" w:type="dxa"/>
            <w:tcBorders>
              <w:top w:val="single" w:sz="4" w:space="0" w:color="B0B8C0"/>
              <w:left w:val="single" w:sz="4" w:space="0" w:color="B0B8C0"/>
              <w:bottom w:val="single" w:sz="4" w:space="0" w:color="B0B8C0"/>
              <w:right w:val="single" w:sz="4" w:space="0" w:color="B0B8C0"/>
            </w:tcBorders>
            <w:vAlign w:val="center"/>
          </w:tcPr>
          <w:p w14:paraId="7085F0AC" w14:textId="77777777" w:rsidR="00290BE9" w:rsidRDefault="00000000">
            <w:r>
              <w:rPr>
                <w:sz w:val="19"/>
              </w:rPr>
              <w:t>Naive</w:t>
            </w:r>
          </w:p>
        </w:tc>
        <w:tc>
          <w:tcPr>
            <w:tcW w:w="1584" w:type="dxa"/>
            <w:tcBorders>
              <w:top w:val="single" w:sz="4" w:space="0" w:color="B0B8C0"/>
              <w:left w:val="single" w:sz="4" w:space="0" w:color="B0B8C0"/>
              <w:bottom w:val="single" w:sz="4" w:space="0" w:color="B0B8C0"/>
              <w:right w:val="single" w:sz="4" w:space="0" w:color="B0B8C0"/>
            </w:tcBorders>
            <w:vAlign w:val="center"/>
          </w:tcPr>
          <w:p w14:paraId="5D6EE155" w14:textId="77777777" w:rsidR="00290BE9" w:rsidRDefault="00000000">
            <w:r>
              <w:rPr>
                <w:sz w:val="19"/>
              </w:rPr>
              <w:t>29,3</w:t>
            </w:r>
          </w:p>
        </w:tc>
        <w:tc>
          <w:tcPr>
            <w:tcW w:w="1584" w:type="dxa"/>
            <w:tcBorders>
              <w:top w:val="single" w:sz="4" w:space="0" w:color="B0B8C0"/>
              <w:left w:val="single" w:sz="4" w:space="0" w:color="B0B8C0"/>
              <w:bottom w:val="single" w:sz="4" w:space="0" w:color="B0B8C0"/>
              <w:right w:val="single" w:sz="4" w:space="0" w:color="B0B8C0"/>
            </w:tcBorders>
            <w:vAlign w:val="center"/>
          </w:tcPr>
          <w:p w14:paraId="01C7549F" w14:textId="77777777" w:rsidR="00290BE9" w:rsidRDefault="00000000">
            <w:r>
              <w:rPr>
                <w:sz w:val="19"/>
              </w:rPr>
              <w:t>40,0</w:t>
            </w:r>
          </w:p>
        </w:tc>
        <w:tc>
          <w:tcPr>
            <w:tcW w:w="1584" w:type="dxa"/>
            <w:tcBorders>
              <w:top w:val="single" w:sz="4" w:space="0" w:color="B0B8C0"/>
              <w:left w:val="single" w:sz="4" w:space="0" w:color="B0B8C0"/>
              <w:bottom w:val="single" w:sz="4" w:space="0" w:color="B0B8C0"/>
              <w:right w:val="single" w:sz="4" w:space="0" w:color="B0B8C0"/>
            </w:tcBorders>
            <w:vAlign w:val="center"/>
          </w:tcPr>
          <w:p w14:paraId="570609F6" w14:textId="77777777" w:rsidR="00290BE9" w:rsidRDefault="00000000">
            <w:r>
              <w:rPr>
                <w:sz w:val="19"/>
              </w:rPr>
              <w:t>58,5%</w:t>
            </w:r>
          </w:p>
        </w:tc>
      </w:tr>
      <w:tr w:rsidR="00290BE9" w14:paraId="14FEACFF" w14:textId="77777777">
        <w:trPr>
          <w:jc w:val="center"/>
        </w:trPr>
        <w:tc>
          <w:tcPr>
            <w:tcW w:w="2448" w:type="dxa"/>
            <w:tcBorders>
              <w:top w:val="single" w:sz="4" w:space="0" w:color="B0B8C0"/>
              <w:left w:val="single" w:sz="4" w:space="0" w:color="B0B8C0"/>
              <w:bottom w:val="single" w:sz="4" w:space="0" w:color="B0B8C0"/>
              <w:right w:val="single" w:sz="4" w:space="0" w:color="B0B8C0"/>
            </w:tcBorders>
            <w:shd w:val="clear" w:color="auto" w:fill="F0F4F8"/>
            <w:vAlign w:val="center"/>
          </w:tcPr>
          <w:p w14:paraId="60B577A1" w14:textId="77777777" w:rsidR="00290BE9" w:rsidRDefault="00290BE9"/>
        </w:tc>
        <w:tc>
          <w:tcPr>
            <w:tcW w:w="2016" w:type="dxa"/>
            <w:tcBorders>
              <w:top w:val="single" w:sz="4" w:space="0" w:color="B0B8C0"/>
              <w:left w:val="single" w:sz="4" w:space="0" w:color="B0B8C0"/>
              <w:bottom w:val="single" w:sz="4" w:space="0" w:color="B0B8C0"/>
              <w:right w:val="single" w:sz="4" w:space="0" w:color="B0B8C0"/>
            </w:tcBorders>
            <w:shd w:val="clear" w:color="auto" w:fill="F0F4F8"/>
            <w:vAlign w:val="center"/>
          </w:tcPr>
          <w:p w14:paraId="2CBB40A5" w14:textId="77777777" w:rsidR="00290BE9" w:rsidRDefault="00000000">
            <w:r>
              <w:rPr>
                <w:sz w:val="19"/>
              </w:rPr>
              <w:t>SES</w:t>
            </w:r>
          </w:p>
        </w:tc>
        <w:tc>
          <w:tcPr>
            <w:tcW w:w="1584" w:type="dxa"/>
            <w:tcBorders>
              <w:top w:val="single" w:sz="4" w:space="0" w:color="B0B8C0"/>
              <w:left w:val="single" w:sz="4" w:space="0" w:color="B0B8C0"/>
              <w:bottom w:val="single" w:sz="4" w:space="0" w:color="B0B8C0"/>
              <w:right w:val="single" w:sz="4" w:space="0" w:color="B0B8C0"/>
            </w:tcBorders>
            <w:shd w:val="clear" w:color="auto" w:fill="F0F4F8"/>
            <w:vAlign w:val="center"/>
          </w:tcPr>
          <w:p w14:paraId="26ABB5A9" w14:textId="77777777" w:rsidR="00290BE9" w:rsidRDefault="00000000">
            <w:r>
              <w:rPr>
                <w:sz w:val="19"/>
              </w:rPr>
              <w:t>28,0</w:t>
            </w:r>
          </w:p>
        </w:tc>
        <w:tc>
          <w:tcPr>
            <w:tcW w:w="1584" w:type="dxa"/>
            <w:tcBorders>
              <w:top w:val="single" w:sz="4" w:space="0" w:color="B0B8C0"/>
              <w:left w:val="single" w:sz="4" w:space="0" w:color="B0B8C0"/>
              <w:bottom w:val="single" w:sz="4" w:space="0" w:color="B0B8C0"/>
              <w:right w:val="single" w:sz="4" w:space="0" w:color="B0B8C0"/>
            </w:tcBorders>
            <w:shd w:val="clear" w:color="auto" w:fill="F0F4F8"/>
            <w:vAlign w:val="center"/>
          </w:tcPr>
          <w:p w14:paraId="2464E552" w14:textId="77777777" w:rsidR="00290BE9" w:rsidRDefault="00000000">
            <w:r>
              <w:rPr>
                <w:sz w:val="19"/>
              </w:rPr>
              <w:t>38,8</w:t>
            </w:r>
          </w:p>
        </w:tc>
        <w:tc>
          <w:tcPr>
            <w:tcW w:w="1584" w:type="dxa"/>
            <w:tcBorders>
              <w:top w:val="single" w:sz="4" w:space="0" w:color="B0B8C0"/>
              <w:left w:val="single" w:sz="4" w:space="0" w:color="B0B8C0"/>
              <w:bottom w:val="single" w:sz="4" w:space="0" w:color="B0B8C0"/>
              <w:right w:val="single" w:sz="4" w:space="0" w:color="B0B8C0"/>
            </w:tcBorders>
            <w:shd w:val="clear" w:color="auto" w:fill="F0F4F8"/>
            <w:vAlign w:val="center"/>
          </w:tcPr>
          <w:p w14:paraId="4DBE34DC" w14:textId="77777777" w:rsidR="00290BE9" w:rsidRDefault="00000000">
            <w:r>
              <w:rPr>
                <w:sz w:val="19"/>
              </w:rPr>
              <w:t>60,1%</w:t>
            </w:r>
          </w:p>
        </w:tc>
      </w:tr>
      <w:tr w:rsidR="00290BE9" w14:paraId="3E346638" w14:textId="77777777">
        <w:trPr>
          <w:jc w:val="center"/>
        </w:trPr>
        <w:tc>
          <w:tcPr>
            <w:tcW w:w="2448" w:type="dxa"/>
            <w:tcBorders>
              <w:top w:val="single" w:sz="4" w:space="0" w:color="B0B8C0"/>
              <w:left w:val="single" w:sz="4" w:space="0" w:color="B0B8C0"/>
              <w:bottom w:val="single" w:sz="4" w:space="0" w:color="B0B8C0"/>
              <w:right w:val="single" w:sz="4" w:space="0" w:color="B0B8C0"/>
            </w:tcBorders>
            <w:vAlign w:val="center"/>
          </w:tcPr>
          <w:p w14:paraId="093F7AA5" w14:textId="77777777" w:rsidR="00290BE9" w:rsidRDefault="00290BE9"/>
        </w:tc>
        <w:tc>
          <w:tcPr>
            <w:tcW w:w="2016" w:type="dxa"/>
            <w:tcBorders>
              <w:top w:val="single" w:sz="4" w:space="0" w:color="B0B8C0"/>
              <w:left w:val="single" w:sz="4" w:space="0" w:color="B0B8C0"/>
              <w:bottom w:val="single" w:sz="4" w:space="0" w:color="B0B8C0"/>
              <w:right w:val="single" w:sz="4" w:space="0" w:color="B0B8C0"/>
            </w:tcBorders>
            <w:vAlign w:val="center"/>
          </w:tcPr>
          <w:p w14:paraId="6350D4C5" w14:textId="77777777" w:rsidR="00290BE9" w:rsidRDefault="00000000">
            <w:r>
              <w:rPr>
                <w:sz w:val="19"/>
              </w:rPr>
              <w:t>Holt</w:t>
            </w:r>
          </w:p>
        </w:tc>
        <w:tc>
          <w:tcPr>
            <w:tcW w:w="1584" w:type="dxa"/>
            <w:tcBorders>
              <w:top w:val="single" w:sz="4" w:space="0" w:color="B0B8C0"/>
              <w:left w:val="single" w:sz="4" w:space="0" w:color="B0B8C0"/>
              <w:bottom w:val="single" w:sz="4" w:space="0" w:color="B0B8C0"/>
              <w:right w:val="single" w:sz="4" w:space="0" w:color="B0B8C0"/>
            </w:tcBorders>
            <w:vAlign w:val="center"/>
          </w:tcPr>
          <w:p w14:paraId="2EFF78B0" w14:textId="77777777" w:rsidR="00290BE9" w:rsidRDefault="00000000">
            <w:r>
              <w:rPr>
                <w:sz w:val="19"/>
              </w:rPr>
              <w:t>27,5</w:t>
            </w:r>
          </w:p>
        </w:tc>
        <w:tc>
          <w:tcPr>
            <w:tcW w:w="1584" w:type="dxa"/>
            <w:tcBorders>
              <w:top w:val="single" w:sz="4" w:space="0" w:color="B0B8C0"/>
              <w:left w:val="single" w:sz="4" w:space="0" w:color="B0B8C0"/>
              <w:bottom w:val="single" w:sz="4" w:space="0" w:color="B0B8C0"/>
              <w:right w:val="single" w:sz="4" w:space="0" w:color="B0B8C0"/>
            </w:tcBorders>
            <w:vAlign w:val="center"/>
          </w:tcPr>
          <w:p w14:paraId="19C5B9BA" w14:textId="77777777" w:rsidR="00290BE9" w:rsidRDefault="00000000">
            <w:r>
              <w:rPr>
                <w:sz w:val="19"/>
              </w:rPr>
              <w:t>38,3</w:t>
            </w:r>
          </w:p>
        </w:tc>
        <w:tc>
          <w:tcPr>
            <w:tcW w:w="1584" w:type="dxa"/>
            <w:tcBorders>
              <w:top w:val="single" w:sz="4" w:space="0" w:color="B0B8C0"/>
              <w:left w:val="single" w:sz="4" w:space="0" w:color="B0B8C0"/>
              <w:bottom w:val="single" w:sz="4" w:space="0" w:color="B0B8C0"/>
              <w:right w:val="single" w:sz="4" w:space="0" w:color="B0B8C0"/>
            </w:tcBorders>
            <w:vAlign w:val="center"/>
          </w:tcPr>
          <w:p w14:paraId="5172DA7A" w14:textId="77777777" w:rsidR="00290BE9" w:rsidRDefault="00000000">
            <w:r>
              <w:rPr>
                <w:sz w:val="19"/>
              </w:rPr>
              <w:t>60,7%</w:t>
            </w:r>
          </w:p>
        </w:tc>
      </w:tr>
      <w:tr w:rsidR="00290BE9" w14:paraId="0DBF15E2" w14:textId="77777777">
        <w:trPr>
          <w:jc w:val="center"/>
        </w:trPr>
        <w:tc>
          <w:tcPr>
            <w:tcW w:w="2448" w:type="dxa"/>
            <w:tcBorders>
              <w:top w:val="single" w:sz="4" w:space="0" w:color="B0B8C0"/>
              <w:left w:val="single" w:sz="4" w:space="0" w:color="B0B8C0"/>
              <w:bottom w:val="single" w:sz="4" w:space="0" w:color="B0B8C0"/>
              <w:right w:val="single" w:sz="4" w:space="0" w:color="B0B8C0"/>
            </w:tcBorders>
            <w:shd w:val="clear" w:color="auto" w:fill="F0F4F8"/>
            <w:vAlign w:val="center"/>
          </w:tcPr>
          <w:p w14:paraId="7B423B65" w14:textId="77777777" w:rsidR="00290BE9" w:rsidRDefault="00290BE9"/>
        </w:tc>
        <w:tc>
          <w:tcPr>
            <w:tcW w:w="2016" w:type="dxa"/>
            <w:tcBorders>
              <w:top w:val="single" w:sz="4" w:space="0" w:color="B0B8C0"/>
              <w:left w:val="single" w:sz="4" w:space="0" w:color="B0B8C0"/>
              <w:bottom w:val="single" w:sz="4" w:space="0" w:color="B0B8C0"/>
              <w:right w:val="single" w:sz="4" w:space="0" w:color="B0B8C0"/>
            </w:tcBorders>
            <w:shd w:val="clear" w:color="auto" w:fill="F0F4F8"/>
            <w:vAlign w:val="center"/>
          </w:tcPr>
          <w:p w14:paraId="36ED95B7" w14:textId="77777777" w:rsidR="00290BE9" w:rsidRDefault="00000000">
            <w:r>
              <w:rPr>
                <w:sz w:val="19"/>
              </w:rPr>
              <w:t>Holt-Winters</w:t>
            </w:r>
          </w:p>
        </w:tc>
        <w:tc>
          <w:tcPr>
            <w:tcW w:w="1584" w:type="dxa"/>
            <w:tcBorders>
              <w:top w:val="single" w:sz="4" w:space="0" w:color="B0B8C0"/>
              <w:left w:val="single" w:sz="4" w:space="0" w:color="B0B8C0"/>
              <w:bottom w:val="single" w:sz="4" w:space="0" w:color="B0B8C0"/>
              <w:right w:val="single" w:sz="4" w:space="0" w:color="B0B8C0"/>
            </w:tcBorders>
            <w:shd w:val="clear" w:color="auto" w:fill="F0F4F8"/>
            <w:vAlign w:val="center"/>
          </w:tcPr>
          <w:p w14:paraId="5395696B" w14:textId="77777777" w:rsidR="00290BE9" w:rsidRDefault="00000000">
            <w:r>
              <w:rPr>
                <w:sz w:val="19"/>
              </w:rPr>
              <w:t>28,0</w:t>
            </w:r>
          </w:p>
        </w:tc>
        <w:tc>
          <w:tcPr>
            <w:tcW w:w="1584" w:type="dxa"/>
            <w:tcBorders>
              <w:top w:val="single" w:sz="4" w:space="0" w:color="B0B8C0"/>
              <w:left w:val="single" w:sz="4" w:space="0" w:color="B0B8C0"/>
              <w:bottom w:val="single" w:sz="4" w:space="0" w:color="B0B8C0"/>
              <w:right w:val="single" w:sz="4" w:space="0" w:color="B0B8C0"/>
            </w:tcBorders>
            <w:shd w:val="clear" w:color="auto" w:fill="F0F4F8"/>
            <w:vAlign w:val="center"/>
          </w:tcPr>
          <w:p w14:paraId="25FA02D7" w14:textId="77777777" w:rsidR="00290BE9" w:rsidRDefault="00000000">
            <w:r>
              <w:rPr>
                <w:sz w:val="19"/>
              </w:rPr>
              <w:t>38,8</w:t>
            </w:r>
          </w:p>
        </w:tc>
        <w:tc>
          <w:tcPr>
            <w:tcW w:w="1584" w:type="dxa"/>
            <w:tcBorders>
              <w:top w:val="single" w:sz="4" w:space="0" w:color="B0B8C0"/>
              <w:left w:val="single" w:sz="4" w:space="0" w:color="B0B8C0"/>
              <w:bottom w:val="single" w:sz="4" w:space="0" w:color="B0B8C0"/>
              <w:right w:val="single" w:sz="4" w:space="0" w:color="B0B8C0"/>
            </w:tcBorders>
            <w:shd w:val="clear" w:color="auto" w:fill="F0F4F8"/>
            <w:vAlign w:val="center"/>
          </w:tcPr>
          <w:p w14:paraId="034BCB33" w14:textId="77777777" w:rsidR="00290BE9" w:rsidRDefault="00000000">
            <w:r>
              <w:rPr>
                <w:sz w:val="19"/>
              </w:rPr>
              <w:t>60,1%</w:t>
            </w:r>
          </w:p>
        </w:tc>
      </w:tr>
    </w:tbl>
    <w:p w14:paraId="76B734F9" w14:textId="77777777" w:rsidR="00290BE9" w:rsidRDefault="00290BE9">
      <w:pPr>
        <w:spacing w:after="80"/>
      </w:pPr>
    </w:p>
    <w:p w14:paraId="6D783C4D" w14:textId="77777777" w:rsidR="00290BE9" w:rsidRDefault="00000000">
      <w:pPr>
        <w:jc w:val="center"/>
      </w:pPr>
      <w:r>
        <w:rPr>
          <w:noProof/>
        </w:rPr>
        <w:drawing>
          <wp:inline distT="0" distB="0" distL="0" distR="0" wp14:anchorId="181FEB6D" wp14:editId="1B977377">
            <wp:extent cx="5760720" cy="372996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4_benchmarking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29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E3BF3" w14:textId="77777777" w:rsidR="00290BE9" w:rsidRDefault="00000000">
      <w:pPr>
        <w:spacing w:after="160"/>
        <w:jc w:val="center"/>
      </w:pPr>
      <w:r>
        <w:rPr>
          <w:i/>
          <w:color w:val="5A5A5A"/>
          <w:sz w:val="18"/>
        </w:rPr>
        <w:t>Figura 1 — Séries temporais com previsões no período de teste (topo) e RMSE comparativo por modelo (base). Esquerda: F1-001 (smooth). Direita: F2-003 (erratic).</w:t>
      </w:r>
    </w:p>
    <w:p w14:paraId="0F3EBB5D" w14:textId="77777777" w:rsidR="00290BE9" w:rsidRDefault="00000000">
      <w:pPr>
        <w:spacing w:after="120"/>
        <w:jc w:val="both"/>
      </w:pPr>
      <w:r>
        <w:rPr>
          <w:b/>
        </w:rPr>
        <w:t xml:space="preserve">F1-001: Holt-Winters vencedor. </w:t>
      </w:r>
      <w:r>
        <w:t>Reduz MAE em 16% e RMSE em 8% sobre o Naive, com MAPE 18,2%. O ganho decorre da captura de sazonalidade intra-anual — visível no gráfico, onde H-W acompanha as oscilações enquanto os demais modelos se estabilizam em um patamar plano.</w:t>
      </w:r>
    </w:p>
    <w:p w14:paraId="74A68957" w14:textId="77777777" w:rsidR="00290BE9" w:rsidRDefault="00000000">
      <w:pPr>
        <w:spacing w:after="120"/>
        <w:jc w:val="both"/>
      </w:pPr>
      <w:r>
        <w:rPr>
          <w:b/>
        </w:rPr>
        <w:t xml:space="preserve">F2-003: complexidade não ajuda. </w:t>
      </w:r>
      <w:r>
        <w:t>Os quatro modelos produzem RMSE praticamente idênticos (entre 38,3 e 40,0), e todos apresentam MAPE próximo a 60%. Para demanda erratic com alta variabilidade natural, nenhuma estrutura de modelo paramétrico melhora significativamente a previsão pontual — o que motiva deslocar o esforço para políticas de estoque mais robustas (tratado em Bloco 4).</w:t>
      </w:r>
    </w:p>
    <w:p w14:paraId="33EFD567" w14:textId="77777777" w:rsidR="00290BE9" w:rsidRDefault="00000000">
      <w:pPr>
        <w:spacing w:after="120"/>
        <w:jc w:val="both"/>
      </w:pPr>
      <w:r>
        <w:rPr>
          <w:b/>
        </w:rPr>
        <w:t xml:space="preserve">Implicação para estoque de segurança. </w:t>
      </w:r>
      <w:r>
        <w:t>Usando ES = z · RMSE · √LT com z = 1,645 (serviço 95%), F1-001 com H-W requer ~233 unidades (R$ 1.582), enquanto F2-003 requer ~89 unidades — porém a R$ 42/unidade, totaliza R$ 4.281. O erro de previsão tem custo real e assimétrico: modelo mais preciso significa menos capital parado sem perder serviço.</w:t>
      </w:r>
    </w:p>
    <w:p w14:paraId="12DAA192" w14:textId="77777777" w:rsidR="00290BE9" w:rsidRDefault="00000000">
      <w:pPr>
        <w:spacing w:before="280" w:after="120"/>
      </w:pPr>
      <w:r>
        <w:rPr>
          <w:b/>
          <w:color w:val="1E4682"/>
          <w:sz w:val="32"/>
        </w:rPr>
        <w:lastRenderedPageBreak/>
        <w:t>Q5. Falhas de Dados e Processos</w:t>
      </w:r>
    </w:p>
    <w:p w14:paraId="687506A6" w14:textId="77777777" w:rsidR="00290BE9" w:rsidRDefault="00000000">
      <w:pPr>
        <w:spacing w:after="120"/>
        <w:jc w:val="both"/>
      </w:pPr>
      <w:r>
        <w:t>Listamos abaixo as cinco falhas críticas que distorcem a previsão e o dimensionamento de estoques, cada uma com evidência quantitativa e mecanismo de impacto consolidado.</w:t>
      </w:r>
    </w:p>
    <w:p w14:paraId="6C8CF960" w14:textId="77777777" w:rsidR="00290BE9" w:rsidRDefault="00000000">
      <w:pPr>
        <w:spacing w:after="120"/>
        <w:jc w:val="both"/>
      </w:pPr>
      <w:r>
        <w:rPr>
          <w:b/>
        </w:rPr>
        <w:t xml:space="preserve">Falha 1 — Cadastro incompleto (P6). </w:t>
      </w:r>
      <w:r>
        <w:t>12% dos SKUs sem EAN válido e hierarquia produto-família-canal incompleta. Impacto: a série de demanda captura apenas ~88% do volume real; em F2 (5 SKUs), um SKU omitido representa 20% da família. Modelos subestimam sistematicamente e a classificação ABC/XYZ fica inviável — F1-001, que representa 32% de F1, não é priorizado.</w:t>
      </w:r>
    </w:p>
    <w:p w14:paraId="7747C75E" w14:textId="77777777" w:rsidR="00290BE9" w:rsidRDefault="00000000">
      <w:pPr>
        <w:spacing w:after="120"/>
        <w:jc w:val="both"/>
      </w:pPr>
      <w:r>
        <w:rPr>
          <w:b/>
        </w:rPr>
        <w:t xml:space="preserve">Falha 2 — WMS com 8% de falhas de baixa (P6). </w:t>
      </w:r>
      <w:r>
        <w:t>8% das operações registram saída incorreta, exigindo 120 h/mês de recontagem. Impacto: histórico de demanda contaminado por viés acumulado em 104 semanas; saldo sistêmico divergente aciona pedido emergencial (R$ 1.250 + 42 kg CO₂), consumindo cota ESG em correções que não são ruptura real.</w:t>
      </w:r>
    </w:p>
    <w:p w14:paraId="17B845C8" w14:textId="77777777" w:rsidR="00290BE9" w:rsidRDefault="00000000">
      <w:pPr>
        <w:spacing w:after="120"/>
        <w:jc w:val="both"/>
      </w:pPr>
      <w:r>
        <w:rPr>
          <w:b/>
        </w:rPr>
        <w:t xml:space="preserve">Falha 3 — Delay de 4h entre e-commerce e ERP (P5). </w:t>
      </w:r>
      <w:r>
        <w:t>6% de cancelamento por indisponibilidade. Impacto: pedido registrado mas não atendido vira 'demanda fantasma' no histórico; para F1 (2.800 un/semana), estimam-se ~25 un/semana fictícias que, com shelf life de 7 dias, alimentam descarte. NPS online (32) colapsado frente à loja física (68).</w:t>
      </w:r>
    </w:p>
    <w:p w14:paraId="1359BB09" w14:textId="77777777" w:rsidR="00290BE9" w:rsidRDefault="00000000">
      <w:pPr>
        <w:spacing w:after="120"/>
        <w:jc w:val="both"/>
      </w:pPr>
      <w:r>
        <w:rPr>
          <w:b/>
        </w:rPr>
        <w:t xml:space="preserve">Falha 4 — Canais sem segmentação (P5). </w:t>
      </w:r>
      <w:r>
        <w:t>Todos os canais tratados como vendas genéricas. Impacto: média ponderada mascara dinâmicas opostas (marketplace +30% compensando loja −5% gera agregado +1%); e-commerce tem tolerância zero a ruptura visível, loja permite substituição — política única sub-protege o digital.</w:t>
      </w:r>
    </w:p>
    <w:p w14:paraId="746916A4" w14:textId="77777777" w:rsidR="00290BE9" w:rsidRDefault="00000000">
      <w:pPr>
        <w:spacing w:after="120"/>
        <w:jc w:val="both"/>
      </w:pPr>
      <w:r>
        <w:rPr>
          <w:b/>
        </w:rPr>
        <w:t xml:space="preserve">Falha 5 — Promoções não registradas no histórico (P1/P3). </w:t>
      </w:r>
      <w:r>
        <w:t>Sem flag no ERP e sem comunicação prévia estruturada. Impacto: picos são interpretados como variabilidade natural, inflando σ; como ES = z · σ · √LT, o estoque de segurança fica superdimensionado em regime permanente. A promoção de F2 na semana 30 (+55%) é o exemplo canônico: sem registro, modelos futuros tratarão o evento como outlier.</w:t>
      </w:r>
    </w:p>
    <w:p w14:paraId="7E9691A1" w14:textId="77777777" w:rsidR="00290BE9" w:rsidRDefault="00000000">
      <w:pPr>
        <w:spacing w:before="280" w:after="120"/>
      </w:pPr>
      <w:r>
        <w:rPr>
          <w:b/>
          <w:color w:val="1E4682"/>
          <w:sz w:val="32"/>
        </w:rPr>
        <w:t>Q6. Roteiro de Visita</w:t>
      </w:r>
    </w:p>
    <w:p w14:paraId="715DB7A9" w14:textId="77777777" w:rsidR="00290BE9" w:rsidRDefault="00000000">
      <w:pPr>
        <w:spacing w:after="120"/>
        <w:jc w:val="both"/>
      </w:pPr>
      <w:r>
        <w:t>Oito perguntas direcionadas aos personagens-chave para validar ou refutar hipóteses sobre as causas dos problemas. Objetivo: capturar evidências quantitativas (KPIs, exceções, volumes de urgência).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2"/>
        <w:gridCol w:w="1728"/>
        <w:gridCol w:w="4320"/>
        <w:gridCol w:w="3168"/>
      </w:tblGrid>
      <w:tr w:rsidR="00290BE9" w14:paraId="580BAEF2" w14:textId="77777777">
        <w:trPr>
          <w:jc w:val="center"/>
        </w:trPr>
        <w:tc>
          <w:tcPr>
            <w:tcW w:w="432" w:type="dxa"/>
            <w:tcBorders>
              <w:top w:val="single" w:sz="4" w:space="0" w:color="1E4682"/>
              <w:left w:val="single" w:sz="4" w:space="0" w:color="1E4682"/>
              <w:bottom w:val="single" w:sz="4" w:space="0" w:color="1E4682"/>
              <w:right w:val="single" w:sz="4" w:space="0" w:color="1E4682"/>
            </w:tcBorders>
            <w:shd w:val="clear" w:color="auto" w:fill="1E4682"/>
            <w:vAlign w:val="center"/>
          </w:tcPr>
          <w:p w14:paraId="335BB712" w14:textId="77777777" w:rsidR="00290BE9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w="1728" w:type="dxa"/>
            <w:tcBorders>
              <w:top w:val="single" w:sz="4" w:space="0" w:color="1E4682"/>
              <w:left w:val="single" w:sz="4" w:space="0" w:color="1E4682"/>
              <w:bottom w:val="single" w:sz="4" w:space="0" w:color="1E4682"/>
              <w:right w:val="single" w:sz="4" w:space="0" w:color="1E4682"/>
            </w:tcBorders>
            <w:shd w:val="clear" w:color="auto" w:fill="1E4682"/>
            <w:vAlign w:val="center"/>
          </w:tcPr>
          <w:p w14:paraId="608AFDEF" w14:textId="77777777" w:rsidR="00290BE9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Personagem</w:t>
            </w:r>
          </w:p>
        </w:tc>
        <w:tc>
          <w:tcPr>
            <w:tcW w:w="4320" w:type="dxa"/>
            <w:tcBorders>
              <w:top w:val="single" w:sz="4" w:space="0" w:color="1E4682"/>
              <w:left w:val="single" w:sz="4" w:space="0" w:color="1E4682"/>
              <w:bottom w:val="single" w:sz="4" w:space="0" w:color="1E4682"/>
              <w:right w:val="single" w:sz="4" w:space="0" w:color="1E4682"/>
            </w:tcBorders>
            <w:shd w:val="clear" w:color="auto" w:fill="1E4682"/>
            <w:vAlign w:val="center"/>
          </w:tcPr>
          <w:p w14:paraId="4F3CB634" w14:textId="77777777" w:rsidR="00290BE9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Pergunta</w:t>
            </w:r>
          </w:p>
        </w:tc>
        <w:tc>
          <w:tcPr>
            <w:tcW w:w="3168" w:type="dxa"/>
            <w:tcBorders>
              <w:top w:val="single" w:sz="4" w:space="0" w:color="1E4682"/>
              <w:left w:val="single" w:sz="4" w:space="0" w:color="1E4682"/>
              <w:bottom w:val="single" w:sz="4" w:space="0" w:color="1E4682"/>
              <w:right w:val="single" w:sz="4" w:space="0" w:color="1E4682"/>
            </w:tcBorders>
            <w:shd w:val="clear" w:color="auto" w:fill="1E4682"/>
            <w:vAlign w:val="center"/>
          </w:tcPr>
          <w:p w14:paraId="6726D6CF" w14:textId="77777777" w:rsidR="00290BE9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Hipótese testada</w:t>
            </w:r>
          </w:p>
        </w:tc>
      </w:tr>
      <w:tr w:rsidR="00290BE9" w14:paraId="45B425E7" w14:textId="77777777">
        <w:trPr>
          <w:jc w:val="center"/>
        </w:trPr>
        <w:tc>
          <w:tcPr>
            <w:tcW w:w="432" w:type="dxa"/>
            <w:tcBorders>
              <w:top w:val="single" w:sz="4" w:space="0" w:color="B0B8C0"/>
              <w:left w:val="single" w:sz="4" w:space="0" w:color="B0B8C0"/>
              <w:bottom w:val="single" w:sz="4" w:space="0" w:color="B0B8C0"/>
              <w:right w:val="single" w:sz="4" w:space="0" w:color="B0B8C0"/>
            </w:tcBorders>
            <w:vAlign w:val="center"/>
          </w:tcPr>
          <w:p w14:paraId="53435B65" w14:textId="77777777" w:rsidR="00290BE9" w:rsidRDefault="00000000">
            <w:r>
              <w:rPr>
                <w:sz w:val="19"/>
              </w:rPr>
              <w:t>1</w:t>
            </w:r>
          </w:p>
        </w:tc>
        <w:tc>
          <w:tcPr>
            <w:tcW w:w="1728" w:type="dxa"/>
            <w:tcBorders>
              <w:top w:val="single" w:sz="4" w:space="0" w:color="B0B8C0"/>
              <w:left w:val="single" w:sz="4" w:space="0" w:color="B0B8C0"/>
              <w:bottom w:val="single" w:sz="4" w:space="0" w:color="B0B8C0"/>
              <w:right w:val="single" w:sz="4" w:space="0" w:color="B0B8C0"/>
            </w:tcBorders>
            <w:vAlign w:val="center"/>
          </w:tcPr>
          <w:p w14:paraId="5A161798" w14:textId="77777777" w:rsidR="00290BE9" w:rsidRDefault="00000000">
            <w:r>
              <w:rPr>
                <w:sz w:val="19"/>
              </w:rPr>
              <w:t>Caio (S&amp;OP)</w:t>
            </w:r>
          </w:p>
        </w:tc>
        <w:tc>
          <w:tcPr>
            <w:tcW w:w="4320" w:type="dxa"/>
            <w:tcBorders>
              <w:top w:val="single" w:sz="4" w:space="0" w:color="B0B8C0"/>
              <w:left w:val="single" w:sz="4" w:space="0" w:color="B0B8C0"/>
              <w:bottom w:val="single" w:sz="4" w:space="0" w:color="B0B8C0"/>
              <w:right w:val="single" w:sz="4" w:space="0" w:color="B0B8C0"/>
            </w:tcBorders>
            <w:vAlign w:val="center"/>
          </w:tcPr>
          <w:p w14:paraId="1C93FD42" w14:textId="77777777" w:rsidR="00290BE9" w:rsidRDefault="00000000">
            <w:r>
              <w:rPr>
                <w:sz w:val="19"/>
              </w:rPr>
              <w:t>Na previsão semanal, qual é o dado bruto — pedidos, vendas faturadas ou saídas do WMS? Existe sinalização de promoções?</w:t>
            </w:r>
          </w:p>
        </w:tc>
        <w:tc>
          <w:tcPr>
            <w:tcW w:w="3168" w:type="dxa"/>
            <w:tcBorders>
              <w:top w:val="single" w:sz="4" w:space="0" w:color="B0B8C0"/>
              <w:left w:val="single" w:sz="4" w:space="0" w:color="B0B8C0"/>
              <w:bottom w:val="single" w:sz="4" w:space="0" w:color="B0B8C0"/>
              <w:right w:val="single" w:sz="4" w:space="0" w:color="B0B8C0"/>
            </w:tcBorders>
            <w:vAlign w:val="center"/>
          </w:tcPr>
          <w:p w14:paraId="74679B0D" w14:textId="77777777" w:rsidR="00290BE9" w:rsidRDefault="00000000">
            <w:r>
              <w:rPr>
                <w:sz w:val="19"/>
              </w:rPr>
              <w:t>Previsão sobre dados contaminados e sem flags de eventos explica MAPE &gt; 25%.</w:t>
            </w:r>
          </w:p>
        </w:tc>
      </w:tr>
      <w:tr w:rsidR="00290BE9" w14:paraId="02F821C7" w14:textId="77777777">
        <w:trPr>
          <w:jc w:val="center"/>
        </w:trPr>
        <w:tc>
          <w:tcPr>
            <w:tcW w:w="432" w:type="dxa"/>
            <w:tcBorders>
              <w:top w:val="single" w:sz="4" w:space="0" w:color="B0B8C0"/>
              <w:left w:val="single" w:sz="4" w:space="0" w:color="B0B8C0"/>
              <w:bottom w:val="single" w:sz="4" w:space="0" w:color="B0B8C0"/>
              <w:right w:val="single" w:sz="4" w:space="0" w:color="B0B8C0"/>
            </w:tcBorders>
            <w:shd w:val="clear" w:color="auto" w:fill="F0F4F8"/>
            <w:vAlign w:val="center"/>
          </w:tcPr>
          <w:p w14:paraId="2B1EE337" w14:textId="77777777" w:rsidR="00290BE9" w:rsidRDefault="00000000">
            <w:r>
              <w:rPr>
                <w:sz w:val="19"/>
              </w:rPr>
              <w:t>2</w:t>
            </w:r>
          </w:p>
        </w:tc>
        <w:tc>
          <w:tcPr>
            <w:tcW w:w="1728" w:type="dxa"/>
            <w:tcBorders>
              <w:top w:val="single" w:sz="4" w:space="0" w:color="B0B8C0"/>
              <w:left w:val="single" w:sz="4" w:space="0" w:color="B0B8C0"/>
              <w:bottom w:val="single" w:sz="4" w:space="0" w:color="B0B8C0"/>
              <w:right w:val="single" w:sz="4" w:space="0" w:color="B0B8C0"/>
            </w:tcBorders>
            <w:shd w:val="clear" w:color="auto" w:fill="F0F4F8"/>
            <w:vAlign w:val="center"/>
          </w:tcPr>
          <w:p w14:paraId="5AFF75B8" w14:textId="77777777" w:rsidR="00290BE9" w:rsidRDefault="00000000">
            <w:r>
              <w:rPr>
                <w:sz w:val="19"/>
              </w:rPr>
              <w:t>Rafaela (CD)</w:t>
            </w:r>
          </w:p>
        </w:tc>
        <w:tc>
          <w:tcPr>
            <w:tcW w:w="4320" w:type="dxa"/>
            <w:tcBorders>
              <w:top w:val="single" w:sz="4" w:space="0" w:color="B0B8C0"/>
              <w:left w:val="single" w:sz="4" w:space="0" w:color="B0B8C0"/>
              <w:bottom w:val="single" w:sz="4" w:space="0" w:color="B0B8C0"/>
              <w:right w:val="single" w:sz="4" w:space="0" w:color="B0B8C0"/>
            </w:tcBorders>
            <w:shd w:val="clear" w:color="auto" w:fill="F0F4F8"/>
            <w:vAlign w:val="center"/>
          </w:tcPr>
          <w:p w14:paraId="1553EB4A" w14:textId="77777777" w:rsidR="00290BE9" w:rsidRDefault="00000000">
            <w:r>
              <w:rPr>
                <w:sz w:val="19"/>
              </w:rPr>
              <w:t>Nas últimas 4 recontagens semanais, quais famílias têm maior divergência físico vs. sistêmico?</w:t>
            </w:r>
          </w:p>
        </w:tc>
        <w:tc>
          <w:tcPr>
            <w:tcW w:w="3168" w:type="dxa"/>
            <w:tcBorders>
              <w:top w:val="single" w:sz="4" w:space="0" w:color="B0B8C0"/>
              <w:left w:val="single" w:sz="4" w:space="0" w:color="B0B8C0"/>
              <w:bottom w:val="single" w:sz="4" w:space="0" w:color="B0B8C0"/>
              <w:right w:val="single" w:sz="4" w:space="0" w:color="B0B8C0"/>
            </w:tcBorders>
            <w:shd w:val="clear" w:color="auto" w:fill="F0F4F8"/>
            <w:vAlign w:val="center"/>
          </w:tcPr>
          <w:p w14:paraId="4F762862" w14:textId="77777777" w:rsidR="00290BE9" w:rsidRDefault="00000000">
            <w:r>
              <w:rPr>
                <w:sz w:val="19"/>
              </w:rPr>
              <w:t>Falhas de 8% do WMS concentradas em famílias específicas (F1, F5).</w:t>
            </w:r>
          </w:p>
        </w:tc>
      </w:tr>
      <w:tr w:rsidR="00290BE9" w14:paraId="2D600B57" w14:textId="77777777">
        <w:trPr>
          <w:jc w:val="center"/>
        </w:trPr>
        <w:tc>
          <w:tcPr>
            <w:tcW w:w="432" w:type="dxa"/>
            <w:tcBorders>
              <w:top w:val="single" w:sz="4" w:space="0" w:color="B0B8C0"/>
              <w:left w:val="single" w:sz="4" w:space="0" w:color="B0B8C0"/>
              <w:bottom w:val="single" w:sz="4" w:space="0" w:color="B0B8C0"/>
              <w:right w:val="single" w:sz="4" w:space="0" w:color="B0B8C0"/>
            </w:tcBorders>
            <w:vAlign w:val="center"/>
          </w:tcPr>
          <w:p w14:paraId="04349189" w14:textId="77777777" w:rsidR="00290BE9" w:rsidRDefault="00000000">
            <w:r>
              <w:rPr>
                <w:sz w:val="19"/>
              </w:rPr>
              <w:t>3</w:t>
            </w:r>
          </w:p>
        </w:tc>
        <w:tc>
          <w:tcPr>
            <w:tcW w:w="1728" w:type="dxa"/>
            <w:tcBorders>
              <w:top w:val="single" w:sz="4" w:space="0" w:color="B0B8C0"/>
              <w:left w:val="single" w:sz="4" w:space="0" w:color="B0B8C0"/>
              <w:bottom w:val="single" w:sz="4" w:space="0" w:color="B0B8C0"/>
              <w:right w:val="single" w:sz="4" w:space="0" w:color="B0B8C0"/>
            </w:tcBorders>
            <w:vAlign w:val="center"/>
          </w:tcPr>
          <w:p w14:paraId="6FBFD7C3" w14:textId="77777777" w:rsidR="00290BE9" w:rsidRDefault="00000000">
            <w:r>
              <w:rPr>
                <w:sz w:val="19"/>
              </w:rPr>
              <w:t>Rafaela (CD)</w:t>
            </w:r>
          </w:p>
        </w:tc>
        <w:tc>
          <w:tcPr>
            <w:tcW w:w="4320" w:type="dxa"/>
            <w:tcBorders>
              <w:top w:val="single" w:sz="4" w:space="0" w:color="B0B8C0"/>
              <w:left w:val="single" w:sz="4" w:space="0" w:color="B0B8C0"/>
              <w:bottom w:val="single" w:sz="4" w:space="0" w:color="B0B8C0"/>
              <w:right w:val="single" w:sz="4" w:space="0" w:color="B0B8C0"/>
            </w:tcBorders>
            <w:vAlign w:val="center"/>
          </w:tcPr>
          <w:p w14:paraId="2DC53E01" w14:textId="77777777" w:rsidR="00290BE9" w:rsidRDefault="00000000">
            <w:r>
              <w:rPr>
                <w:sz w:val="19"/>
              </w:rPr>
              <w:t>Quantas viagens emergenciais nos últimos 3 meses, por semana? Motivo de cada uma?</w:t>
            </w:r>
          </w:p>
        </w:tc>
        <w:tc>
          <w:tcPr>
            <w:tcW w:w="3168" w:type="dxa"/>
            <w:tcBorders>
              <w:top w:val="single" w:sz="4" w:space="0" w:color="B0B8C0"/>
              <w:left w:val="single" w:sz="4" w:space="0" w:color="B0B8C0"/>
              <w:bottom w:val="single" w:sz="4" w:space="0" w:color="B0B8C0"/>
              <w:right w:val="single" w:sz="4" w:space="0" w:color="B0B8C0"/>
            </w:tcBorders>
            <w:vAlign w:val="center"/>
          </w:tcPr>
          <w:p w14:paraId="02E885C2" w14:textId="77777777" w:rsidR="00290BE9" w:rsidRDefault="00000000">
            <w:r>
              <w:rPr>
                <w:sz w:val="19"/>
              </w:rPr>
              <w:t>Maioria das 14-18 viagens/mês causada por falhas de processo, não por demanda imprevisível.</w:t>
            </w:r>
          </w:p>
        </w:tc>
      </w:tr>
      <w:tr w:rsidR="00290BE9" w14:paraId="1C9E10A6" w14:textId="77777777">
        <w:trPr>
          <w:jc w:val="center"/>
        </w:trPr>
        <w:tc>
          <w:tcPr>
            <w:tcW w:w="432" w:type="dxa"/>
            <w:tcBorders>
              <w:top w:val="single" w:sz="4" w:space="0" w:color="B0B8C0"/>
              <w:left w:val="single" w:sz="4" w:space="0" w:color="B0B8C0"/>
              <w:bottom w:val="single" w:sz="4" w:space="0" w:color="B0B8C0"/>
              <w:right w:val="single" w:sz="4" w:space="0" w:color="B0B8C0"/>
            </w:tcBorders>
            <w:shd w:val="clear" w:color="auto" w:fill="F0F4F8"/>
            <w:vAlign w:val="center"/>
          </w:tcPr>
          <w:p w14:paraId="589FD45C" w14:textId="77777777" w:rsidR="00290BE9" w:rsidRDefault="00000000">
            <w:r>
              <w:rPr>
                <w:sz w:val="19"/>
              </w:rPr>
              <w:t>4</w:t>
            </w:r>
          </w:p>
        </w:tc>
        <w:tc>
          <w:tcPr>
            <w:tcW w:w="1728" w:type="dxa"/>
            <w:tcBorders>
              <w:top w:val="single" w:sz="4" w:space="0" w:color="B0B8C0"/>
              <w:left w:val="single" w:sz="4" w:space="0" w:color="B0B8C0"/>
              <w:bottom w:val="single" w:sz="4" w:space="0" w:color="B0B8C0"/>
              <w:right w:val="single" w:sz="4" w:space="0" w:color="B0B8C0"/>
            </w:tcBorders>
            <w:shd w:val="clear" w:color="auto" w:fill="F0F4F8"/>
            <w:vAlign w:val="center"/>
          </w:tcPr>
          <w:p w14:paraId="06A2B068" w14:textId="77777777" w:rsidR="00290BE9" w:rsidRDefault="00000000">
            <w:r>
              <w:rPr>
                <w:sz w:val="19"/>
              </w:rPr>
              <w:t>Igor (Comercial)</w:t>
            </w:r>
          </w:p>
        </w:tc>
        <w:tc>
          <w:tcPr>
            <w:tcW w:w="4320" w:type="dxa"/>
            <w:tcBorders>
              <w:top w:val="single" w:sz="4" w:space="0" w:color="B0B8C0"/>
              <w:left w:val="single" w:sz="4" w:space="0" w:color="B0B8C0"/>
              <w:bottom w:val="single" w:sz="4" w:space="0" w:color="B0B8C0"/>
              <w:right w:val="single" w:sz="4" w:space="0" w:color="B0B8C0"/>
            </w:tcBorders>
            <w:shd w:val="clear" w:color="auto" w:fill="F0F4F8"/>
            <w:vAlign w:val="center"/>
          </w:tcPr>
          <w:p w14:paraId="2A56373C" w14:textId="77777777" w:rsidR="00290BE9" w:rsidRDefault="00000000">
            <w:r>
              <w:rPr>
                <w:sz w:val="19"/>
              </w:rPr>
              <w:t>Nas últimas 10 promoções, com quantos dias Operações foi notificada? Há registro formal?</w:t>
            </w:r>
          </w:p>
        </w:tc>
        <w:tc>
          <w:tcPr>
            <w:tcW w:w="3168" w:type="dxa"/>
            <w:tcBorders>
              <w:top w:val="single" w:sz="4" w:space="0" w:color="B0B8C0"/>
              <w:left w:val="single" w:sz="4" w:space="0" w:color="B0B8C0"/>
              <w:bottom w:val="single" w:sz="4" w:space="0" w:color="B0B8C0"/>
              <w:right w:val="single" w:sz="4" w:space="0" w:color="B0B8C0"/>
            </w:tcBorders>
            <w:shd w:val="clear" w:color="auto" w:fill="F0F4F8"/>
            <w:vAlign w:val="center"/>
          </w:tcPr>
          <w:p w14:paraId="4891CE24" w14:textId="77777777" w:rsidR="00290BE9" w:rsidRDefault="00000000">
            <w:r>
              <w:rPr>
                <w:sz w:val="19"/>
              </w:rPr>
              <w:t>Lead time de comunicação &lt; 7 dias e ausência de registro rastreável.</w:t>
            </w:r>
          </w:p>
        </w:tc>
      </w:tr>
      <w:tr w:rsidR="00290BE9" w14:paraId="3707010C" w14:textId="77777777">
        <w:trPr>
          <w:jc w:val="center"/>
        </w:trPr>
        <w:tc>
          <w:tcPr>
            <w:tcW w:w="432" w:type="dxa"/>
            <w:tcBorders>
              <w:top w:val="single" w:sz="4" w:space="0" w:color="B0B8C0"/>
              <w:left w:val="single" w:sz="4" w:space="0" w:color="B0B8C0"/>
              <w:bottom w:val="single" w:sz="4" w:space="0" w:color="B0B8C0"/>
              <w:right w:val="single" w:sz="4" w:space="0" w:color="B0B8C0"/>
            </w:tcBorders>
            <w:vAlign w:val="center"/>
          </w:tcPr>
          <w:p w14:paraId="76F17469" w14:textId="77777777" w:rsidR="00290BE9" w:rsidRDefault="00000000">
            <w:r>
              <w:rPr>
                <w:sz w:val="19"/>
              </w:rPr>
              <w:t>5</w:t>
            </w:r>
          </w:p>
        </w:tc>
        <w:tc>
          <w:tcPr>
            <w:tcW w:w="1728" w:type="dxa"/>
            <w:tcBorders>
              <w:top w:val="single" w:sz="4" w:space="0" w:color="B0B8C0"/>
              <w:left w:val="single" w:sz="4" w:space="0" w:color="B0B8C0"/>
              <w:bottom w:val="single" w:sz="4" w:space="0" w:color="B0B8C0"/>
              <w:right w:val="single" w:sz="4" w:space="0" w:color="B0B8C0"/>
            </w:tcBorders>
            <w:vAlign w:val="center"/>
          </w:tcPr>
          <w:p w14:paraId="280BE49F" w14:textId="77777777" w:rsidR="00290BE9" w:rsidRDefault="00000000">
            <w:r>
              <w:rPr>
                <w:sz w:val="19"/>
              </w:rPr>
              <w:t>Helena (Operações)</w:t>
            </w:r>
          </w:p>
        </w:tc>
        <w:tc>
          <w:tcPr>
            <w:tcW w:w="4320" w:type="dxa"/>
            <w:tcBorders>
              <w:top w:val="single" w:sz="4" w:space="0" w:color="B0B8C0"/>
              <w:left w:val="single" w:sz="4" w:space="0" w:color="B0B8C0"/>
              <w:bottom w:val="single" w:sz="4" w:space="0" w:color="B0B8C0"/>
              <w:right w:val="single" w:sz="4" w:space="0" w:color="B0B8C0"/>
            </w:tcBorders>
            <w:vAlign w:val="center"/>
          </w:tcPr>
          <w:p w14:paraId="6B4E60A1" w14:textId="77777777" w:rsidR="00290BE9" w:rsidRDefault="00000000">
            <w:r>
              <w:rPr>
                <w:sz w:val="19"/>
              </w:rPr>
              <w:t>Em crise de ruptura, qual é o fluxo de decisão? Quem autoriza viagem extra? Há protocolo?</w:t>
            </w:r>
          </w:p>
        </w:tc>
        <w:tc>
          <w:tcPr>
            <w:tcW w:w="3168" w:type="dxa"/>
            <w:tcBorders>
              <w:top w:val="single" w:sz="4" w:space="0" w:color="B0B8C0"/>
              <w:left w:val="single" w:sz="4" w:space="0" w:color="B0B8C0"/>
              <w:bottom w:val="single" w:sz="4" w:space="0" w:color="B0B8C0"/>
              <w:right w:val="single" w:sz="4" w:space="0" w:color="B0B8C0"/>
            </w:tcBorders>
            <w:vAlign w:val="center"/>
          </w:tcPr>
          <w:p w14:paraId="38DDFB85" w14:textId="77777777" w:rsidR="00290BE9" w:rsidRDefault="00000000">
            <w:r>
              <w:rPr>
                <w:sz w:val="19"/>
              </w:rPr>
              <w:t>Ausência de S&amp;OE formal; decisões reativas, sem critérios e sem análise post-mortem.</w:t>
            </w:r>
          </w:p>
        </w:tc>
      </w:tr>
      <w:tr w:rsidR="00290BE9" w14:paraId="663AA4AF" w14:textId="77777777">
        <w:trPr>
          <w:jc w:val="center"/>
        </w:trPr>
        <w:tc>
          <w:tcPr>
            <w:tcW w:w="432" w:type="dxa"/>
            <w:tcBorders>
              <w:top w:val="single" w:sz="4" w:space="0" w:color="B0B8C0"/>
              <w:left w:val="single" w:sz="4" w:space="0" w:color="B0B8C0"/>
              <w:bottom w:val="single" w:sz="4" w:space="0" w:color="B0B8C0"/>
              <w:right w:val="single" w:sz="4" w:space="0" w:color="B0B8C0"/>
            </w:tcBorders>
            <w:shd w:val="clear" w:color="auto" w:fill="F0F4F8"/>
            <w:vAlign w:val="center"/>
          </w:tcPr>
          <w:p w14:paraId="22BFFA22" w14:textId="77777777" w:rsidR="00290BE9" w:rsidRDefault="00000000">
            <w:r>
              <w:rPr>
                <w:sz w:val="19"/>
              </w:rPr>
              <w:t>6</w:t>
            </w:r>
          </w:p>
        </w:tc>
        <w:tc>
          <w:tcPr>
            <w:tcW w:w="1728" w:type="dxa"/>
            <w:tcBorders>
              <w:top w:val="single" w:sz="4" w:space="0" w:color="B0B8C0"/>
              <w:left w:val="single" w:sz="4" w:space="0" w:color="B0B8C0"/>
              <w:bottom w:val="single" w:sz="4" w:space="0" w:color="B0B8C0"/>
              <w:right w:val="single" w:sz="4" w:space="0" w:color="B0B8C0"/>
            </w:tcBorders>
            <w:shd w:val="clear" w:color="auto" w:fill="F0F4F8"/>
            <w:vAlign w:val="center"/>
          </w:tcPr>
          <w:p w14:paraId="39EBBCD9" w14:textId="77777777" w:rsidR="00290BE9" w:rsidRDefault="00000000">
            <w:r>
              <w:rPr>
                <w:sz w:val="19"/>
              </w:rPr>
              <w:t>Caio (S&amp;OP)</w:t>
            </w:r>
          </w:p>
        </w:tc>
        <w:tc>
          <w:tcPr>
            <w:tcW w:w="4320" w:type="dxa"/>
            <w:tcBorders>
              <w:top w:val="single" w:sz="4" w:space="0" w:color="B0B8C0"/>
              <w:left w:val="single" w:sz="4" w:space="0" w:color="B0B8C0"/>
              <w:bottom w:val="single" w:sz="4" w:space="0" w:color="B0B8C0"/>
              <w:right w:val="single" w:sz="4" w:space="0" w:color="B0B8C0"/>
            </w:tcBorders>
            <w:shd w:val="clear" w:color="auto" w:fill="F0F4F8"/>
            <w:vAlign w:val="center"/>
          </w:tcPr>
          <w:p w14:paraId="23B8AA26" w14:textId="77777777" w:rsidR="00290BE9" w:rsidRDefault="00000000">
            <w:r>
              <w:rPr>
                <w:sz w:val="19"/>
              </w:rPr>
              <w:t xml:space="preserve">Existe erro de previsão por família e canal? Em quais </w:t>
            </w:r>
            <w:r>
              <w:rPr>
                <w:sz w:val="19"/>
              </w:rPr>
              <w:lastRenderedPageBreak/>
              <w:t>semanas o erro foi maior?</w:t>
            </w:r>
          </w:p>
        </w:tc>
        <w:tc>
          <w:tcPr>
            <w:tcW w:w="3168" w:type="dxa"/>
            <w:tcBorders>
              <w:top w:val="single" w:sz="4" w:space="0" w:color="B0B8C0"/>
              <w:left w:val="single" w:sz="4" w:space="0" w:color="B0B8C0"/>
              <w:bottom w:val="single" w:sz="4" w:space="0" w:color="B0B8C0"/>
              <w:right w:val="single" w:sz="4" w:space="0" w:color="B0B8C0"/>
            </w:tcBorders>
            <w:shd w:val="clear" w:color="auto" w:fill="F0F4F8"/>
            <w:vAlign w:val="center"/>
          </w:tcPr>
          <w:p w14:paraId="7E643B0F" w14:textId="77777777" w:rsidR="00290BE9" w:rsidRDefault="00000000">
            <w:r>
              <w:rPr>
                <w:sz w:val="19"/>
              </w:rPr>
              <w:lastRenderedPageBreak/>
              <w:t xml:space="preserve">Erro concentrado em eventos e famílias de alta variabilidade (F2, F4, </w:t>
            </w:r>
            <w:r>
              <w:rPr>
                <w:sz w:val="19"/>
              </w:rPr>
              <w:lastRenderedPageBreak/>
              <w:t>F5).</w:t>
            </w:r>
          </w:p>
        </w:tc>
      </w:tr>
      <w:tr w:rsidR="00290BE9" w14:paraId="03220994" w14:textId="77777777">
        <w:trPr>
          <w:jc w:val="center"/>
        </w:trPr>
        <w:tc>
          <w:tcPr>
            <w:tcW w:w="432" w:type="dxa"/>
            <w:tcBorders>
              <w:top w:val="single" w:sz="4" w:space="0" w:color="B0B8C0"/>
              <w:left w:val="single" w:sz="4" w:space="0" w:color="B0B8C0"/>
              <w:bottom w:val="single" w:sz="4" w:space="0" w:color="B0B8C0"/>
              <w:right w:val="single" w:sz="4" w:space="0" w:color="B0B8C0"/>
            </w:tcBorders>
            <w:vAlign w:val="center"/>
          </w:tcPr>
          <w:p w14:paraId="72CCBFB0" w14:textId="77777777" w:rsidR="00290BE9" w:rsidRDefault="00000000">
            <w:r>
              <w:rPr>
                <w:sz w:val="19"/>
              </w:rPr>
              <w:lastRenderedPageBreak/>
              <w:t>7</w:t>
            </w:r>
          </w:p>
        </w:tc>
        <w:tc>
          <w:tcPr>
            <w:tcW w:w="1728" w:type="dxa"/>
            <w:tcBorders>
              <w:top w:val="single" w:sz="4" w:space="0" w:color="B0B8C0"/>
              <w:left w:val="single" w:sz="4" w:space="0" w:color="B0B8C0"/>
              <w:bottom w:val="single" w:sz="4" w:space="0" w:color="B0B8C0"/>
              <w:right w:val="single" w:sz="4" w:space="0" w:color="B0B8C0"/>
            </w:tcBorders>
            <w:vAlign w:val="center"/>
          </w:tcPr>
          <w:p w14:paraId="33E2B547" w14:textId="77777777" w:rsidR="00290BE9" w:rsidRDefault="00000000">
            <w:r>
              <w:rPr>
                <w:sz w:val="19"/>
              </w:rPr>
              <w:t>Lívia (ESG)</w:t>
            </w:r>
          </w:p>
        </w:tc>
        <w:tc>
          <w:tcPr>
            <w:tcW w:w="4320" w:type="dxa"/>
            <w:tcBorders>
              <w:top w:val="single" w:sz="4" w:space="0" w:color="B0B8C0"/>
              <w:left w:val="single" w:sz="4" w:space="0" w:color="B0B8C0"/>
              <w:bottom w:val="single" w:sz="4" w:space="0" w:color="B0B8C0"/>
              <w:right w:val="single" w:sz="4" w:space="0" w:color="B0B8C0"/>
            </w:tcBorders>
            <w:vAlign w:val="center"/>
          </w:tcPr>
          <w:p w14:paraId="1B5145D4" w14:textId="77777777" w:rsidR="00290BE9" w:rsidRDefault="00000000">
            <w:r>
              <w:rPr>
                <w:sz w:val="19"/>
              </w:rPr>
              <w:t>Qual proporção de emissões vem de viagens programadas vs. emergenciais? Descarte piorando?</w:t>
            </w:r>
          </w:p>
        </w:tc>
        <w:tc>
          <w:tcPr>
            <w:tcW w:w="3168" w:type="dxa"/>
            <w:tcBorders>
              <w:top w:val="single" w:sz="4" w:space="0" w:color="B0B8C0"/>
              <w:left w:val="single" w:sz="4" w:space="0" w:color="B0B8C0"/>
              <w:bottom w:val="single" w:sz="4" w:space="0" w:color="B0B8C0"/>
              <w:right w:val="single" w:sz="4" w:space="0" w:color="B0B8C0"/>
            </w:tcBorders>
            <w:vAlign w:val="center"/>
          </w:tcPr>
          <w:p w14:paraId="17F0921C" w14:textId="77777777" w:rsidR="00290BE9" w:rsidRDefault="00000000">
            <w:r>
              <w:rPr>
                <w:sz w:val="19"/>
              </w:rPr>
              <w:t>Viagens emergenciais dominam emissões evitáveis; descarte não melhora.</w:t>
            </w:r>
          </w:p>
        </w:tc>
      </w:tr>
      <w:tr w:rsidR="00290BE9" w14:paraId="5143039E" w14:textId="77777777">
        <w:trPr>
          <w:jc w:val="center"/>
        </w:trPr>
        <w:tc>
          <w:tcPr>
            <w:tcW w:w="432" w:type="dxa"/>
            <w:tcBorders>
              <w:top w:val="single" w:sz="4" w:space="0" w:color="B0B8C0"/>
              <w:left w:val="single" w:sz="4" w:space="0" w:color="B0B8C0"/>
              <w:bottom w:val="single" w:sz="4" w:space="0" w:color="B0B8C0"/>
              <w:right w:val="single" w:sz="4" w:space="0" w:color="B0B8C0"/>
            </w:tcBorders>
            <w:shd w:val="clear" w:color="auto" w:fill="F0F4F8"/>
            <w:vAlign w:val="center"/>
          </w:tcPr>
          <w:p w14:paraId="4BD6183B" w14:textId="77777777" w:rsidR="00290BE9" w:rsidRDefault="00000000">
            <w:r>
              <w:rPr>
                <w:sz w:val="19"/>
              </w:rPr>
              <w:t>8</w:t>
            </w:r>
          </w:p>
        </w:tc>
        <w:tc>
          <w:tcPr>
            <w:tcW w:w="1728" w:type="dxa"/>
            <w:tcBorders>
              <w:top w:val="single" w:sz="4" w:space="0" w:color="B0B8C0"/>
              <w:left w:val="single" w:sz="4" w:space="0" w:color="B0B8C0"/>
              <w:bottom w:val="single" w:sz="4" w:space="0" w:color="B0B8C0"/>
              <w:right w:val="single" w:sz="4" w:space="0" w:color="B0B8C0"/>
            </w:tcBorders>
            <w:shd w:val="clear" w:color="auto" w:fill="F0F4F8"/>
            <w:vAlign w:val="center"/>
          </w:tcPr>
          <w:p w14:paraId="6F6C6261" w14:textId="77777777" w:rsidR="00290BE9" w:rsidRDefault="00000000">
            <w:r>
              <w:rPr>
                <w:sz w:val="19"/>
              </w:rPr>
              <w:t>Helena (Operações)</w:t>
            </w:r>
          </w:p>
        </w:tc>
        <w:tc>
          <w:tcPr>
            <w:tcW w:w="4320" w:type="dxa"/>
            <w:tcBorders>
              <w:top w:val="single" w:sz="4" w:space="0" w:color="B0B8C0"/>
              <w:left w:val="single" w:sz="4" w:space="0" w:color="B0B8C0"/>
              <w:bottom w:val="single" w:sz="4" w:space="0" w:color="B0B8C0"/>
              <w:right w:val="single" w:sz="4" w:space="0" w:color="B0B8C0"/>
            </w:tcBorders>
            <w:shd w:val="clear" w:color="auto" w:fill="F0F4F8"/>
            <w:vAlign w:val="center"/>
          </w:tcPr>
          <w:p w14:paraId="2C071701" w14:textId="77777777" w:rsidR="00290BE9" w:rsidRDefault="00000000">
            <w:r>
              <w:rPr>
                <w:sz w:val="19"/>
              </w:rPr>
              <w:t>Se pudesse mudar uma única coisa no planejamento, o que seria? O que te impede hoje?</w:t>
            </w:r>
          </w:p>
        </w:tc>
        <w:tc>
          <w:tcPr>
            <w:tcW w:w="3168" w:type="dxa"/>
            <w:tcBorders>
              <w:top w:val="single" w:sz="4" w:space="0" w:color="B0B8C0"/>
              <w:left w:val="single" w:sz="4" w:space="0" w:color="B0B8C0"/>
              <w:bottom w:val="single" w:sz="4" w:space="0" w:color="B0B8C0"/>
              <w:right w:val="single" w:sz="4" w:space="0" w:color="B0B8C0"/>
            </w:tcBorders>
            <w:shd w:val="clear" w:color="auto" w:fill="F0F4F8"/>
            <w:vAlign w:val="center"/>
          </w:tcPr>
          <w:p w14:paraId="270A4D44" w14:textId="77777777" w:rsidR="00290BE9" w:rsidRDefault="00000000">
            <w:r>
              <w:rPr>
                <w:sz w:val="19"/>
              </w:rPr>
              <w:t>Captura perspectiva human-centric e barreiras culturais não-visíveis nos dados.</w:t>
            </w:r>
          </w:p>
        </w:tc>
      </w:tr>
    </w:tbl>
    <w:p w14:paraId="12EE9D0B" w14:textId="77777777" w:rsidR="00290BE9" w:rsidRDefault="00290BE9">
      <w:pPr>
        <w:spacing w:after="80"/>
      </w:pPr>
    </w:p>
    <w:p w14:paraId="670B5DE6" w14:textId="77777777" w:rsidR="00290BE9" w:rsidRDefault="00000000">
      <w:pPr>
        <w:spacing w:before="280" w:after="120"/>
      </w:pPr>
      <w:r>
        <w:rPr>
          <w:b/>
          <w:color w:val="1E4682"/>
          <w:sz w:val="32"/>
        </w:rPr>
        <w:t>Q7. Diagnóstico Priorizado</w:t>
      </w:r>
    </w:p>
    <w:p w14:paraId="3A1E3585" w14:textId="77777777" w:rsidR="00290BE9" w:rsidRDefault="00000000">
      <w:pPr>
        <w:spacing w:before="160" w:after="60"/>
      </w:pPr>
      <w:r>
        <w:rPr>
          <w:b/>
          <w:color w:val="3C3C3C"/>
          <w:sz w:val="24"/>
        </w:rPr>
        <w:t>Parte A — Diagnóstico Estruturado</w:t>
      </w:r>
    </w:p>
    <w:p w14:paraId="33F7F78C" w14:textId="77777777" w:rsidR="00290BE9" w:rsidRDefault="00000000">
      <w:pPr>
        <w:spacing w:after="120"/>
        <w:jc w:val="both"/>
      </w:pPr>
      <w:r>
        <w:rPr>
          <w:b/>
        </w:rPr>
        <w:t xml:space="preserve">(a) Problema central. </w:t>
      </w:r>
      <w:r>
        <w:t>A disfunção mais crítica é a ausência de planejamento diferenciado por perfil de produto: previsão genérica (média simples) e política uniforme (2 semanas fixas) aplicadas a cinco famílias radicalmente distintas. O ciclo vicioso resultante é: previsão imprecisa → estoque mal dimensionado → rupturas → viagens emergenciais → custo e emissões → equipe exausta → sem tempo para planejar → previsão continua imprecisa. No cenário em análise, agravado pelo aumento de 50% no lead time de F4 por 8 semanas e pela promoção de F2 (+55%) na semana 30, um sistema que não diferencia produtos será igualmente incapaz de responder a choques específicos.</w:t>
      </w:r>
    </w:p>
    <w:p w14:paraId="4AE09398" w14:textId="77777777" w:rsidR="00290BE9" w:rsidRDefault="00000000">
      <w:pPr>
        <w:spacing w:after="120"/>
        <w:jc w:val="both"/>
      </w:pPr>
      <w:r>
        <w:rPr>
          <w:b/>
        </w:rPr>
        <w:t xml:space="preserve">(b) Sintomas observáveis (24 meses, Anexo E). </w:t>
      </w:r>
      <w:r>
        <w:t>Fill rate médio 91,1%, com mínima de 84,0% em dezembro/2025 e 29% dos meses abaixo de 90%. Viagens emergenciais em média 14,2/mês (pico 21), totalizando ~R$ 17,8 mil/mês e 598 kg CO₂ — limite ESG de 15 viagens já é ultrapassado em cerca de metade dos meses. Descarte médio R$ 31,3 mil/mês (pico R$ 53,7 mil) com tendência de piora de +6,9% no último semestre; segundo P8, F1 concentra ~R$ 38 mil/mês. Horas extras no CD em crescimento de +24% entre primeiro e último semestre (122,7 h/mês em média). Cancelamento online médio 6,1% (pico 8,7%).</w:t>
      </w:r>
    </w:p>
    <w:p w14:paraId="248B10FA" w14:textId="77777777" w:rsidR="00290BE9" w:rsidRDefault="00000000">
      <w:pPr>
        <w:spacing w:after="120"/>
        <w:jc w:val="both"/>
      </w:pPr>
      <w:r>
        <w:rPr>
          <w:b/>
        </w:rPr>
        <w:t xml:space="preserve">(c) Causas-raiz em quatro camadas. </w:t>
      </w:r>
      <w:r>
        <w:t>Camada 1 — dados imperfeitos: cadastro (12% sem EAN), WMS (8% de falhas), delay de 4h do e-commerce. É pré-requisito para tudo. Camada 2 — sistemas desintegrados: ERP, WMS, TMS e e-commerce como silos, sem visão unificada e BI com 48h de atraso. Camada 3 — processos informais: sem S&amp;OE, decisões por WhatsApp, promoções sem aviso, sem ABC/XYZ. Camada 4 — governança frágil: sem fórum de trade-off, cada área otimiza isoladamente. As quatro camadas se retroalimentam e devem ser atacadas em paralelo, começando pela Camada 1 (quick wins de dados) que habilita as demais.</w:t>
      </w:r>
    </w:p>
    <w:p w14:paraId="061709BC" w14:textId="77777777" w:rsidR="00290BE9" w:rsidRDefault="00000000">
      <w:pPr>
        <w:spacing w:before="160" w:after="60"/>
      </w:pPr>
      <w:r>
        <w:rPr>
          <w:b/>
          <w:color w:val="3C3C3C"/>
          <w:sz w:val="24"/>
        </w:rPr>
        <w:t>Parte B — Plano de Experimentos de Previsão</w:t>
      </w:r>
    </w:p>
    <w:p w14:paraId="3CDD2CA4" w14:textId="77777777" w:rsidR="00290BE9" w:rsidRDefault="00000000">
      <w:pPr>
        <w:spacing w:after="120"/>
        <w:jc w:val="both"/>
      </w:pPr>
      <w:r>
        <w:t>Dados e partição: série de 104 semanas (Anexo D1); split treino (1-80) e teste (81-104). Modelos em complexidade crescente — Nível 1: Naive, MA(4); Nível 2: SES, Holt, Holt-Winters; Nível 3: ETS automático, ARIMA. Critério de seleção: menor RMSE com ganho &gt; 10% sobre o modelo mais simples; empate dentro de 5% → parcimônia.</w:t>
      </w:r>
    </w:p>
    <w:p w14:paraId="0C066407" w14:textId="77777777" w:rsidR="00290BE9" w:rsidRDefault="00000000">
      <w:pPr>
        <w:spacing w:after="120"/>
        <w:jc w:val="both"/>
      </w:pPr>
      <w:r>
        <w:rPr>
          <w:b/>
        </w:rPr>
        <w:t xml:space="preserve">Achado metodológico importante. </w:t>
      </w:r>
      <w:r>
        <w:t>A classificação clássica de Syntetos-Boylan (ADI × CV²) aplicada à série observada classifica as cinco famílias como Smooth — porque a Vila Aurora tem séries praticamente sem semanas zeradas (ADI ≈ 1,00 para F1/F3/F4 e ≈ 1,02 para F2/F5, com no máximo 2 zeros em 104 semanas). Isso evidencia que o classificador clássico perde poder discriminante neste contexto. Adotamos uma classificação prática complementar baseada apenas em CV²: &lt; 0,15 = smooth puro (F1, F3, F4); ≥ 0,35 = erratic/lumpy (F2, F5). Essa distinção fundamenta as recomendações apresentadas em Q8.</w:t>
      </w:r>
    </w:p>
    <w:p w14:paraId="6C3808DA" w14:textId="77777777" w:rsidR="00290BE9" w:rsidRDefault="00000000">
      <w:pPr>
        <w:spacing w:before="280" w:after="120"/>
      </w:pPr>
      <w:r>
        <w:rPr>
          <w:b/>
          <w:color w:val="1E4682"/>
          <w:sz w:val="32"/>
        </w:rPr>
        <w:t>Q8. Recomendação de Modelo por Família</w:t>
      </w:r>
    </w:p>
    <w:p w14:paraId="3CB888C2" w14:textId="77777777" w:rsidR="00290BE9" w:rsidRDefault="00000000">
      <w:pPr>
        <w:spacing w:after="120"/>
        <w:jc w:val="both"/>
      </w:pPr>
      <w:r>
        <w:lastRenderedPageBreak/>
        <w:t>Executamos o plano definido em Q7 Parte B: sete modelos (Naive, MA(4), SES, Holt, Winters, ETS, ARIMA) sobre as cinco famílias, com 80/24 semanas de treino/teste e seleção por menor RMSE com critério de parcimônia (tolerância 5%). O script completo está em src/q8_classificacao_e_modelos.py.</w:t>
      </w:r>
    </w:p>
    <w:p w14:paraId="0E63542B" w14:textId="77777777" w:rsidR="00290BE9" w:rsidRDefault="00000000">
      <w:pPr>
        <w:spacing w:before="160" w:after="60"/>
      </w:pPr>
      <w:r>
        <w:rPr>
          <w:b/>
          <w:color w:val="3C3C3C"/>
          <w:sz w:val="24"/>
        </w:rPr>
        <w:t>Perfil de demanda observado</w:t>
      </w:r>
    </w:p>
    <w:p w14:paraId="13A0B95C" w14:textId="77777777" w:rsidR="00290BE9" w:rsidRDefault="00000000">
      <w:pPr>
        <w:jc w:val="center"/>
      </w:pPr>
      <w:r>
        <w:rPr>
          <w:noProof/>
        </w:rPr>
        <w:drawing>
          <wp:inline distT="0" distB="0" distL="0" distR="0" wp14:anchorId="1C355EEB" wp14:editId="46872A2C">
            <wp:extent cx="4754880" cy="368913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8_perfil_demanda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689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3B9B1" w14:textId="77777777" w:rsidR="00290BE9" w:rsidRDefault="00000000">
      <w:pPr>
        <w:spacing w:after="160"/>
        <w:jc w:val="center"/>
      </w:pPr>
      <w:r>
        <w:rPr>
          <w:i/>
          <w:color w:val="5A5A5A"/>
          <w:sz w:val="18"/>
        </w:rPr>
        <w:t>Figura 2 — Posicionamento das 5 famílias no plano ADI × CV² (Syntetos-Boylan). Todas caem no quadrante Smooth pelos cortes clássicos (linhas tracejadas), mas F2 e F5 estão claramente separadas de F1/F3/F4 no eixo CV².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"/>
        <w:gridCol w:w="2160"/>
        <w:gridCol w:w="1440"/>
        <w:gridCol w:w="1440"/>
        <w:gridCol w:w="1008"/>
        <w:gridCol w:w="1008"/>
        <w:gridCol w:w="2016"/>
      </w:tblGrid>
      <w:tr w:rsidR="00290BE9" w14:paraId="7D8153F3" w14:textId="77777777">
        <w:trPr>
          <w:jc w:val="center"/>
        </w:trPr>
        <w:tc>
          <w:tcPr>
            <w:tcW w:w="1008" w:type="dxa"/>
            <w:tcBorders>
              <w:top w:val="single" w:sz="4" w:space="0" w:color="1E4682"/>
              <w:left w:val="single" w:sz="4" w:space="0" w:color="1E4682"/>
              <w:bottom w:val="single" w:sz="4" w:space="0" w:color="1E4682"/>
              <w:right w:val="single" w:sz="4" w:space="0" w:color="1E4682"/>
            </w:tcBorders>
            <w:shd w:val="clear" w:color="auto" w:fill="1E4682"/>
            <w:vAlign w:val="center"/>
          </w:tcPr>
          <w:p w14:paraId="7C2788C6" w14:textId="77777777" w:rsidR="00290BE9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Família</w:t>
            </w:r>
          </w:p>
        </w:tc>
        <w:tc>
          <w:tcPr>
            <w:tcW w:w="2160" w:type="dxa"/>
            <w:tcBorders>
              <w:top w:val="single" w:sz="4" w:space="0" w:color="1E4682"/>
              <w:left w:val="single" w:sz="4" w:space="0" w:color="1E4682"/>
              <w:bottom w:val="single" w:sz="4" w:space="0" w:color="1E4682"/>
              <w:right w:val="single" w:sz="4" w:space="0" w:color="1E4682"/>
            </w:tcBorders>
            <w:shd w:val="clear" w:color="auto" w:fill="1E4682"/>
            <w:vAlign w:val="center"/>
          </w:tcPr>
          <w:p w14:paraId="13B70D17" w14:textId="77777777" w:rsidR="00290BE9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Perfil (Anexo A)</w:t>
            </w:r>
          </w:p>
        </w:tc>
        <w:tc>
          <w:tcPr>
            <w:tcW w:w="1440" w:type="dxa"/>
            <w:tcBorders>
              <w:top w:val="single" w:sz="4" w:space="0" w:color="1E4682"/>
              <w:left w:val="single" w:sz="4" w:space="0" w:color="1E4682"/>
              <w:bottom w:val="single" w:sz="4" w:space="0" w:color="1E4682"/>
              <w:right w:val="single" w:sz="4" w:space="0" w:color="1E4682"/>
            </w:tcBorders>
            <w:shd w:val="clear" w:color="auto" w:fill="1E4682"/>
            <w:vAlign w:val="center"/>
          </w:tcPr>
          <w:p w14:paraId="707DFA41" w14:textId="77777777" w:rsidR="00290BE9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CV estrutural</w:t>
            </w:r>
          </w:p>
        </w:tc>
        <w:tc>
          <w:tcPr>
            <w:tcW w:w="1440" w:type="dxa"/>
            <w:tcBorders>
              <w:top w:val="single" w:sz="4" w:space="0" w:color="1E4682"/>
              <w:left w:val="single" w:sz="4" w:space="0" w:color="1E4682"/>
              <w:bottom w:val="single" w:sz="4" w:space="0" w:color="1E4682"/>
              <w:right w:val="single" w:sz="4" w:space="0" w:color="1E4682"/>
            </w:tcBorders>
            <w:shd w:val="clear" w:color="auto" w:fill="1E4682"/>
            <w:vAlign w:val="center"/>
          </w:tcPr>
          <w:p w14:paraId="2BF673B8" w14:textId="77777777" w:rsidR="00290BE9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CV observado</w:t>
            </w:r>
          </w:p>
        </w:tc>
        <w:tc>
          <w:tcPr>
            <w:tcW w:w="1008" w:type="dxa"/>
            <w:tcBorders>
              <w:top w:val="single" w:sz="4" w:space="0" w:color="1E4682"/>
              <w:left w:val="single" w:sz="4" w:space="0" w:color="1E4682"/>
              <w:bottom w:val="single" w:sz="4" w:space="0" w:color="1E4682"/>
              <w:right w:val="single" w:sz="4" w:space="0" w:color="1E4682"/>
            </w:tcBorders>
            <w:shd w:val="clear" w:color="auto" w:fill="1E4682"/>
            <w:vAlign w:val="center"/>
          </w:tcPr>
          <w:p w14:paraId="28C22719" w14:textId="77777777" w:rsidR="00290BE9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ADI</w:t>
            </w:r>
          </w:p>
        </w:tc>
        <w:tc>
          <w:tcPr>
            <w:tcW w:w="1008" w:type="dxa"/>
            <w:tcBorders>
              <w:top w:val="single" w:sz="4" w:space="0" w:color="1E4682"/>
              <w:left w:val="single" w:sz="4" w:space="0" w:color="1E4682"/>
              <w:bottom w:val="single" w:sz="4" w:space="0" w:color="1E4682"/>
              <w:right w:val="single" w:sz="4" w:space="0" w:color="1E4682"/>
            </w:tcBorders>
            <w:shd w:val="clear" w:color="auto" w:fill="1E4682"/>
            <w:vAlign w:val="center"/>
          </w:tcPr>
          <w:p w14:paraId="3B62A7F9" w14:textId="77777777" w:rsidR="00290BE9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CV²</w:t>
            </w:r>
          </w:p>
        </w:tc>
        <w:tc>
          <w:tcPr>
            <w:tcW w:w="2016" w:type="dxa"/>
            <w:tcBorders>
              <w:top w:val="single" w:sz="4" w:space="0" w:color="1E4682"/>
              <w:left w:val="single" w:sz="4" w:space="0" w:color="1E4682"/>
              <w:bottom w:val="single" w:sz="4" w:space="0" w:color="1E4682"/>
              <w:right w:val="single" w:sz="4" w:space="0" w:color="1E4682"/>
            </w:tcBorders>
            <w:shd w:val="clear" w:color="auto" w:fill="1E4682"/>
            <w:vAlign w:val="center"/>
          </w:tcPr>
          <w:p w14:paraId="52D2D6A5" w14:textId="77777777" w:rsidR="00290BE9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Classificação prática</w:t>
            </w:r>
          </w:p>
        </w:tc>
      </w:tr>
      <w:tr w:rsidR="00290BE9" w14:paraId="60CF0BB3" w14:textId="77777777">
        <w:trPr>
          <w:jc w:val="center"/>
        </w:trPr>
        <w:tc>
          <w:tcPr>
            <w:tcW w:w="1008" w:type="dxa"/>
            <w:tcBorders>
              <w:top w:val="single" w:sz="4" w:space="0" w:color="B0B8C0"/>
              <w:left w:val="single" w:sz="4" w:space="0" w:color="B0B8C0"/>
              <w:bottom w:val="single" w:sz="4" w:space="0" w:color="B0B8C0"/>
              <w:right w:val="single" w:sz="4" w:space="0" w:color="B0B8C0"/>
            </w:tcBorders>
            <w:vAlign w:val="center"/>
          </w:tcPr>
          <w:p w14:paraId="657E9393" w14:textId="77777777" w:rsidR="00290BE9" w:rsidRDefault="00000000">
            <w:r>
              <w:rPr>
                <w:sz w:val="19"/>
              </w:rPr>
              <w:t>F1</w:t>
            </w:r>
          </w:p>
        </w:tc>
        <w:tc>
          <w:tcPr>
            <w:tcW w:w="2160" w:type="dxa"/>
            <w:tcBorders>
              <w:top w:val="single" w:sz="4" w:space="0" w:color="B0B8C0"/>
              <w:left w:val="single" w:sz="4" w:space="0" w:color="B0B8C0"/>
              <w:bottom w:val="single" w:sz="4" w:space="0" w:color="B0B8C0"/>
              <w:right w:val="single" w:sz="4" w:space="0" w:color="B0B8C0"/>
            </w:tcBorders>
            <w:vAlign w:val="center"/>
          </w:tcPr>
          <w:p w14:paraId="43F069CF" w14:textId="77777777" w:rsidR="00290BE9" w:rsidRDefault="00000000">
            <w:r>
              <w:rPr>
                <w:sz w:val="19"/>
              </w:rPr>
              <w:t>Smooth/Alto Giro</w:t>
            </w:r>
          </w:p>
        </w:tc>
        <w:tc>
          <w:tcPr>
            <w:tcW w:w="1440" w:type="dxa"/>
            <w:tcBorders>
              <w:top w:val="single" w:sz="4" w:space="0" w:color="B0B8C0"/>
              <w:left w:val="single" w:sz="4" w:space="0" w:color="B0B8C0"/>
              <w:bottom w:val="single" w:sz="4" w:space="0" w:color="B0B8C0"/>
              <w:right w:val="single" w:sz="4" w:space="0" w:color="B0B8C0"/>
            </w:tcBorders>
            <w:vAlign w:val="center"/>
          </w:tcPr>
          <w:p w14:paraId="79180A41" w14:textId="77777777" w:rsidR="00290BE9" w:rsidRDefault="00000000">
            <w:r>
              <w:rPr>
                <w:sz w:val="19"/>
              </w:rPr>
              <w:t>12%</w:t>
            </w:r>
          </w:p>
        </w:tc>
        <w:tc>
          <w:tcPr>
            <w:tcW w:w="1440" w:type="dxa"/>
            <w:tcBorders>
              <w:top w:val="single" w:sz="4" w:space="0" w:color="B0B8C0"/>
              <w:left w:val="single" w:sz="4" w:space="0" w:color="B0B8C0"/>
              <w:bottom w:val="single" w:sz="4" w:space="0" w:color="B0B8C0"/>
              <w:right w:val="single" w:sz="4" w:space="0" w:color="B0B8C0"/>
            </w:tcBorders>
            <w:vAlign w:val="center"/>
          </w:tcPr>
          <w:p w14:paraId="2A4E5A92" w14:textId="77777777" w:rsidR="00290BE9" w:rsidRDefault="00000000">
            <w:r>
              <w:rPr>
                <w:sz w:val="19"/>
              </w:rPr>
              <w:t>22,0%</w:t>
            </w:r>
          </w:p>
        </w:tc>
        <w:tc>
          <w:tcPr>
            <w:tcW w:w="1008" w:type="dxa"/>
            <w:tcBorders>
              <w:top w:val="single" w:sz="4" w:space="0" w:color="B0B8C0"/>
              <w:left w:val="single" w:sz="4" w:space="0" w:color="B0B8C0"/>
              <w:bottom w:val="single" w:sz="4" w:space="0" w:color="B0B8C0"/>
              <w:right w:val="single" w:sz="4" w:space="0" w:color="B0B8C0"/>
            </w:tcBorders>
            <w:vAlign w:val="center"/>
          </w:tcPr>
          <w:p w14:paraId="1AF56FBA" w14:textId="77777777" w:rsidR="00290BE9" w:rsidRDefault="00000000">
            <w:r>
              <w:rPr>
                <w:sz w:val="19"/>
              </w:rPr>
              <w:t>1,00</w:t>
            </w:r>
          </w:p>
        </w:tc>
        <w:tc>
          <w:tcPr>
            <w:tcW w:w="1008" w:type="dxa"/>
            <w:tcBorders>
              <w:top w:val="single" w:sz="4" w:space="0" w:color="B0B8C0"/>
              <w:left w:val="single" w:sz="4" w:space="0" w:color="B0B8C0"/>
              <w:bottom w:val="single" w:sz="4" w:space="0" w:color="B0B8C0"/>
              <w:right w:val="single" w:sz="4" w:space="0" w:color="B0B8C0"/>
            </w:tcBorders>
            <w:vAlign w:val="center"/>
          </w:tcPr>
          <w:p w14:paraId="54CC007F" w14:textId="77777777" w:rsidR="00290BE9" w:rsidRDefault="00000000">
            <w:r>
              <w:rPr>
                <w:sz w:val="19"/>
              </w:rPr>
              <w:t>0,05</w:t>
            </w:r>
          </w:p>
        </w:tc>
        <w:tc>
          <w:tcPr>
            <w:tcW w:w="2016" w:type="dxa"/>
            <w:tcBorders>
              <w:top w:val="single" w:sz="4" w:space="0" w:color="B0B8C0"/>
              <w:left w:val="single" w:sz="4" w:space="0" w:color="B0B8C0"/>
              <w:bottom w:val="single" w:sz="4" w:space="0" w:color="B0B8C0"/>
              <w:right w:val="single" w:sz="4" w:space="0" w:color="B0B8C0"/>
            </w:tcBorders>
            <w:vAlign w:val="center"/>
          </w:tcPr>
          <w:p w14:paraId="313BDE61" w14:textId="77777777" w:rsidR="00290BE9" w:rsidRDefault="00000000">
            <w:r>
              <w:rPr>
                <w:sz w:val="19"/>
              </w:rPr>
              <w:t>Smooth puro</w:t>
            </w:r>
          </w:p>
        </w:tc>
      </w:tr>
      <w:tr w:rsidR="00290BE9" w14:paraId="5B720B35" w14:textId="77777777">
        <w:trPr>
          <w:jc w:val="center"/>
        </w:trPr>
        <w:tc>
          <w:tcPr>
            <w:tcW w:w="1008" w:type="dxa"/>
            <w:tcBorders>
              <w:top w:val="single" w:sz="4" w:space="0" w:color="B0B8C0"/>
              <w:left w:val="single" w:sz="4" w:space="0" w:color="B0B8C0"/>
              <w:bottom w:val="single" w:sz="4" w:space="0" w:color="B0B8C0"/>
              <w:right w:val="single" w:sz="4" w:space="0" w:color="B0B8C0"/>
            </w:tcBorders>
            <w:shd w:val="clear" w:color="auto" w:fill="F0F4F8"/>
            <w:vAlign w:val="center"/>
          </w:tcPr>
          <w:p w14:paraId="0200B16A" w14:textId="77777777" w:rsidR="00290BE9" w:rsidRDefault="00000000">
            <w:r>
              <w:rPr>
                <w:sz w:val="19"/>
              </w:rPr>
              <w:t>F2</w:t>
            </w:r>
          </w:p>
        </w:tc>
        <w:tc>
          <w:tcPr>
            <w:tcW w:w="2160" w:type="dxa"/>
            <w:tcBorders>
              <w:top w:val="single" w:sz="4" w:space="0" w:color="B0B8C0"/>
              <w:left w:val="single" w:sz="4" w:space="0" w:color="B0B8C0"/>
              <w:bottom w:val="single" w:sz="4" w:space="0" w:color="B0B8C0"/>
              <w:right w:val="single" w:sz="4" w:space="0" w:color="B0B8C0"/>
            </w:tcBorders>
            <w:shd w:val="clear" w:color="auto" w:fill="F0F4F8"/>
            <w:vAlign w:val="center"/>
          </w:tcPr>
          <w:p w14:paraId="6FA2EBBF" w14:textId="77777777" w:rsidR="00290BE9" w:rsidRDefault="00000000">
            <w:r>
              <w:rPr>
                <w:sz w:val="19"/>
              </w:rPr>
              <w:t>Intermitente</w:t>
            </w:r>
          </w:p>
        </w:tc>
        <w:tc>
          <w:tcPr>
            <w:tcW w:w="1440" w:type="dxa"/>
            <w:tcBorders>
              <w:top w:val="single" w:sz="4" w:space="0" w:color="B0B8C0"/>
              <w:left w:val="single" w:sz="4" w:space="0" w:color="B0B8C0"/>
              <w:bottom w:val="single" w:sz="4" w:space="0" w:color="B0B8C0"/>
              <w:right w:val="single" w:sz="4" w:space="0" w:color="B0B8C0"/>
            </w:tcBorders>
            <w:shd w:val="clear" w:color="auto" w:fill="F0F4F8"/>
            <w:vAlign w:val="center"/>
          </w:tcPr>
          <w:p w14:paraId="583B0017" w14:textId="77777777" w:rsidR="00290BE9" w:rsidRDefault="00000000">
            <w:r>
              <w:rPr>
                <w:sz w:val="19"/>
              </w:rPr>
              <w:t>47%</w:t>
            </w:r>
          </w:p>
        </w:tc>
        <w:tc>
          <w:tcPr>
            <w:tcW w:w="1440" w:type="dxa"/>
            <w:tcBorders>
              <w:top w:val="single" w:sz="4" w:space="0" w:color="B0B8C0"/>
              <w:left w:val="single" w:sz="4" w:space="0" w:color="B0B8C0"/>
              <w:bottom w:val="single" w:sz="4" w:space="0" w:color="B0B8C0"/>
              <w:right w:val="single" w:sz="4" w:space="0" w:color="B0B8C0"/>
            </w:tcBorders>
            <w:shd w:val="clear" w:color="auto" w:fill="F0F4F8"/>
            <w:vAlign w:val="center"/>
          </w:tcPr>
          <w:p w14:paraId="6A7F4CF1" w14:textId="77777777" w:rsidR="00290BE9" w:rsidRDefault="00000000">
            <w:r>
              <w:rPr>
                <w:sz w:val="19"/>
              </w:rPr>
              <w:t>61,7%</w:t>
            </w:r>
          </w:p>
        </w:tc>
        <w:tc>
          <w:tcPr>
            <w:tcW w:w="1008" w:type="dxa"/>
            <w:tcBorders>
              <w:top w:val="single" w:sz="4" w:space="0" w:color="B0B8C0"/>
              <w:left w:val="single" w:sz="4" w:space="0" w:color="B0B8C0"/>
              <w:bottom w:val="single" w:sz="4" w:space="0" w:color="B0B8C0"/>
              <w:right w:val="single" w:sz="4" w:space="0" w:color="B0B8C0"/>
            </w:tcBorders>
            <w:shd w:val="clear" w:color="auto" w:fill="F0F4F8"/>
            <w:vAlign w:val="center"/>
          </w:tcPr>
          <w:p w14:paraId="30B7AA8B" w14:textId="77777777" w:rsidR="00290BE9" w:rsidRDefault="00000000">
            <w:r>
              <w:rPr>
                <w:sz w:val="19"/>
              </w:rPr>
              <w:t>1,02</w:t>
            </w:r>
          </w:p>
        </w:tc>
        <w:tc>
          <w:tcPr>
            <w:tcW w:w="1008" w:type="dxa"/>
            <w:tcBorders>
              <w:top w:val="single" w:sz="4" w:space="0" w:color="B0B8C0"/>
              <w:left w:val="single" w:sz="4" w:space="0" w:color="B0B8C0"/>
              <w:bottom w:val="single" w:sz="4" w:space="0" w:color="B0B8C0"/>
              <w:right w:val="single" w:sz="4" w:space="0" w:color="B0B8C0"/>
            </w:tcBorders>
            <w:shd w:val="clear" w:color="auto" w:fill="F0F4F8"/>
            <w:vAlign w:val="center"/>
          </w:tcPr>
          <w:p w14:paraId="11166D0B" w14:textId="77777777" w:rsidR="00290BE9" w:rsidRDefault="00000000">
            <w:r>
              <w:rPr>
                <w:sz w:val="19"/>
              </w:rPr>
              <w:t>0,35</w:t>
            </w:r>
          </w:p>
        </w:tc>
        <w:tc>
          <w:tcPr>
            <w:tcW w:w="2016" w:type="dxa"/>
            <w:tcBorders>
              <w:top w:val="single" w:sz="4" w:space="0" w:color="B0B8C0"/>
              <w:left w:val="single" w:sz="4" w:space="0" w:color="B0B8C0"/>
              <w:bottom w:val="single" w:sz="4" w:space="0" w:color="B0B8C0"/>
              <w:right w:val="single" w:sz="4" w:space="0" w:color="B0B8C0"/>
            </w:tcBorders>
            <w:shd w:val="clear" w:color="auto" w:fill="F0F4F8"/>
            <w:vAlign w:val="center"/>
          </w:tcPr>
          <w:p w14:paraId="2461EA9B" w14:textId="77777777" w:rsidR="00290BE9" w:rsidRDefault="00000000">
            <w:r>
              <w:rPr>
                <w:sz w:val="19"/>
              </w:rPr>
              <w:t>Erratic</w:t>
            </w:r>
          </w:p>
        </w:tc>
      </w:tr>
      <w:tr w:rsidR="00290BE9" w14:paraId="1BB5B3D8" w14:textId="77777777">
        <w:trPr>
          <w:jc w:val="center"/>
        </w:trPr>
        <w:tc>
          <w:tcPr>
            <w:tcW w:w="1008" w:type="dxa"/>
            <w:tcBorders>
              <w:top w:val="single" w:sz="4" w:space="0" w:color="B0B8C0"/>
              <w:left w:val="single" w:sz="4" w:space="0" w:color="B0B8C0"/>
              <w:bottom w:val="single" w:sz="4" w:space="0" w:color="B0B8C0"/>
              <w:right w:val="single" w:sz="4" w:space="0" w:color="B0B8C0"/>
            </w:tcBorders>
            <w:vAlign w:val="center"/>
          </w:tcPr>
          <w:p w14:paraId="4124D45C" w14:textId="77777777" w:rsidR="00290BE9" w:rsidRDefault="00000000">
            <w:r>
              <w:rPr>
                <w:sz w:val="19"/>
              </w:rPr>
              <w:t>F3</w:t>
            </w:r>
          </w:p>
        </w:tc>
        <w:tc>
          <w:tcPr>
            <w:tcW w:w="2160" w:type="dxa"/>
            <w:tcBorders>
              <w:top w:val="single" w:sz="4" w:space="0" w:color="B0B8C0"/>
              <w:left w:val="single" w:sz="4" w:space="0" w:color="B0B8C0"/>
              <w:bottom w:val="single" w:sz="4" w:space="0" w:color="B0B8C0"/>
              <w:right w:val="single" w:sz="4" w:space="0" w:color="B0B8C0"/>
            </w:tcBorders>
            <w:vAlign w:val="center"/>
          </w:tcPr>
          <w:p w14:paraId="3CF39AAC" w14:textId="77777777" w:rsidR="00290BE9" w:rsidRDefault="00000000">
            <w:r>
              <w:rPr>
                <w:sz w:val="19"/>
              </w:rPr>
              <w:t>Giro Massivo</w:t>
            </w:r>
          </w:p>
        </w:tc>
        <w:tc>
          <w:tcPr>
            <w:tcW w:w="1440" w:type="dxa"/>
            <w:tcBorders>
              <w:top w:val="single" w:sz="4" w:space="0" w:color="B0B8C0"/>
              <w:left w:val="single" w:sz="4" w:space="0" w:color="B0B8C0"/>
              <w:bottom w:val="single" w:sz="4" w:space="0" w:color="B0B8C0"/>
              <w:right w:val="single" w:sz="4" w:space="0" w:color="B0B8C0"/>
            </w:tcBorders>
            <w:vAlign w:val="center"/>
          </w:tcPr>
          <w:p w14:paraId="68819CBC" w14:textId="77777777" w:rsidR="00290BE9" w:rsidRDefault="00000000">
            <w:r>
              <w:rPr>
                <w:sz w:val="19"/>
              </w:rPr>
              <w:t>10%</w:t>
            </w:r>
          </w:p>
        </w:tc>
        <w:tc>
          <w:tcPr>
            <w:tcW w:w="1440" w:type="dxa"/>
            <w:tcBorders>
              <w:top w:val="single" w:sz="4" w:space="0" w:color="B0B8C0"/>
              <w:left w:val="single" w:sz="4" w:space="0" w:color="B0B8C0"/>
              <w:bottom w:val="single" w:sz="4" w:space="0" w:color="B0B8C0"/>
              <w:right w:val="single" w:sz="4" w:space="0" w:color="B0B8C0"/>
            </w:tcBorders>
            <w:vAlign w:val="center"/>
          </w:tcPr>
          <w:p w14:paraId="4F66D9D9" w14:textId="77777777" w:rsidR="00290BE9" w:rsidRDefault="00000000">
            <w:r>
              <w:rPr>
                <w:sz w:val="19"/>
              </w:rPr>
              <w:t>15,4%</w:t>
            </w:r>
          </w:p>
        </w:tc>
        <w:tc>
          <w:tcPr>
            <w:tcW w:w="1008" w:type="dxa"/>
            <w:tcBorders>
              <w:top w:val="single" w:sz="4" w:space="0" w:color="B0B8C0"/>
              <w:left w:val="single" w:sz="4" w:space="0" w:color="B0B8C0"/>
              <w:bottom w:val="single" w:sz="4" w:space="0" w:color="B0B8C0"/>
              <w:right w:val="single" w:sz="4" w:space="0" w:color="B0B8C0"/>
            </w:tcBorders>
            <w:vAlign w:val="center"/>
          </w:tcPr>
          <w:p w14:paraId="37C035D8" w14:textId="77777777" w:rsidR="00290BE9" w:rsidRDefault="00000000">
            <w:r>
              <w:rPr>
                <w:sz w:val="19"/>
              </w:rPr>
              <w:t>1,00</w:t>
            </w:r>
          </w:p>
        </w:tc>
        <w:tc>
          <w:tcPr>
            <w:tcW w:w="1008" w:type="dxa"/>
            <w:tcBorders>
              <w:top w:val="single" w:sz="4" w:space="0" w:color="B0B8C0"/>
              <w:left w:val="single" w:sz="4" w:space="0" w:color="B0B8C0"/>
              <w:bottom w:val="single" w:sz="4" w:space="0" w:color="B0B8C0"/>
              <w:right w:val="single" w:sz="4" w:space="0" w:color="B0B8C0"/>
            </w:tcBorders>
            <w:vAlign w:val="center"/>
          </w:tcPr>
          <w:p w14:paraId="63DE7B67" w14:textId="77777777" w:rsidR="00290BE9" w:rsidRDefault="00000000">
            <w:r>
              <w:rPr>
                <w:sz w:val="19"/>
              </w:rPr>
              <w:t>0,02</w:t>
            </w:r>
          </w:p>
        </w:tc>
        <w:tc>
          <w:tcPr>
            <w:tcW w:w="2016" w:type="dxa"/>
            <w:tcBorders>
              <w:top w:val="single" w:sz="4" w:space="0" w:color="B0B8C0"/>
              <w:left w:val="single" w:sz="4" w:space="0" w:color="B0B8C0"/>
              <w:bottom w:val="single" w:sz="4" w:space="0" w:color="B0B8C0"/>
              <w:right w:val="single" w:sz="4" w:space="0" w:color="B0B8C0"/>
            </w:tcBorders>
            <w:vAlign w:val="center"/>
          </w:tcPr>
          <w:p w14:paraId="693119BF" w14:textId="77777777" w:rsidR="00290BE9" w:rsidRDefault="00000000">
            <w:r>
              <w:rPr>
                <w:sz w:val="19"/>
              </w:rPr>
              <w:t>Smooth puro</w:t>
            </w:r>
          </w:p>
        </w:tc>
      </w:tr>
      <w:tr w:rsidR="00290BE9" w14:paraId="498EC569" w14:textId="77777777">
        <w:trPr>
          <w:jc w:val="center"/>
        </w:trPr>
        <w:tc>
          <w:tcPr>
            <w:tcW w:w="1008" w:type="dxa"/>
            <w:tcBorders>
              <w:top w:val="single" w:sz="4" w:space="0" w:color="B0B8C0"/>
              <w:left w:val="single" w:sz="4" w:space="0" w:color="B0B8C0"/>
              <w:bottom w:val="single" w:sz="4" w:space="0" w:color="B0B8C0"/>
              <w:right w:val="single" w:sz="4" w:space="0" w:color="B0B8C0"/>
            </w:tcBorders>
            <w:shd w:val="clear" w:color="auto" w:fill="F0F4F8"/>
            <w:vAlign w:val="center"/>
          </w:tcPr>
          <w:p w14:paraId="24C117D3" w14:textId="77777777" w:rsidR="00290BE9" w:rsidRDefault="00000000">
            <w:r>
              <w:rPr>
                <w:sz w:val="19"/>
              </w:rPr>
              <w:t>F4</w:t>
            </w:r>
          </w:p>
        </w:tc>
        <w:tc>
          <w:tcPr>
            <w:tcW w:w="2160" w:type="dxa"/>
            <w:tcBorders>
              <w:top w:val="single" w:sz="4" w:space="0" w:color="B0B8C0"/>
              <w:left w:val="single" w:sz="4" w:space="0" w:color="B0B8C0"/>
              <w:bottom w:val="single" w:sz="4" w:space="0" w:color="B0B8C0"/>
              <w:right w:val="single" w:sz="4" w:space="0" w:color="B0B8C0"/>
            </w:tcBorders>
            <w:shd w:val="clear" w:color="auto" w:fill="F0F4F8"/>
            <w:vAlign w:val="center"/>
          </w:tcPr>
          <w:p w14:paraId="1EBBAF87" w14:textId="77777777" w:rsidR="00290BE9" w:rsidRDefault="00000000">
            <w:r>
              <w:rPr>
                <w:sz w:val="19"/>
              </w:rPr>
              <w:t>Tendência + Sazon</w:t>
            </w:r>
          </w:p>
        </w:tc>
        <w:tc>
          <w:tcPr>
            <w:tcW w:w="1440" w:type="dxa"/>
            <w:tcBorders>
              <w:top w:val="single" w:sz="4" w:space="0" w:color="B0B8C0"/>
              <w:left w:val="single" w:sz="4" w:space="0" w:color="B0B8C0"/>
              <w:bottom w:val="single" w:sz="4" w:space="0" w:color="B0B8C0"/>
              <w:right w:val="single" w:sz="4" w:space="0" w:color="B0B8C0"/>
            </w:tcBorders>
            <w:shd w:val="clear" w:color="auto" w:fill="F0F4F8"/>
            <w:vAlign w:val="center"/>
          </w:tcPr>
          <w:p w14:paraId="21499886" w14:textId="77777777" w:rsidR="00290BE9" w:rsidRDefault="00000000">
            <w:r>
              <w:rPr>
                <w:sz w:val="19"/>
              </w:rPr>
              <w:t>25%</w:t>
            </w:r>
          </w:p>
        </w:tc>
        <w:tc>
          <w:tcPr>
            <w:tcW w:w="1440" w:type="dxa"/>
            <w:tcBorders>
              <w:top w:val="single" w:sz="4" w:space="0" w:color="B0B8C0"/>
              <w:left w:val="single" w:sz="4" w:space="0" w:color="B0B8C0"/>
              <w:bottom w:val="single" w:sz="4" w:space="0" w:color="B0B8C0"/>
              <w:right w:val="single" w:sz="4" w:space="0" w:color="B0B8C0"/>
            </w:tcBorders>
            <w:shd w:val="clear" w:color="auto" w:fill="F0F4F8"/>
            <w:vAlign w:val="center"/>
          </w:tcPr>
          <w:p w14:paraId="1F6D154A" w14:textId="77777777" w:rsidR="00290BE9" w:rsidRDefault="00000000">
            <w:r>
              <w:rPr>
                <w:sz w:val="19"/>
              </w:rPr>
              <w:t>35,4%</w:t>
            </w:r>
          </w:p>
        </w:tc>
        <w:tc>
          <w:tcPr>
            <w:tcW w:w="1008" w:type="dxa"/>
            <w:tcBorders>
              <w:top w:val="single" w:sz="4" w:space="0" w:color="B0B8C0"/>
              <w:left w:val="single" w:sz="4" w:space="0" w:color="B0B8C0"/>
              <w:bottom w:val="single" w:sz="4" w:space="0" w:color="B0B8C0"/>
              <w:right w:val="single" w:sz="4" w:space="0" w:color="B0B8C0"/>
            </w:tcBorders>
            <w:shd w:val="clear" w:color="auto" w:fill="F0F4F8"/>
            <w:vAlign w:val="center"/>
          </w:tcPr>
          <w:p w14:paraId="36D66BBC" w14:textId="77777777" w:rsidR="00290BE9" w:rsidRDefault="00000000">
            <w:r>
              <w:rPr>
                <w:sz w:val="19"/>
              </w:rPr>
              <w:t>1,00</w:t>
            </w:r>
          </w:p>
        </w:tc>
        <w:tc>
          <w:tcPr>
            <w:tcW w:w="1008" w:type="dxa"/>
            <w:tcBorders>
              <w:top w:val="single" w:sz="4" w:space="0" w:color="B0B8C0"/>
              <w:left w:val="single" w:sz="4" w:space="0" w:color="B0B8C0"/>
              <w:bottom w:val="single" w:sz="4" w:space="0" w:color="B0B8C0"/>
              <w:right w:val="single" w:sz="4" w:space="0" w:color="B0B8C0"/>
            </w:tcBorders>
            <w:shd w:val="clear" w:color="auto" w:fill="F0F4F8"/>
            <w:vAlign w:val="center"/>
          </w:tcPr>
          <w:p w14:paraId="5AEFD972" w14:textId="77777777" w:rsidR="00290BE9" w:rsidRDefault="00000000">
            <w:r>
              <w:rPr>
                <w:sz w:val="19"/>
              </w:rPr>
              <w:t>0,13</w:t>
            </w:r>
          </w:p>
        </w:tc>
        <w:tc>
          <w:tcPr>
            <w:tcW w:w="2016" w:type="dxa"/>
            <w:tcBorders>
              <w:top w:val="single" w:sz="4" w:space="0" w:color="B0B8C0"/>
              <w:left w:val="single" w:sz="4" w:space="0" w:color="B0B8C0"/>
              <w:bottom w:val="single" w:sz="4" w:space="0" w:color="B0B8C0"/>
              <w:right w:val="single" w:sz="4" w:space="0" w:color="B0B8C0"/>
            </w:tcBorders>
            <w:shd w:val="clear" w:color="auto" w:fill="F0F4F8"/>
            <w:vAlign w:val="center"/>
          </w:tcPr>
          <w:p w14:paraId="3E75D590" w14:textId="77777777" w:rsidR="00290BE9" w:rsidRDefault="00000000">
            <w:r>
              <w:rPr>
                <w:sz w:val="19"/>
              </w:rPr>
              <w:t>Smooth puro</w:t>
            </w:r>
          </w:p>
        </w:tc>
      </w:tr>
      <w:tr w:rsidR="00290BE9" w14:paraId="0E06423D" w14:textId="77777777">
        <w:trPr>
          <w:jc w:val="center"/>
        </w:trPr>
        <w:tc>
          <w:tcPr>
            <w:tcW w:w="1008" w:type="dxa"/>
            <w:tcBorders>
              <w:top w:val="single" w:sz="4" w:space="0" w:color="B0B8C0"/>
              <w:left w:val="single" w:sz="4" w:space="0" w:color="B0B8C0"/>
              <w:bottom w:val="single" w:sz="4" w:space="0" w:color="B0B8C0"/>
              <w:right w:val="single" w:sz="4" w:space="0" w:color="B0B8C0"/>
            </w:tcBorders>
            <w:vAlign w:val="center"/>
          </w:tcPr>
          <w:p w14:paraId="05382DA8" w14:textId="77777777" w:rsidR="00290BE9" w:rsidRDefault="00000000">
            <w:r>
              <w:rPr>
                <w:sz w:val="19"/>
              </w:rPr>
              <w:t>F5</w:t>
            </w:r>
          </w:p>
        </w:tc>
        <w:tc>
          <w:tcPr>
            <w:tcW w:w="2160" w:type="dxa"/>
            <w:tcBorders>
              <w:top w:val="single" w:sz="4" w:space="0" w:color="B0B8C0"/>
              <w:left w:val="single" w:sz="4" w:space="0" w:color="B0B8C0"/>
              <w:bottom w:val="single" w:sz="4" w:space="0" w:color="B0B8C0"/>
              <w:right w:val="single" w:sz="4" w:space="0" w:color="B0B8C0"/>
            </w:tcBorders>
            <w:vAlign w:val="center"/>
          </w:tcPr>
          <w:p w14:paraId="573C37B5" w14:textId="77777777" w:rsidR="00290BE9" w:rsidRDefault="00000000">
            <w:r>
              <w:rPr>
                <w:sz w:val="19"/>
              </w:rPr>
              <w:t>Lumpy</w:t>
            </w:r>
          </w:p>
        </w:tc>
        <w:tc>
          <w:tcPr>
            <w:tcW w:w="1440" w:type="dxa"/>
            <w:tcBorders>
              <w:top w:val="single" w:sz="4" w:space="0" w:color="B0B8C0"/>
              <w:left w:val="single" w:sz="4" w:space="0" w:color="B0B8C0"/>
              <w:bottom w:val="single" w:sz="4" w:space="0" w:color="B0B8C0"/>
              <w:right w:val="single" w:sz="4" w:space="0" w:color="B0B8C0"/>
            </w:tcBorders>
            <w:vAlign w:val="center"/>
          </w:tcPr>
          <w:p w14:paraId="3C320501" w14:textId="77777777" w:rsidR="00290BE9" w:rsidRDefault="00000000">
            <w:r>
              <w:rPr>
                <w:sz w:val="19"/>
              </w:rPr>
              <w:t>55%</w:t>
            </w:r>
          </w:p>
        </w:tc>
        <w:tc>
          <w:tcPr>
            <w:tcW w:w="1440" w:type="dxa"/>
            <w:tcBorders>
              <w:top w:val="single" w:sz="4" w:space="0" w:color="B0B8C0"/>
              <w:left w:val="single" w:sz="4" w:space="0" w:color="B0B8C0"/>
              <w:bottom w:val="single" w:sz="4" w:space="0" w:color="B0B8C0"/>
              <w:right w:val="single" w:sz="4" w:space="0" w:color="B0B8C0"/>
            </w:tcBorders>
            <w:vAlign w:val="center"/>
          </w:tcPr>
          <w:p w14:paraId="65F6C091" w14:textId="77777777" w:rsidR="00290BE9" w:rsidRDefault="00000000">
            <w:r>
              <w:rPr>
                <w:sz w:val="19"/>
              </w:rPr>
              <w:t>62,3%</w:t>
            </w:r>
          </w:p>
        </w:tc>
        <w:tc>
          <w:tcPr>
            <w:tcW w:w="1008" w:type="dxa"/>
            <w:tcBorders>
              <w:top w:val="single" w:sz="4" w:space="0" w:color="B0B8C0"/>
              <w:left w:val="single" w:sz="4" w:space="0" w:color="B0B8C0"/>
              <w:bottom w:val="single" w:sz="4" w:space="0" w:color="B0B8C0"/>
              <w:right w:val="single" w:sz="4" w:space="0" w:color="B0B8C0"/>
            </w:tcBorders>
            <w:vAlign w:val="center"/>
          </w:tcPr>
          <w:p w14:paraId="46466646" w14:textId="77777777" w:rsidR="00290BE9" w:rsidRDefault="00000000">
            <w:r>
              <w:rPr>
                <w:sz w:val="19"/>
              </w:rPr>
              <w:t>1,01</w:t>
            </w:r>
          </w:p>
        </w:tc>
        <w:tc>
          <w:tcPr>
            <w:tcW w:w="1008" w:type="dxa"/>
            <w:tcBorders>
              <w:top w:val="single" w:sz="4" w:space="0" w:color="B0B8C0"/>
              <w:left w:val="single" w:sz="4" w:space="0" w:color="B0B8C0"/>
              <w:bottom w:val="single" w:sz="4" w:space="0" w:color="B0B8C0"/>
              <w:right w:val="single" w:sz="4" w:space="0" w:color="B0B8C0"/>
            </w:tcBorders>
            <w:vAlign w:val="center"/>
          </w:tcPr>
          <w:p w14:paraId="15CE5EFA" w14:textId="77777777" w:rsidR="00290BE9" w:rsidRDefault="00000000">
            <w:r>
              <w:rPr>
                <w:sz w:val="19"/>
              </w:rPr>
              <w:t>0,37</w:t>
            </w:r>
          </w:p>
        </w:tc>
        <w:tc>
          <w:tcPr>
            <w:tcW w:w="2016" w:type="dxa"/>
            <w:tcBorders>
              <w:top w:val="single" w:sz="4" w:space="0" w:color="B0B8C0"/>
              <w:left w:val="single" w:sz="4" w:space="0" w:color="B0B8C0"/>
              <w:bottom w:val="single" w:sz="4" w:space="0" w:color="B0B8C0"/>
              <w:right w:val="single" w:sz="4" w:space="0" w:color="B0B8C0"/>
            </w:tcBorders>
            <w:vAlign w:val="center"/>
          </w:tcPr>
          <w:p w14:paraId="291E649A" w14:textId="77777777" w:rsidR="00290BE9" w:rsidRDefault="00000000">
            <w:r>
              <w:rPr>
                <w:sz w:val="19"/>
              </w:rPr>
              <w:t>Erratic/Lumpy</w:t>
            </w:r>
          </w:p>
        </w:tc>
      </w:tr>
    </w:tbl>
    <w:p w14:paraId="2127CCEB" w14:textId="77777777" w:rsidR="00290BE9" w:rsidRDefault="00290BE9">
      <w:pPr>
        <w:spacing w:after="80"/>
      </w:pPr>
    </w:p>
    <w:p w14:paraId="0EED140A" w14:textId="77777777" w:rsidR="00290BE9" w:rsidRDefault="00000000">
      <w:pPr>
        <w:spacing w:before="160" w:after="60"/>
      </w:pPr>
      <w:r>
        <w:rPr>
          <w:b/>
          <w:color w:val="3C3C3C"/>
          <w:sz w:val="24"/>
        </w:rPr>
        <w:t>Comparativo de modelos</w:t>
      </w:r>
    </w:p>
    <w:p w14:paraId="38266DBE" w14:textId="77777777" w:rsidR="00290BE9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A69BACB" wp14:editId="552FCB4C">
            <wp:extent cx="5760720" cy="282275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8_comparativo_modelo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22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CEF03" w14:textId="77777777" w:rsidR="00290BE9" w:rsidRDefault="00000000">
      <w:pPr>
        <w:spacing w:after="160"/>
        <w:jc w:val="center"/>
      </w:pPr>
      <w:r>
        <w:rPr>
          <w:i/>
          <w:color w:val="5A5A5A"/>
          <w:sz w:val="18"/>
        </w:rPr>
        <w:t>Figura 3 — RMSE de cada modelo como percentual acima do melhor por família. A estrela marca o melhor modelo em cada linha.</w:t>
      </w:r>
    </w:p>
    <w:p w14:paraId="637A0986" w14:textId="77777777" w:rsidR="00290BE9" w:rsidRDefault="00000000">
      <w:pPr>
        <w:spacing w:after="120"/>
        <w:jc w:val="both"/>
      </w:pPr>
      <w:r>
        <w:rPr>
          <w:b/>
        </w:rPr>
        <w:t xml:space="preserve">Análise por família. </w:t>
      </w:r>
      <w:r>
        <w:t>Em F1 (smooth, volume alto), Winters ganha por margem estreita (RMSE 816 vs Naive 839, +3%); a parcimônia recomenda Naive. Em F2 (erratic), cinco modelos empatam em RMSE ~179 — complexidade não agrega; MA(4) vence por parcimônia. F3 é o caso onde complexidade realmente vale a pena: Winters (RMSE 503) supera Naive (746) em 33%, porque captura sazonalidade intra-anual estrutural. Em F4, Winters é o melhor absoluto (405), mas MA(4) fica a 1% — parcimônia novamente prevalece. Em F5 (lumpy), SES com α baixo suaviza o ruído e bate Naive em 45%.</w:t>
      </w:r>
    </w:p>
    <w:p w14:paraId="5BCC45CD" w14:textId="77777777" w:rsidR="00290BE9" w:rsidRDefault="00000000">
      <w:pPr>
        <w:spacing w:before="160" w:after="60"/>
      </w:pPr>
      <w:r>
        <w:rPr>
          <w:b/>
          <w:color w:val="3C3C3C"/>
          <w:sz w:val="24"/>
        </w:rPr>
        <w:t>Matriz de recomendação final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"/>
        <w:gridCol w:w="1728"/>
        <w:gridCol w:w="2448"/>
        <w:gridCol w:w="1008"/>
        <w:gridCol w:w="3168"/>
        <w:gridCol w:w="1440"/>
      </w:tblGrid>
      <w:tr w:rsidR="00290BE9" w14:paraId="01BF0FC5" w14:textId="77777777">
        <w:trPr>
          <w:jc w:val="center"/>
        </w:trPr>
        <w:tc>
          <w:tcPr>
            <w:tcW w:w="1008" w:type="dxa"/>
            <w:tcBorders>
              <w:top w:val="single" w:sz="4" w:space="0" w:color="1E4682"/>
              <w:left w:val="single" w:sz="4" w:space="0" w:color="1E4682"/>
              <w:bottom w:val="single" w:sz="4" w:space="0" w:color="1E4682"/>
              <w:right w:val="single" w:sz="4" w:space="0" w:color="1E4682"/>
            </w:tcBorders>
            <w:shd w:val="clear" w:color="auto" w:fill="1E4682"/>
            <w:vAlign w:val="center"/>
          </w:tcPr>
          <w:p w14:paraId="469EA76F" w14:textId="77777777" w:rsidR="00290BE9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Família</w:t>
            </w:r>
          </w:p>
        </w:tc>
        <w:tc>
          <w:tcPr>
            <w:tcW w:w="1728" w:type="dxa"/>
            <w:tcBorders>
              <w:top w:val="single" w:sz="4" w:space="0" w:color="1E4682"/>
              <w:left w:val="single" w:sz="4" w:space="0" w:color="1E4682"/>
              <w:bottom w:val="single" w:sz="4" w:space="0" w:color="1E4682"/>
              <w:right w:val="single" w:sz="4" w:space="0" w:color="1E4682"/>
            </w:tcBorders>
            <w:shd w:val="clear" w:color="auto" w:fill="1E4682"/>
            <w:vAlign w:val="center"/>
          </w:tcPr>
          <w:p w14:paraId="4F8A1E9F" w14:textId="77777777" w:rsidR="00290BE9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Perfil</w:t>
            </w:r>
          </w:p>
        </w:tc>
        <w:tc>
          <w:tcPr>
            <w:tcW w:w="2448" w:type="dxa"/>
            <w:tcBorders>
              <w:top w:val="single" w:sz="4" w:space="0" w:color="1E4682"/>
              <w:left w:val="single" w:sz="4" w:space="0" w:color="1E4682"/>
              <w:bottom w:val="single" w:sz="4" w:space="0" w:color="1E4682"/>
              <w:right w:val="single" w:sz="4" w:space="0" w:color="1E4682"/>
            </w:tcBorders>
            <w:shd w:val="clear" w:color="auto" w:fill="1E4682"/>
            <w:vAlign w:val="center"/>
          </w:tcPr>
          <w:p w14:paraId="00C596AD" w14:textId="77777777" w:rsidR="00290BE9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Modelo Recomendado</w:t>
            </w:r>
          </w:p>
        </w:tc>
        <w:tc>
          <w:tcPr>
            <w:tcW w:w="1008" w:type="dxa"/>
            <w:tcBorders>
              <w:top w:val="single" w:sz="4" w:space="0" w:color="1E4682"/>
              <w:left w:val="single" w:sz="4" w:space="0" w:color="1E4682"/>
              <w:bottom w:val="single" w:sz="4" w:space="0" w:color="1E4682"/>
              <w:right w:val="single" w:sz="4" w:space="0" w:color="1E4682"/>
            </w:tcBorders>
            <w:shd w:val="clear" w:color="auto" w:fill="1E4682"/>
            <w:vAlign w:val="center"/>
          </w:tcPr>
          <w:p w14:paraId="37322751" w14:textId="77777777" w:rsidR="00290BE9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MAPE</w:t>
            </w:r>
          </w:p>
        </w:tc>
        <w:tc>
          <w:tcPr>
            <w:tcW w:w="3168" w:type="dxa"/>
            <w:tcBorders>
              <w:top w:val="single" w:sz="4" w:space="0" w:color="1E4682"/>
              <w:left w:val="single" w:sz="4" w:space="0" w:color="1E4682"/>
              <w:bottom w:val="single" w:sz="4" w:space="0" w:color="1E4682"/>
              <w:right w:val="single" w:sz="4" w:space="0" w:color="1E4682"/>
            </w:tcBorders>
            <w:shd w:val="clear" w:color="auto" w:fill="1E4682"/>
            <w:vAlign w:val="center"/>
          </w:tcPr>
          <w:p w14:paraId="1A1B184F" w14:textId="77777777" w:rsidR="00290BE9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Viabilidade</w:t>
            </w:r>
          </w:p>
        </w:tc>
        <w:tc>
          <w:tcPr>
            <w:tcW w:w="1440" w:type="dxa"/>
            <w:tcBorders>
              <w:top w:val="single" w:sz="4" w:space="0" w:color="1E4682"/>
              <w:left w:val="single" w:sz="4" w:space="0" w:color="1E4682"/>
              <w:bottom w:val="single" w:sz="4" w:space="0" w:color="1E4682"/>
              <w:right w:val="single" w:sz="4" w:space="0" w:color="1E4682"/>
            </w:tcBorders>
            <w:shd w:val="clear" w:color="auto" w:fill="1E4682"/>
            <w:vAlign w:val="center"/>
          </w:tcPr>
          <w:p w14:paraId="1C805163" w14:textId="77777777" w:rsidR="00290BE9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Frequência</w:t>
            </w:r>
          </w:p>
        </w:tc>
      </w:tr>
      <w:tr w:rsidR="00290BE9" w14:paraId="4BBBD9F7" w14:textId="77777777">
        <w:trPr>
          <w:jc w:val="center"/>
        </w:trPr>
        <w:tc>
          <w:tcPr>
            <w:tcW w:w="1008" w:type="dxa"/>
            <w:tcBorders>
              <w:top w:val="single" w:sz="4" w:space="0" w:color="B0B8C0"/>
              <w:left w:val="single" w:sz="4" w:space="0" w:color="B0B8C0"/>
              <w:bottom w:val="single" w:sz="4" w:space="0" w:color="B0B8C0"/>
              <w:right w:val="single" w:sz="4" w:space="0" w:color="B0B8C0"/>
            </w:tcBorders>
            <w:vAlign w:val="center"/>
          </w:tcPr>
          <w:p w14:paraId="19CCB303" w14:textId="77777777" w:rsidR="00290BE9" w:rsidRDefault="00000000">
            <w:r>
              <w:rPr>
                <w:sz w:val="19"/>
              </w:rPr>
              <w:t>F1</w:t>
            </w:r>
          </w:p>
        </w:tc>
        <w:tc>
          <w:tcPr>
            <w:tcW w:w="1728" w:type="dxa"/>
            <w:tcBorders>
              <w:top w:val="single" w:sz="4" w:space="0" w:color="B0B8C0"/>
              <w:left w:val="single" w:sz="4" w:space="0" w:color="B0B8C0"/>
              <w:bottom w:val="single" w:sz="4" w:space="0" w:color="B0B8C0"/>
              <w:right w:val="single" w:sz="4" w:space="0" w:color="B0B8C0"/>
            </w:tcBorders>
            <w:vAlign w:val="center"/>
          </w:tcPr>
          <w:p w14:paraId="5CFC47A4" w14:textId="77777777" w:rsidR="00290BE9" w:rsidRDefault="00000000">
            <w:r>
              <w:rPr>
                <w:sz w:val="19"/>
              </w:rPr>
              <w:t>Smooth puro</w:t>
            </w:r>
          </w:p>
        </w:tc>
        <w:tc>
          <w:tcPr>
            <w:tcW w:w="2448" w:type="dxa"/>
            <w:tcBorders>
              <w:top w:val="single" w:sz="4" w:space="0" w:color="B0B8C0"/>
              <w:left w:val="single" w:sz="4" w:space="0" w:color="B0B8C0"/>
              <w:bottom w:val="single" w:sz="4" w:space="0" w:color="B0B8C0"/>
              <w:right w:val="single" w:sz="4" w:space="0" w:color="B0B8C0"/>
            </w:tcBorders>
            <w:vAlign w:val="center"/>
          </w:tcPr>
          <w:p w14:paraId="55554F58" w14:textId="77777777" w:rsidR="00290BE9" w:rsidRDefault="00000000">
            <w:r>
              <w:rPr>
                <w:sz w:val="19"/>
              </w:rPr>
              <w:t>Naive</w:t>
            </w:r>
          </w:p>
        </w:tc>
        <w:tc>
          <w:tcPr>
            <w:tcW w:w="1008" w:type="dxa"/>
            <w:tcBorders>
              <w:top w:val="single" w:sz="4" w:space="0" w:color="B0B8C0"/>
              <w:left w:val="single" w:sz="4" w:space="0" w:color="B0B8C0"/>
              <w:bottom w:val="single" w:sz="4" w:space="0" w:color="B0B8C0"/>
              <w:right w:val="single" w:sz="4" w:space="0" w:color="B0B8C0"/>
            </w:tcBorders>
            <w:vAlign w:val="center"/>
          </w:tcPr>
          <w:p w14:paraId="44D1CAF8" w14:textId="77777777" w:rsidR="00290BE9" w:rsidRDefault="00000000">
            <w:r>
              <w:rPr>
                <w:sz w:val="19"/>
              </w:rPr>
              <w:t>18%</w:t>
            </w:r>
          </w:p>
        </w:tc>
        <w:tc>
          <w:tcPr>
            <w:tcW w:w="3168" w:type="dxa"/>
            <w:tcBorders>
              <w:top w:val="single" w:sz="4" w:space="0" w:color="B0B8C0"/>
              <w:left w:val="single" w:sz="4" w:space="0" w:color="B0B8C0"/>
              <w:bottom w:val="single" w:sz="4" w:space="0" w:color="B0B8C0"/>
              <w:right w:val="single" w:sz="4" w:space="0" w:color="B0B8C0"/>
            </w:tcBorders>
            <w:vAlign w:val="center"/>
          </w:tcPr>
          <w:p w14:paraId="3F646A6E" w14:textId="77777777" w:rsidR="00290BE9" w:rsidRDefault="00000000">
            <w:r>
              <w:rPr>
                <w:sz w:val="19"/>
              </w:rPr>
              <w:t>Excel</w:t>
            </w:r>
          </w:p>
        </w:tc>
        <w:tc>
          <w:tcPr>
            <w:tcW w:w="1440" w:type="dxa"/>
            <w:tcBorders>
              <w:top w:val="single" w:sz="4" w:space="0" w:color="B0B8C0"/>
              <w:left w:val="single" w:sz="4" w:space="0" w:color="B0B8C0"/>
              <w:bottom w:val="single" w:sz="4" w:space="0" w:color="B0B8C0"/>
              <w:right w:val="single" w:sz="4" w:space="0" w:color="B0B8C0"/>
            </w:tcBorders>
            <w:vAlign w:val="center"/>
          </w:tcPr>
          <w:p w14:paraId="0A53CBBD" w14:textId="77777777" w:rsidR="00290BE9" w:rsidRDefault="00000000">
            <w:r>
              <w:rPr>
                <w:sz w:val="19"/>
              </w:rPr>
              <w:t>Semanal</w:t>
            </w:r>
          </w:p>
        </w:tc>
      </w:tr>
      <w:tr w:rsidR="00290BE9" w14:paraId="2D9B2E21" w14:textId="77777777">
        <w:trPr>
          <w:jc w:val="center"/>
        </w:trPr>
        <w:tc>
          <w:tcPr>
            <w:tcW w:w="1008" w:type="dxa"/>
            <w:tcBorders>
              <w:top w:val="single" w:sz="4" w:space="0" w:color="B0B8C0"/>
              <w:left w:val="single" w:sz="4" w:space="0" w:color="B0B8C0"/>
              <w:bottom w:val="single" w:sz="4" w:space="0" w:color="B0B8C0"/>
              <w:right w:val="single" w:sz="4" w:space="0" w:color="B0B8C0"/>
            </w:tcBorders>
            <w:shd w:val="clear" w:color="auto" w:fill="F0F4F8"/>
            <w:vAlign w:val="center"/>
          </w:tcPr>
          <w:p w14:paraId="00A5BD70" w14:textId="77777777" w:rsidR="00290BE9" w:rsidRDefault="00000000">
            <w:r>
              <w:rPr>
                <w:sz w:val="19"/>
              </w:rPr>
              <w:t>F2</w:t>
            </w:r>
          </w:p>
        </w:tc>
        <w:tc>
          <w:tcPr>
            <w:tcW w:w="1728" w:type="dxa"/>
            <w:tcBorders>
              <w:top w:val="single" w:sz="4" w:space="0" w:color="B0B8C0"/>
              <w:left w:val="single" w:sz="4" w:space="0" w:color="B0B8C0"/>
              <w:bottom w:val="single" w:sz="4" w:space="0" w:color="B0B8C0"/>
              <w:right w:val="single" w:sz="4" w:space="0" w:color="B0B8C0"/>
            </w:tcBorders>
            <w:shd w:val="clear" w:color="auto" w:fill="F0F4F8"/>
            <w:vAlign w:val="center"/>
          </w:tcPr>
          <w:p w14:paraId="716129F5" w14:textId="77777777" w:rsidR="00290BE9" w:rsidRDefault="00000000">
            <w:r>
              <w:rPr>
                <w:sz w:val="19"/>
              </w:rPr>
              <w:t>Erratic</w:t>
            </w:r>
          </w:p>
        </w:tc>
        <w:tc>
          <w:tcPr>
            <w:tcW w:w="2448" w:type="dxa"/>
            <w:tcBorders>
              <w:top w:val="single" w:sz="4" w:space="0" w:color="B0B8C0"/>
              <w:left w:val="single" w:sz="4" w:space="0" w:color="B0B8C0"/>
              <w:bottom w:val="single" w:sz="4" w:space="0" w:color="B0B8C0"/>
              <w:right w:val="single" w:sz="4" w:space="0" w:color="B0B8C0"/>
            </w:tcBorders>
            <w:shd w:val="clear" w:color="auto" w:fill="F0F4F8"/>
            <w:vAlign w:val="center"/>
          </w:tcPr>
          <w:p w14:paraId="379385A8" w14:textId="77777777" w:rsidR="00290BE9" w:rsidRDefault="00000000">
            <w:r>
              <w:rPr>
                <w:sz w:val="19"/>
              </w:rPr>
              <w:t>MA(4)</w:t>
            </w:r>
          </w:p>
        </w:tc>
        <w:tc>
          <w:tcPr>
            <w:tcW w:w="1008" w:type="dxa"/>
            <w:tcBorders>
              <w:top w:val="single" w:sz="4" w:space="0" w:color="B0B8C0"/>
              <w:left w:val="single" w:sz="4" w:space="0" w:color="B0B8C0"/>
              <w:bottom w:val="single" w:sz="4" w:space="0" w:color="B0B8C0"/>
              <w:right w:val="single" w:sz="4" w:space="0" w:color="B0B8C0"/>
            </w:tcBorders>
            <w:shd w:val="clear" w:color="auto" w:fill="F0F4F8"/>
            <w:vAlign w:val="center"/>
          </w:tcPr>
          <w:p w14:paraId="317B4165" w14:textId="77777777" w:rsidR="00290BE9" w:rsidRDefault="00000000">
            <w:r>
              <w:rPr>
                <w:sz w:val="19"/>
              </w:rPr>
              <w:t>60%</w:t>
            </w:r>
          </w:p>
        </w:tc>
        <w:tc>
          <w:tcPr>
            <w:tcW w:w="3168" w:type="dxa"/>
            <w:tcBorders>
              <w:top w:val="single" w:sz="4" w:space="0" w:color="B0B8C0"/>
              <w:left w:val="single" w:sz="4" w:space="0" w:color="B0B8C0"/>
              <w:bottom w:val="single" w:sz="4" w:space="0" w:color="B0B8C0"/>
              <w:right w:val="single" w:sz="4" w:space="0" w:color="B0B8C0"/>
            </w:tcBorders>
            <w:shd w:val="clear" w:color="auto" w:fill="F0F4F8"/>
            <w:vAlign w:val="center"/>
          </w:tcPr>
          <w:p w14:paraId="60887E7B" w14:textId="77777777" w:rsidR="00290BE9" w:rsidRDefault="00000000">
            <w:r>
              <w:rPr>
                <w:sz w:val="19"/>
              </w:rPr>
              <w:t>Excel</w:t>
            </w:r>
          </w:p>
        </w:tc>
        <w:tc>
          <w:tcPr>
            <w:tcW w:w="1440" w:type="dxa"/>
            <w:tcBorders>
              <w:top w:val="single" w:sz="4" w:space="0" w:color="B0B8C0"/>
              <w:left w:val="single" w:sz="4" w:space="0" w:color="B0B8C0"/>
              <w:bottom w:val="single" w:sz="4" w:space="0" w:color="B0B8C0"/>
              <w:right w:val="single" w:sz="4" w:space="0" w:color="B0B8C0"/>
            </w:tcBorders>
            <w:shd w:val="clear" w:color="auto" w:fill="F0F4F8"/>
            <w:vAlign w:val="center"/>
          </w:tcPr>
          <w:p w14:paraId="6F6916C3" w14:textId="77777777" w:rsidR="00290BE9" w:rsidRDefault="00000000">
            <w:r>
              <w:rPr>
                <w:sz w:val="19"/>
              </w:rPr>
              <w:t>Quinzenal</w:t>
            </w:r>
          </w:p>
        </w:tc>
      </w:tr>
      <w:tr w:rsidR="00290BE9" w14:paraId="61DEB475" w14:textId="77777777">
        <w:trPr>
          <w:jc w:val="center"/>
        </w:trPr>
        <w:tc>
          <w:tcPr>
            <w:tcW w:w="1008" w:type="dxa"/>
            <w:tcBorders>
              <w:top w:val="single" w:sz="4" w:space="0" w:color="B0B8C0"/>
              <w:left w:val="single" w:sz="4" w:space="0" w:color="B0B8C0"/>
              <w:bottom w:val="single" w:sz="4" w:space="0" w:color="B0B8C0"/>
              <w:right w:val="single" w:sz="4" w:space="0" w:color="B0B8C0"/>
            </w:tcBorders>
            <w:vAlign w:val="center"/>
          </w:tcPr>
          <w:p w14:paraId="3545620F" w14:textId="77777777" w:rsidR="00290BE9" w:rsidRDefault="00000000">
            <w:r>
              <w:rPr>
                <w:sz w:val="19"/>
              </w:rPr>
              <w:t>F3</w:t>
            </w:r>
          </w:p>
        </w:tc>
        <w:tc>
          <w:tcPr>
            <w:tcW w:w="1728" w:type="dxa"/>
            <w:tcBorders>
              <w:top w:val="single" w:sz="4" w:space="0" w:color="B0B8C0"/>
              <w:left w:val="single" w:sz="4" w:space="0" w:color="B0B8C0"/>
              <w:bottom w:val="single" w:sz="4" w:space="0" w:color="B0B8C0"/>
              <w:right w:val="single" w:sz="4" w:space="0" w:color="B0B8C0"/>
            </w:tcBorders>
            <w:vAlign w:val="center"/>
          </w:tcPr>
          <w:p w14:paraId="41CFAA86" w14:textId="77777777" w:rsidR="00290BE9" w:rsidRDefault="00000000">
            <w:r>
              <w:rPr>
                <w:sz w:val="19"/>
              </w:rPr>
              <w:t>Smooth puro</w:t>
            </w:r>
          </w:p>
        </w:tc>
        <w:tc>
          <w:tcPr>
            <w:tcW w:w="2448" w:type="dxa"/>
            <w:tcBorders>
              <w:top w:val="single" w:sz="4" w:space="0" w:color="B0B8C0"/>
              <w:left w:val="single" w:sz="4" w:space="0" w:color="B0B8C0"/>
              <w:bottom w:val="single" w:sz="4" w:space="0" w:color="B0B8C0"/>
              <w:right w:val="single" w:sz="4" w:space="0" w:color="B0B8C0"/>
            </w:tcBorders>
            <w:vAlign w:val="center"/>
          </w:tcPr>
          <w:p w14:paraId="56CD9EAF" w14:textId="77777777" w:rsidR="00290BE9" w:rsidRDefault="00000000">
            <w:r>
              <w:rPr>
                <w:sz w:val="19"/>
              </w:rPr>
              <w:t>Winters</w:t>
            </w:r>
          </w:p>
        </w:tc>
        <w:tc>
          <w:tcPr>
            <w:tcW w:w="1008" w:type="dxa"/>
            <w:tcBorders>
              <w:top w:val="single" w:sz="4" w:space="0" w:color="B0B8C0"/>
              <w:left w:val="single" w:sz="4" w:space="0" w:color="B0B8C0"/>
              <w:bottom w:val="single" w:sz="4" w:space="0" w:color="B0B8C0"/>
              <w:right w:val="single" w:sz="4" w:space="0" w:color="B0B8C0"/>
            </w:tcBorders>
            <w:vAlign w:val="center"/>
          </w:tcPr>
          <w:p w14:paraId="294D8EC5" w14:textId="77777777" w:rsidR="00290BE9" w:rsidRDefault="00000000">
            <w:r>
              <w:rPr>
                <w:sz w:val="19"/>
              </w:rPr>
              <w:t>9%</w:t>
            </w:r>
          </w:p>
        </w:tc>
        <w:tc>
          <w:tcPr>
            <w:tcW w:w="3168" w:type="dxa"/>
            <w:tcBorders>
              <w:top w:val="single" w:sz="4" w:space="0" w:color="B0B8C0"/>
              <w:left w:val="single" w:sz="4" w:space="0" w:color="B0B8C0"/>
              <w:bottom w:val="single" w:sz="4" w:space="0" w:color="B0B8C0"/>
              <w:right w:val="single" w:sz="4" w:space="0" w:color="B0B8C0"/>
            </w:tcBorders>
            <w:vAlign w:val="center"/>
          </w:tcPr>
          <w:p w14:paraId="1F6AE453" w14:textId="77777777" w:rsidR="00290BE9" w:rsidRDefault="00000000">
            <w:r>
              <w:rPr>
                <w:sz w:val="19"/>
              </w:rPr>
              <w:t>Python/R</w:t>
            </w:r>
          </w:p>
        </w:tc>
        <w:tc>
          <w:tcPr>
            <w:tcW w:w="1440" w:type="dxa"/>
            <w:tcBorders>
              <w:top w:val="single" w:sz="4" w:space="0" w:color="B0B8C0"/>
              <w:left w:val="single" w:sz="4" w:space="0" w:color="B0B8C0"/>
              <w:bottom w:val="single" w:sz="4" w:space="0" w:color="B0B8C0"/>
              <w:right w:val="single" w:sz="4" w:space="0" w:color="B0B8C0"/>
            </w:tcBorders>
            <w:vAlign w:val="center"/>
          </w:tcPr>
          <w:p w14:paraId="62C605F0" w14:textId="77777777" w:rsidR="00290BE9" w:rsidRDefault="00000000">
            <w:r>
              <w:rPr>
                <w:sz w:val="19"/>
              </w:rPr>
              <w:t>Quinzenal</w:t>
            </w:r>
          </w:p>
        </w:tc>
      </w:tr>
      <w:tr w:rsidR="00290BE9" w14:paraId="58C3CC23" w14:textId="77777777">
        <w:trPr>
          <w:jc w:val="center"/>
        </w:trPr>
        <w:tc>
          <w:tcPr>
            <w:tcW w:w="1008" w:type="dxa"/>
            <w:tcBorders>
              <w:top w:val="single" w:sz="4" w:space="0" w:color="B0B8C0"/>
              <w:left w:val="single" w:sz="4" w:space="0" w:color="B0B8C0"/>
              <w:bottom w:val="single" w:sz="4" w:space="0" w:color="B0B8C0"/>
              <w:right w:val="single" w:sz="4" w:space="0" w:color="B0B8C0"/>
            </w:tcBorders>
            <w:shd w:val="clear" w:color="auto" w:fill="F0F4F8"/>
            <w:vAlign w:val="center"/>
          </w:tcPr>
          <w:p w14:paraId="37BDD867" w14:textId="77777777" w:rsidR="00290BE9" w:rsidRDefault="00000000">
            <w:r>
              <w:rPr>
                <w:sz w:val="19"/>
              </w:rPr>
              <w:t>F4</w:t>
            </w:r>
          </w:p>
        </w:tc>
        <w:tc>
          <w:tcPr>
            <w:tcW w:w="1728" w:type="dxa"/>
            <w:tcBorders>
              <w:top w:val="single" w:sz="4" w:space="0" w:color="B0B8C0"/>
              <w:left w:val="single" w:sz="4" w:space="0" w:color="B0B8C0"/>
              <w:bottom w:val="single" w:sz="4" w:space="0" w:color="B0B8C0"/>
              <w:right w:val="single" w:sz="4" w:space="0" w:color="B0B8C0"/>
            </w:tcBorders>
            <w:shd w:val="clear" w:color="auto" w:fill="F0F4F8"/>
            <w:vAlign w:val="center"/>
          </w:tcPr>
          <w:p w14:paraId="0923B07A" w14:textId="77777777" w:rsidR="00290BE9" w:rsidRDefault="00000000">
            <w:r>
              <w:rPr>
                <w:sz w:val="19"/>
              </w:rPr>
              <w:t>Smooth puro</w:t>
            </w:r>
          </w:p>
        </w:tc>
        <w:tc>
          <w:tcPr>
            <w:tcW w:w="2448" w:type="dxa"/>
            <w:tcBorders>
              <w:top w:val="single" w:sz="4" w:space="0" w:color="B0B8C0"/>
              <w:left w:val="single" w:sz="4" w:space="0" w:color="B0B8C0"/>
              <w:bottom w:val="single" w:sz="4" w:space="0" w:color="B0B8C0"/>
              <w:right w:val="single" w:sz="4" w:space="0" w:color="B0B8C0"/>
            </w:tcBorders>
            <w:shd w:val="clear" w:color="auto" w:fill="F0F4F8"/>
            <w:vAlign w:val="center"/>
          </w:tcPr>
          <w:p w14:paraId="3935EF9E" w14:textId="77777777" w:rsidR="00290BE9" w:rsidRDefault="00000000">
            <w:r>
              <w:rPr>
                <w:sz w:val="19"/>
              </w:rPr>
              <w:t>Naive</w:t>
            </w:r>
          </w:p>
        </w:tc>
        <w:tc>
          <w:tcPr>
            <w:tcW w:w="1008" w:type="dxa"/>
            <w:tcBorders>
              <w:top w:val="single" w:sz="4" w:space="0" w:color="B0B8C0"/>
              <w:left w:val="single" w:sz="4" w:space="0" w:color="B0B8C0"/>
              <w:bottom w:val="single" w:sz="4" w:space="0" w:color="B0B8C0"/>
              <w:right w:val="single" w:sz="4" w:space="0" w:color="B0B8C0"/>
            </w:tcBorders>
            <w:shd w:val="clear" w:color="auto" w:fill="F0F4F8"/>
            <w:vAlign w:val="center"/>
          </w:tcPr>
          <w:p w14:paraId="65365C2F" w14:textId="77777777" w:rsidR="00290BE9" w:rsidRDefault="00000000">
            <w:r>
              <w:rPr>
                <w:sz w:val="19"/>
              </w:rPr>
              <w:t>26%</w:t>
            </w:r>
          </w:p>
        </w:tc>
        <w:tc>
          <w:tcPr>
            <w:tcW w:w="3168" w:type="dxa"/>
            <w:tcBorders>
              <w:top w:val="single" w:sz="4" w:space="0" w:color="B0B8C0"/>
              <w:left w:val="single" w:sz="4" w:space="0" w:color="B0B8C0"/>
              <w:bottom w:val="single" w:sz="4" w:space="0" w:color="B0B8C0"/>
              <w:right w:val="single" w:sz="4" w:space="0" w:color="B0B8C0"/>
            </w:tcBorders>
            <w:shd w:val="clear" w:color="auto" w:fill="F0F4F8"/>
            <w:vAlign w:val="center"/>
          </w:tcPr>
          <w:p w14:paraId="717B6478" w14:textId="77777777" w:rsidR="00290BE9" w:rsidRDefault="00000000">
            <w:r>
              <w:rPr>
                <w:sz w:val="19"/>
              </w:rPr>
              <w:t>Excel</w:t>
            </w:r>
          </w:p>
        </w:tc>
        <w:tc>
          <w:tcPr>
            <w:tcW w:w="1440" w:type="dxa"/>
            <w:tcBorders>
              <w:top w:val="single" w:sz="4" w:space="0" w:color="B0B8C0"/>
              <w:left w:val="single" w:sz="4" w:space="0" w:color="B0B8C0"/>
              <w:bottom w:val="single" w:sz="4" w:space="0" w:color="B0B8C0"/>
              <w:right w:val="single" w:sz="4" w:space="0" w:color="B0B8C0"/>
            </w:tcBorders>
            <w:shd w:val="clear" w:color="auto" w:fill="F0F4F8"/>
            <w:vAlign w:val="center"/>
          </w:tcPr>
          <w:p w14:paraId="25CA30ED" w14:textId="77777777" w:rsidR="00290BE9" w:rsidRDefault="00000000">
            <w:r>
              <w:rPr>
                <w:sz w:val="19"/>
              </w:rPr>
              <w:t>Semanal</w:t>
            </w:r>
          </w:p>
        </w:tc>
      </w:tr>
      <w:tr w:rsidR="00290BE9" w14:paraId="6D1AABC1" w14:textId="77777777">
        <w:trPr>
          <w:jc w:val="center"/>
        </w:trPr>
        <w:tc>
          <w:tcPr>
            <w:tcW w:w="1008" w:type="dxa"/>
            <w:tcBorders>
              <w:top w:val="single" w:sz="4" w:space="0" w:color="B0B8C0"/>
              <w:left w:val="single" w:sz="4" w:space="0" w:color="B0B8C0"/>
              <w:bottom w:val="single" w:sz="4" w:space="0" w:color="B0B8C0"/>
              <w:right w:val="single" w:sz="4" w:space="0" w:color="B0B8C0"/>
            </w:tcBorders>
            <w:vAlign w:val="center"/>
          </w:tcPr>
          <w:p w14:paraId="6A7B44F6" w14:textId="77777777" w:rsidR="00290BE9" w:rsidRDefault="00000000">
            <w:r>
              <w:rPr>
                <w:sz w:val="19"/>
              </w:rPr>
              <w:t>F5</w:t>
            </w:r>
          </w:p>
        </w:tc>
        <w:tc>
          <w:tcPr>
            <w:tcW w:w="1728" w:type="dxa"/>
            <w:tcBorders>
              <w:top w:val="single" w:sz="4" w:space="0" w:color="B0B8C0"/>
              <w:left w:val="single" w:sz="4" w:space="0" w:color="B0B8C0"/>
              <w:bottom w:val="single" w:sz="4" w:space="0" w:color="B0B8C0"/>
              <w:right w:val="single" w:sz="4" w:space="0" w:color="B0B8C0"/>
            </w:tcBorders>
            <w:vAlign w:val="center"/>
          </w:tcPr>
          <w:p w14:paraId="161180F0" w14:textId="77777777" w:rsidR="00290BE9" w:rsidRDefault="00000000">
            <w:r>
              <w:rPr>
                <w:sz w:val="19"/>
              </w:rPr>
              <w:t>Erratic/Lumpy</w:t>
            </w:r>
          </w:p>
        </w:tc>
        <w:tc>
          <w:tcPr>
            <w:tcW w:w="2448" w:type="dxa"/>
            <w:tcBorders>
              <w:top w:val="single" w:sz="4" w:space="0" w:color="B0B8C0"/>
              <w:left w:val="single" w:sz="4" w:space="0" w:color="B0B8C0"/>
              <w:bottom w:val="single" w:sz="4" w:space="0" w:color="B0B8C0"/>
              <w:right w:val="single" w:sz="4" w:space="0" w:color="B0B8C0"/>
            </w:tcBorders>
            <w:vAlign w:val="center"/>
          </w:tcPr>
          <w:p w14:paraId="388C3C6C" w14:textId="77777777" w:rsidR="00290BE9" w:rsidRDefault="00000000">
            <w:r>
              <w:rPr>
                <w:sz w:val="19"/>
              </w:rPr>
              <w:t>SES</w:t>
            </w:r>
          </w:p>
        </w:tc>
        <w:tc>
          <w:tcPr>
            <w:tcW w:w="1008" w:type="dxa"/>
            <w:tcBorders>
              <w:top w:val="single" w:sz="4" w:space="0" w:color="B0B8C0"/>
              <w:left w:val="single" w:sz="4" w:space="0" w:color="B0B8C0"/>
              <w:bottom w:val="single" w:sz="4" w:space="0" w:color="B0B8C0"/>
              <w:right w:val="single" w:sz="4" w:space="0" w:color="B0B8C0"/>
            </w:tcBorders>
            <w:vAlign w:val="center"/>
          </w:tcPr>
          <w:p w14:paraId="76F6CEC7" w14:textId="77777777" w:rsidR="00290BE9" w:rsidRDefault="00000000">
            <w:r>
              <w:rPr>
                <w:sz w:val="19"/>
              </w:rPr>
              <w:t>82%</w:t>
            </w:r>
          </w:p>
        </w:tc>
        <w:tc>
          <w:tcPr>
            <w:tcW w:w="3168" w:type="dxa"/>
            <w:tcBorders>
              <w:top w:val="single" w:sz="4" w:space="0" w:color="B0B8C0"/>
              <w:left w:val="single" w:sz="4" w:space="0" w:color="B0B8C0"/>
              <w:bottom w:val="single" w:sz="4" w:space="0" w:color="B0B8C0"/>
              <w:right w:val="single" w:sz="4" w:space="0" w:color="B0B8C0"/>
            </w:tcBorders>
            <w:vAlign w:val="center"/>
          </w:tcPr>
          <w:p w14:paraId="7567966F" w14:textId="77777777" w:rsidR="00290BE9" w:rsidRDefault="00000000">
            <w:r>
              <w:rPr>
                <w:sz w:val="19"/>
              </w:rPr>
              <w:t>Excel (com add-in) / Python</w:t>
            </w:r>
          </w:p>
        </w:tc>
        <w:tc>
          <w:tcPr>
            <w:tcW w:w="1440" w:type="dxa"/>
            <w:tcBorders>
              <w:top w:val="single" w:sz="4" w:space="0" w:color="B0B8C0"/>
              <w:left w:val="single" w:sz="4" w:space="0" w:color="B0B8C0"/>
              <w:bottom w:val="single" w:sz="4" w:space="0" w:color="B0B8C0"/>
              <w:right w:val="single" w:sz="4" w:space="0" w:color="B0B8C0"/>
            </w:tcBorders>
            <w:vAlign w:val="center"/>
          </w:tcPr>
          <w:p w14:paraId="22032121" w14:textId="77777777" w:rsidR="00290BE9" w:rsidRDefault="00000000">
            <w:r>
              <w:rPr>
                <w:sz w:val="19"/>
              </w:rPr>
              <w:t>Quinzenal</w:t>
            </w:r>
          </w:p>
        </w:tc>
      </w:tr>
    </w:tbl>
    <w:p w14:paraId="333BF0DE" w14:textId="77777777" w:rsidR="00290BE9" w:rsidRDefault="00290BE9">
      <w:pPr>
        <w:spacing w:after="80"/>
      </w:pPr>
    </w:p>
    <w:p w14:paraId="1D9441E7" w14:textId="77777777" w:rsidR="00290BE9" w:rsidRDefault="00000000">
      <w:pPr>
        <w:spacing w:after="120"/>
        <w:jc w:val="both"/>
      </w:pPr>
      <w:r>
        <w:rPr>
          <w:b/>
        </w:rPr>
        <w:t xml:space="preserve">Implicação operacional. </w:t>
      </w:r>
      <w:r>
        <w:t>Apenas F3 justifica migração para Python/R — 80% do portfólio (em número de famílias) pode ser mantido em Excel, dispensando a contratação imediata de cientista de dados dedicado. F1 e F4 exigem ciclo semanal (shelf life curto e sensibilidade a choques); F2, F3 e F5 podem seguir cadência quinzenal, liberando tempo de planejamento para F3 (que é a família mais lucrativa em volume). Ressalva importante: para F4 a recomendação Naive é válida em curto prazo; a tendência estrutural de +3,5 un/semana² (Anexo A) exige revisão trimestral para evitar viés acumulado.</w:t>
      </w:r>
    </w:p>
    <w:p w14:paraId="5BB0F8CF" w14:textId="77777777" w:rsidR="00290BE9" w:rsidRDefault="00000000">
      <w:pPr>
        <w:spacing w:after="120"/>
        <w:jc w:val="both"/>
      </w:pPr>
      <w:r>
        <w:rPr>
          <w:b/>
        </w:rPr>
        <w:t xml:space="preserve">Trade-off interpretabilidade vs. acurácia. </w:t>
      </w:r>
      <w:r>
        <w:t>Naive, MA(4) e SES são transparentes para o time comercial e não exigem explicação estatística. Winters já demanda compreensão dos parâmetros α, β, γ e do conceito de sazonalidade aditiva — mas em F3 o ganho de 33% justifica o investimento em capacitação. ARIMA/ETS automáticos aparecem competitivos em algumas famílias, mas a 'caixa-preta' dificulta a defesa operacional.</w:t>
      </w:r>
    </w:p>
    <w:p w14:paraId="2F45F863" w14:textId="77777777" w:rsidR="00290BE9" w:rsidRDefault="00000000">
      <w:pPr>
        <w:spacing w:before="280" w:after="120"/>
      </w:pPr>
      <w:r>
        <w:rPr>
          <w:b/>
          <w:color w:val="1E4682"/>
          <w:sz w:val="32"/>
        </w:rPr>
        <w:t>Q9. Da Previsão ao Impacto Operacional</w:t>
      </w:r>
    </w:p>
    <w:p w14:paraId="2A56C9FA" w14:textId="77777777" w:rsidR="00290BE9" w:rsidRDefault="00000000">
      <w:pPr>
        <w:spacing w:after="120"/>
        <w:jc w:val="both"/>
      </w:pPr>
      <w:r>
        <w:lastRenderedPageBreak/>
        <w:t>Demonstramos aqui a cadeia causal completa: erro de previsão (RMSE) → estoque de segurança requerido → rupturas quando o ES é insuficiente → impacto em viagens extras, descarte e retrabalho. Escolhemos como par contrastante F1 (Perecíveis) e F2 (Premium) — não F1 × F3 como sugerido pelo enunciado — porque F1 e F3 são ambos smooth e o contraste ficaria limitado ao volume. F1 × F2 contrapõe smooth vs. erratic, shelf life curto vs. longo, LT curto vs. longo, volume alto vs. baixo e margem 35% vs. 45% — um contraste operacional genuíno e conectado ao cenário atribuído (que tem promoção em F2 na semana 30). Script em src/q9_cadeia_causal.py.</w:t>
      </w:r>
    </w:p>
    <w:p w14:paraId="5E8F57C1" w14:textId="77777777" w:rsidR="00290BE9" w:rsidRDefault="00000000">
      <w:pPr>
        <w:spacing w:before="160" w:after="60"/>
      </w:pPr>
      <w:r>
        <w:rPr>
          <w:b/>
          <w:color w:val="3C3C3C"/>
          <w:sz w:val="24"/>
        </w:rPr>
        <w:t>Metodologia</w:t>
      </w:r>
    </w:p>
    <w:p w14:paraId="3C268272" w14:textId="77777777" w:rsidR="00290BE9" w:rsidRDefault="00000000">
      <w:pPr>
        <w:spacing w:after="120"/>
        <w:jc w:val="both"/>
      </w:pPr>
      <w:r>
        <w:t>Usamos o melhor modelo identificado em Q8 para cada família (Holt-Winters para F1, SES para F2). O estoque de segurança é calculado como ES = z · RMSE · √LT, onde z corresponde ao nível de serviço alvo — 97% para F1 (alinhado ao KPI 1) e 90% para F2 (nível menor justificado pelo alto custo de manutenção, R$ 11/un/ano, e pela baixa recorrência típica do cliente premium). A simulação de rupturas é empírica: comparamos demanda real do período de teste contra previsão + ES, contando semanas com faltante. A propagação para impacto financeiro usa os parâmetros do Anexo G.</w:t>
      </w:r>
    </w:p>
    <w:p w14:paraId="2C672881" w14:textId="77777777" w:rsidR="00290BE9" w:rsidRDefault="00000000">
      <w:pPr>
        <w:jc w:val="center"/>
      </w:pPr>
      <w:r>
        <w:rPr>
          <w:noProof/>
        </w:rPr>
        <w:drawing>
          <wp:inline distT="0" distB="0" distL="0" distR="0" wp14:anchorId="2596FC60" wp14:editId="2C5CB994">
            <wp:extent cx="5760720" cy="347963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9_cadeia_caus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7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9B595" w14:textId="77777777" w:rsidR="00290BE9" w:rsidRDefault="00000000">
      <w:pPr>
        <w:spacing w:after="160"/>
        <w:jc w:val="center"/>
      </w:pPr>
      <w:r>
        <w:rPr>
          <w:i/>
          <w:color w:val="5A5A5A"/>
          <w:sz w:val="18"/>
        </w:rPr>
        <w:t>Figura 4 — Cadeia causal lado a lado para F1 e F2, dos elos RMSE → ES → rupturas → impacto operacional. O período de teste cobre 24 semanas (81-104).</w:t>
      </w:r>
    </w:p>
    <w:p w14:paraId="1A07CB01" w14:textId="77777777" w:rsidR="00290BE9" w:rsidRDefault="00000000">
      <w:pPr>
        <w:spacing w:before="160" w:after="60"/>
      </w:pPr>
      <w:r>
        <w:rPr>
          <w:b/>
          <w:color w:val="3C3C3C"/>
          <w:sz w:val="24"/>
        </w:rPr>
        <w:t>Resultados no período de teste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1728"/>
        <w:gridCol w:w="1728"/>
        <w:gridCol w:w="1152"/>
        <w:gridCol w:w="2016"/>
        <w:gridCol w:w="2016"/>
      </w:tblGrid>
      <w:tr w:rsidR="00290BE9" w14:paraId="2A9331B7" w14:textId="77777777">
        <w:trPr>
          <w:jc w:val="center"/>
        </w:trPr>
        <w:tc>
          <w:tcPr>
            <w:tcW w:w="2304" w:type="dxa"/>
            <w:tcBorders>
              <w:top w:val="single" w:sz="4" w:space="0" w:color="1E4682"/>
              <w:left w:val="single" w:sz="4" w:space="0" w:color="1E4682"/>
              <w:bottom w:val="single" w:sz="4" w:space="0" w:color="1E4682"/>
              <w:right w:val="single" w:sz="4" w:space="0" w:color="1E4682"/>
            </w:tcBorders>
            <w:shd w:val="clear" w:color="auto" w:fill="1E4682"/>
            <w:vAlign w:val="center"/>
          </w:tcPr>
          <w:p w14:paraId="3803AFD8" w14:textId="77777777" w:rsidR="00290BE9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Família</w:t>
            </w:r>
          </w:p>
        </w:tc>
        <w:tc>
          <w:tcPr>
            <w:tcW w:w="1728" w:type="dxa"/>
            <w:tcBorders>
              <w:top w:val="single" w:sz="4" w:space="0" w:color="1E4682"/>
              <w:left w:val="single" w:sz="4" w:space="0" w:color="1E4682"/>
              <w:bottom w:val="single" w:sz="4" w:space="0" w:color="1E4682"/>
              <w:right w:val="single" w:sz="4" w:space="0" w:color="1E4682"/>
            </w:tcBorders>
            <w:shd w:val="clear" w:color="auto" w:fill="1E4682"/>
            <w:vAlign w:val="center"/>
          </w:tcPr>
          <w:p w14:paraId="007DBA14" w14:textId="77777777" w:rsidR="00290BE9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Modelo</w:t>
            </w:r>
          </w:p>
        </w:tc>
        <w:tc>
          <w:tcPr>
            <w:tcW w:w="1728" w:type="dxa"/>
            <w:tcBorders>
              <w:top w:val="single" w:sz="4" w:space="0" w:color="1E4682"/>
              <w:left w:val="single" w:sz="4" w:space="0" w:color="1E4682"/>
              <w:bottom w:val="single" w:sz="4" w:space="0" w:color="1E4682"/>
              <w:right w:val="single" w:sz="4" w:space="0" w:color="1E4682"/>
            </w:tcBorders>
            <w:shd w:val="clear" w:color="auto" w:fill="1E4682"/>
            <w:vAlign w:val="center"/>
          </w:tcPr>
          <w:p w14:paraId="7258451D" w14:textId="77777777" w:rsidR="00290BE9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RMSE (un/sem)</w:t>
            </w:r>
          </w:p>
        </w:tc>
        <w:tc>
          <w:tcPr>
            <w:tcW w:w="1152" w:type="dxa"/>
            <w:tcBorders>
              <w:top w:val="single" w:sz="4" w:space="0" w:color="1E4682"/>
              <w:left w:val="single" w:sz="4" w:space="0" w:color="1E4682"/>
              <w:bottom w:val="single" w:sz="4" w:space="0" w:color="1E4682"/>
              <w:right w:val="single" w:sz="4" w:space="0" w:color="1E4682"/>
            </w:tcBorders>
            <w:shd w:val="clear" w:color="auto" w:fill="1E4682"/>
            <w:vAlign w:val="center"/>
          </w:tcPr>
          <w:p w14:paraId="3F605E0D" w14:textId="77777777" w:rsidR="00290BE9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LT (d)</w:t>
            </w:r>
          </w:p>
        </w:tc>
        <w:tc>
          <w:tcPr>
            <w:tcW w:w="2016" w:type="dxa"/>
            <w:tcBorders>
              <w:top w:val="single" w:sz="4" w:space="0" w:color="1E4682"/>
              <w:left w:val="single" w:sz="4" w:space="0" w:color="1E4682"/>
              <w:bottom w:val="single" w:sz="4" w:space="0" w:color="1E4682"/>
              <w:right w:val="single" w:sz="4" w:space="0" w:color="1E4682"/>
            </w:tcBorders>
            <w:shd w:val="clear" w:color="auto" w:fill="1E4682"/>
            <w:vAlign w:val="center"/>
          </w:tcPr>
          <w:p w14:paraId="6F04E91E" w14:textId="77777777" w:rsidR="00290BE9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z (NS alvo)</w:t>
            </w:r>
          </w:p>
        </w:tc>
        <w:tc>
          <w:tcPr>
            <w:tcW w:w="2016" w:type="dxa"/>
            <w:tcBorders>
              <w:top w:val="single" w:sz="4" w:space="0" w:color="1E4682"/>
              <w:left w:val="single" w:sz="4" w:space="0" w:color="1E4682"/>
              <w:bottom w:val="single" w:sz="4" w:space="0" w:color="1E4682"/>
              <w:right w:val="single" w:sz="4" w:space="0" w:color="1E4682"/>
            </w:tcBorders>
            <w:shd w:val="clear" w:color="auto" w:fill="1E4682"/>
            <w:vAlign w:val="center"/>
          </w:tcPr>
          <w:p w14:paraId="2A702048" w14:textId="77777777" w:rsidR="00290BE9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ES recomendado (un)</w:t>
            </w:r>
          </w:p>
        </w:tc>
      </w:tr>
      <w:tr w:rsidR="00290BE9" w14:paraId="1C307875" w14:textId="77777777">
        <w:trPr>
          <w:jc w:val="center"/>
        </w:trPr>
        <w:tc>
          <w:tcPr>
            <w:tcW w:w="2304" w:type="dxa"/>
            <w:tcBorders>
              <w:top w:val="single" w:sz="4" w:space="0" w:color="B0B8C0"/>
              <w:left w:val="single" w:sz="4" w:space="0" w:color="B0B8C0"/>
              <w:bottom w:val="single" w:sz="4" w:space="0" w:color="B0B8C0"/>
              <w:right w:val="single" w:sz="4" w:space="0" w:color="B0B8C0"/>
            </w:tcBorders>
            <w:vAlign w:val="center"/>
          </w:tcPr>
          <w:p w14:paraId="6BE6FEDD" w14:textId="77777777" w:rsidR="00290BE9" w:rsidRDefault="00000000">
            <w:r>
              <w:rPr>
                <w:sz w:val="19"/>
              </w:rPr>
              <w:t>F1 — Perecíveis</w:t>
            </w:r>
          </w:p>
        </w:tc>
        <w:tc>
          <w:tcPr>
            <w:tcW w:w="1728" w:type="dxa"/>
            <w:tcBorders>
              <w:top w:val="single" w:sz="4" w:space="0" w:color="B0B8C0"/>
              <w:left w:val="single" w:sz="4" w:space="0" w:color="B0B8C0"/>
              <w:bottom w:val="single" w:sz="4" w:space="0" w:color="B0B8C0"/>
              <w:right w:val="single" w:sz="4" w:space="0" w:color="B0B8C0"/>
            </w:tcBorders>
            <w:vAlign w:val="center"/>
          </w:tcPr>
          <w:p w14:paraId="17CC45C5" w14:textId="77777777" w:rsidR="00290BE9" w:rsidRDefault="00000000">
            <w:r>
              <w:rPr>
                <w:sz w:val="19"/>
              </w:rPr>
              <w:t>Holt-Winters</w:t>
            </w:r>
          </w:p>
        </w:tc>
        <w:tc>
          <w:tcPr>
            <w:tcW w:w="1728" w:type="dxa"/>
            <w:tcBorders>
              <w:top w:val="single" w:sz="4" w:space="0" w:color="B0B8C0"/>
              <w:left w:val="single" w:sz="4" w:space="0" w:color="B0B8C0"/>
              <w:bottom w:val="single" w:sz="4" w:space="0" w:color="B0B8C0"/>
              <w:right w:val="single" w:sz="4" w:space="0" w:color="B0B8C0"/>
            </w:tcBorders>
            <w:vAlign w:val="center"/>
          </w:tcPr>
          <w:p w14:paraId="129D562F" w14:textId="77777777" w:rsidR="00290BE9" w:rsidRDefault="00000000">
            <w:r>
              <w:rPr>
                <w:sz w:val="19"/>
              </w:rPr>
              <w:t>816</w:t>
            </w:r>
          </w:p>
        </w:tc>
        <w:tc>
          <w:tcPr>
            <w:tcW w:w="1152" w:type="dxa"/>
            <w:tcBorders>
              <w:top w:val="single" w:sz="4" w:space="0" w:color="B0B8C0"/>
              <w:left w:val="single" w:sz="4" w:space="0" w:color="B0B8C0"/>
              <w:bottom w:val="single" w:sz="4" w:space="0" w:color="B0B8C0"/>
              <w:right w:val="single" w:sz="4" w:space="0" w:color="B0B8C0"/>
            </w:tcBorders>
            <w:vAlign w:val="center"/>
          </w:tcPr>
          <w:p w14:paraId="390004B8" w14:textId="77777777" w:rsidR="00290BE9" w:rsidRDefault="00000000">
            <w:r>
              <w:rPr>
                <w:sz w:val="19"/>
              </w:rPr>
              <w:t>2</w:t>
            </w:r>
          </w:p>
        </w:tc>
        <w:tc>
          <w:tcPr>
            <w:tcW w:w="2016" w:type="dxa"/>
            <w:tcBorders>
              <w:top w:val="single" w:sz="4" w:space="0" w:color="B0B8C0"/>
              <w:left w:val="single" w:sz="4" w:space="0" w:color="B0B8C0"/>
              <w:bottom w:val="single" w:sz="4" w:space="0" w:color="B0B8C0"/>
              <w:right w:val="single" w:sz="4" w:space="0" w:color="B0B8C0"/>
            </w:tcBorders>
            <w:vAlign w:val="center"/>
          </w:tcPr>
          <w:p w14:paraId="50C1D0CC" w14:textId="77777777" w:rsidR="00290BE9" w:rsidRDefault="00000000">
            <w:r>
              <w:rPr>
                <w:sz w:val="19"/>
              </w:rPr>
              <w:t>1,881  (97%)</w:t>
            </w:r>
          </w:p>
        </w:tc>
        <w:tc>
          <w:tcPr>
            <w:tcW w:w="2016" w:type="dxa"/>
            <w:tcBorders>
              <w:top w:val="single" w:sz="4" w:space="0" w:color="B0B8C0"/>
              <w:left w:val="single" w:sz="4" w:space="0" w:color="B0B8C0"/>
              <w:bottom w:val="single" w:sz="4" w:space="0" w:color="B0B8C0"/>
              <w:right w:val="single" w:sz="4" w:space="0" w:color="B0B8C0"/>
            </w:tcBorders>
            <w:vAlign w:val="center"/>
          </w:tcPr>
          <w:p w14:paraId="367406AA" w14:textId="77777777" w:rsidR="00290BE9" w:rsidRDefault="00000000">
            <w:r>
              <w:rPr>
                <w:sz w:val="19"/>
              </w:rPr>
              <w:t>821</w:t>
            </w:r>
          </w:p>
        </w:tc>
      </w:tr>
      <w:tr w:rsidR="00290BE9" w14:paraId="29F09D57" w14:textId="77777777">
        <w:trPr>
          <w:jc w:val="center"/>
        </w:trPr>
        <w:tc>
          <w:tcPr>
            <w:tcW w:w="2304" w:type="dxa"/>
            <w:tcBorders>
              <w:top w:val="single" w:sz="4" w:space="0" w:color="B0B8C0"/>
              <w:left w:val="single" w:sz="4" w:space="0" w:color="B0B8C0"/>
              <w:bottom w:val="single" w:sz="4" w:space="0" w:color="B0B8C0"/>
              <w:right w:val="single" w:sz="4" w:space="0" w:color="B0B8C0"/>
            </w:tcBorders>
            <w:shd w:val="clear" w:color="auto" w:fill="F0F4F8"/>
            <w:vAlign w:val="center"/>
          </w:tcPr>
          <w:p w14:paraId="0A89EC09" w14:textId="77777777" w:rsidR="00290BE9" w:rsidRDefault="00000000">
            <w:r>
              <w:rPr>
                <w:sz w:val="19"/>
              </w:rPr>
              <w:t>F2 — Premium</w:t>
            </w:r>
          </w:p>
        </w:tc>
        <w:tc>
          <w:tcPr>
            <w:tcW w:w="1728" w:type="dxa"/>
            <w:tcBorders>
              <w:top w:val="single" w:sz="4" w:space="0" w:color="B0B8C0"/>
              <w:left w:val="single" w:sz="4" w:space="0" w:color="B0B8C0"/>
              <w:bottom w:val="single" w:sz="4" w:space="0" w:color="B0B8C0"/>
              <w:right w:val="single" w:sz="4" w:space="0" w:color="B0B8C0"/>
            </w:tcBorders>
            <w:shd w:val="clear" w:color="auto" w:fill="F0F4F8"/>
            <w:vAlign w:val="center"/>
          </w:tcPr>
          <w:p w14:paraId="6830CC57" w14:textId="77777777" w:rsidR="00290BE9" w:rsidRDefault="00000000">
            <w:r>
              <w:rPr>
                <w:sz w:val="19"/>
              </w:rPr>
              <w:t>SES</w:t>
            </w:r>
          </w:p>
        </w:tc>
        <w:tc>
          <w:tcPr>
            <w:tcW w:w="1728" w:type="dxa"/>
            <w:tcBorders>
              <w:top w:val="single" w:sz="4" w:space="0" w:color="B0B8C0"/>
              <w:left w:val="single" w:sz="4" w:space="0" w:color="B0B8C0"/>
              <w:bottom w:val="single" w:sz="4" w:space="0" w:color="B0B8C0"/>
              <w:right w:val="single" w:sz="4" w:space="0" w:color="B0B8C0"/>
            </w:tcBorders>
            <w:shd w:val="clear" w:color="auto" w:fill="F0F4F8"/>
            <w:vAlign w:val="center"/>
          </w:tcPr>
          <w:p w14:paraId="331C12DA" w14:textId="77777777" w:rsidR="00290BE9" w:rsidRDefault="00000000">
            <w:r>
              <w:rPr>
                <w:sz w:val="19"/>
              </w:rPr>
              <w:t>179</w:t>
            </w:r>
          </w:p>
        </w:tc>
        <w:tc>
          <w:tcPr>
            <w:tcW w:w="1152" w:type="dxa"/>
            <w:tcBorders>
              <w:top w:val="single" w:sz="4" w:space="0" w:color="B0B8C0"/>
              <w:left w:val="single" w:sz="4" w:space="0" w:color="B0B8C0"/>
              <w:bottom w:val="single" w:sz="4" w:space="0" w:color="B0B8C0"/>
              <w:right w:val="single" w:sz="4" w:space="0" w:color="B0B8C0"/>
            </w:tcBorders>
            <w:shd w:val="clear" w:color="auto" w:fill="F0F4F8"/>
            <w:vAlign w:val="center"/>
          </w:tcPr>
          <w:p w14:paraId="570C0897" w14:textId="77777777" w:rsidR="00290BE9" w:rsidRDefault="00000000">
            <w:r>
              <w:rPr>
                <w:sz w:val="19"/>
              </w:rPr>
              <w:t>14</w:t>
            </w:r>
          </w:p>
        </w:tc>
        <w:tc>
          <w:tcPr>
            <w:tcW w:w="2016" w:type="dxa"/>
            <w:tcBorders>
              <w:top w:val="single" w:sz="4" w:space="0" w:color="B0B8C0"/>
              <w:left w:val="single" w:sz="4" w:space="0" w:color="B0B8C0"/>
              <w:bottom w:val="single" w:sz="4" w:space="0" w:color="B0B8C0"/>
              <w:right w:val="single" w:sz="4" w:space="0" w:color="B0B8C0"/>
            </w:tcBorders>
            <w:shd w:val="clear" w:color="auto" w:fill="F0F4F8"/>
            <w:vAlign w:val="center"/>
          </w:tcPr>
          <w:p w14:paraId="03B26911" w14:textId="77777777" w:rsidR="00290BE9" w:rsidRDefault="00000000">
            <w:r>
              <w:rPr>
                <w:sz w:val="19"/>
              </w:rPr>
              <w:t>1,282  (90%)</w:t>
            </w:r>
          </w:p>
        </w:tc>
        <w:tc>
          <w:tcPr>
            <w:tcW w:w="2016" w:type="dxa"/>
            <w:tcBorders>
              <w:top w:val="single" w:sz="4" w:space="0" w:color="B0B8C0"/>
              <w:left w:val="single" w:sz="4" w:space="0" w:color="B0B8C0"/>
              <w:bottom w:val="single" w:sz="4" w:space="0" w:color="B0B8C0"/>
              <w:right w:val="single" w:sz="4" w:space="0" w:color="B0B8C0"/>
            </w:tcBorders>
            <w:shd w:val="clear" w:color="auto" w:fill="F0F4F8"/>
            <w:vAlign w:val="center"/>
          </w:tcPr>
          <w:p w14:paraId="6E756D57" w14:textId="77777777" w:rsidR="00290BE9" w:rsidRDefault="00000000">
            <w:r>
              <w:rPr>
                <w:sz w:val="19"/>
              </w:rPr>
              <w:t>325</w:t>
            </w:r>
          </w:p>
        </w:tc>
      </w:tr>
    </w:tbl>
    <w:p w14:paraId="0ED0DA77" w14:textId="77777777" w:rsidR="00290BE9" w:rsidRDefault="00290BE9">
      <w:pPr>
        <w:spacing w:after="80"/>
      </w:pPr>
    </w:p>
    <w:p w14:paraId="7D59C21F" w14:textId="77777777" w:rsidR="00290BE9" w:rsidRDefault="00000000">
      <w:pPr>
        <w:spacing w:after="80"/>
        <w:jc w:val="both"/>
      </w:pPr>
      <w:r>
        <w:t>Propagando para o período de teste (24 semanas) a simulação empírica de rupturas e os custos do Anexo G, obtemos: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"/>
        <w:gridCol w:w="1728"/>
        <w:gridCol w:w="1440"/>
        <w:gridCol w:w="1728"/>
        <w:gridCol w:w="3456"/>
        <w:gridCol w:w="1440"/>
      </w:tblGrid>
      <w:tr w:rsidR="00290BE9" w14:paraId="03CDA31F" w14:textId="77777777">
        <w:trPr>
          <w:jc w:val="center"/>
        </w:trPr>
        <w:tc>
          <w:tcPr>
            <w:tcW w:w="1008" w:type="dxa"/>
            <w:tcBorders>
              <w:top w:val="single" w:sz="4" w:space="0" w:color="1E4682"/>
              <w:left w:val="single" w:sz="4" w:space="0" w:color="1E4682"/>
              <w:bottom w:val="single" w:sz="4" w:space="0" w:color="1E4682"/>
              <w:right w:val="single" w:sz="4" w:space="0" w:color="1E4682"/>
            </w:tcBorders>
            <w:shd w:val="clear" w:color="auto" w:fill="1E4682"/>
            <w:vAlign w:val="center"/>
          </w:tcPr>
          <w:p w14:paraId="7779169F" w14:textId="77777777" w:rsidR="00290BE9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Família</w:t>
            </w:r>
          </w:p>
        </w:tc>
        <w:tc>
          <w:tcPr>
            <w:tcW w:w="1728" w:type="dxa"/>
            <w:tcBorders>
              <w:top w:val="single" w:sz="4" w:space="0" w:color="1E4682"/>
              <w:left w:val="single" w:sz="4" w:space="0" w:color="1E4682"/>
              <w:bottom w:val="single" w:sz="4" w:space="0" w:color="1E4682"/>
              <w:right w:val="single" w:sz="4" w:space="0" w:color="1E4682"/>
            </w:tcBorders>
            <w:shd w:val="clear" w:color="auto" w:fill="1E4682"/>
            <w:vAlign w:val="center"/>
          </w:tcPr>
          <w:p w14:paraId="7B65B93C" w14:textId="77777777" w:rsidR="00290BE9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Rupturas</w:t>
            </w:r>
          </w:p>
        </w:tc>
        <w:tc>
          <w:tcPr>
            <w:tcW w:w="1440" w:type="dxa"/>
            <w:tcBorders>
              <w:top w:val="single" w:sz="4" w:space="0" w:color="1E4682"/>
              <w:left w:val="single" w:sz="4" w:space="0" w:color="1E4682"/>
              <w:bottom w:val="single" w:sz="4" w:space="0" w:color="1E4682"/>
              <w:right w:val="single" w:sz="4" w:space="0" w:color="1E4682"/>
            </w:tcBorders>
            <w:shd w:val="clear" w:color="auto" w:fill="1E4682"/>
            <w:vAlign w:val="center"/>
          </w:tcPr>
          <w:p w14:paraId="08802D29" w14:textId="77777777" w:rsidR="00290BE9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Fill Rate sim.</w:t>
            </w:r>
          </w:p>
        </w:tc>
        <w:tc>
          <w:tcPr>
            <w:tcW w:w="1728" w:type="dxa"/>
            <w:tcBorders>
              <w:top w:val="single" w:sz="4" w:space="0" w:color="1E4682"/>
              <w:left w:val="single" w:sz="4" w:space="0" w:color="1E4682"/>
              <w:bottom w:val="single" w:sz="4" w:space="0" w:color="1E4682"/>
              <w:right w:val="single" w:sz="4" w:space="0" w:color="1E4682"/>
            </w:tcBorders>
            <w:shd w:val="clear" w:color="auto" w:fill="1E4682"/>
            <w:vAlign w:val="center"/>
          </w:tcPr>
          <w:p w14:paraId="385122D6" w14:textId="77777777" w:rsidR="00290BE9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Venda perdida</w:t>
            </w:r>
          </w:p>
        </w:tc>
        <w:tc>
          <w:tcPr>
            <w:tcW w:w="3456" w:type="dxa"/>
            <w:tcBorders>
              <w:top w:val="single" w:sz="4" w:space="0" w:color="1E4682"/>
              <w:left w:val="single" w:sz="4" w:space="0" w:color="1E4682"/>
              <w:bottom w:val="single" w:sz="4" w:space="0" w:color="1E4682"/>
              <w:right w:val="single" w:sz="4" w:space="0" w:color="1E4682"/>
            </w:tcBorders>
            <w:shd w:val="clear" w:color="auto" w:fill="1E4682"/>
            <w:vAlign w:val="center"/>
          </w:tcPr>
          <w:p w14:paraId="1BB23446" w14:textId="77777777" w:rsidR="00290BE9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Viagens extras</w:t>
            </w:r>
          </w:p>
        </w:tc>
        <w:tc>
          <w:tcPr>
            <w:tcW w:w="1440" w:type="dxa"/>
            <w:tcBorders>
              <w:top w:val="single" w:sz="4" w:space="0" w:color="1E4682"/>
              <w:left w:val="single" w:sz="4" w:space="0" w:color="1E4682"/>
              <w:bottom w:val="single" w:sz="4" w:space="0" w:color="1E4682"/>
              <w:right w:val="single" w:sz="4" w:space="0" w:color="1E4682"/>
            </w:tcBorders>
            <w:shd w:val="clear" w:color="auto" w:fill="1E4682"/>
            <w:vAlign w:val="center"/>
          </w:tcPr>
          <w:p w14:paraId="1E8C34AD" w14:textId="77777777" w:rsidR="00290BE9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Descarte</w:t>
            </w:r>
          </w:p>
        </w:tc>
      </w:tr>
      <w:tr w:rsidR="00290BE9" w14:paraId="00D072DD" w14:textId="77777777">
        <w:trPr>
          <w:jc w:val="center"/>
        </w:trPr>
        <w:tc>
          <w:tcPr>
            <w:tcW w:w="1008" w:type="dxa"/>
            <w:tcBorders>
              <w:top w:val="single" w:sz="4" w:space="0" w:color="B0B8C0"/>
              <w:left w:val="single" w:sz="4" w:space="0" w:color="B0B8C0"/>
              <w:bottom w:val="single" w:sz="4" w:space="0" w:color="B0B8C0"/>
              <w:right w:val="single" w:sz="4" w:space="0" w:color="B0B8C0"/>
            </w:tcBorders>
            <w:vAlign w:val="center"/>
          </w:tcPr>
          <w:p w14:paraId="02F7A0AD" w14:textId="77777777" w:rsidR="00290BE9" w:rsidRDefault="00000000">
            <w:r>
              <w:rPr>
                <w:sz w:val="19"/>
              </w:rPr>
              <w:t>F1</w:t>
            </w:r>
          </w:p>
        </w:tc>
        <w:tc>
          <w:tcPr>
            <w:tcW w:w="1728" w:type="dxa"/>
            <w:tcBorders>
              <w:top w:val="single" w:sz="4" w:space="0" w:color="B0B8C0"/>
              <w:left w:val="single" w:sz="4" w:space="0" w:color="B0B8C0"/>
              <w:bottom w:val="single" w:sz="4" w:space="0" w:color="B0B8C0"/>
              <w:right w:val="single" w:sz="4" w:space="0" w:color="B0B8C0"/>
            </w:tcBorders>
            <w:vAlign w:val="center"/>
          </w:tcPr>
          <w:p w14:paraId="70DBBA1A" w14:textId="77777777" w:rsidR="00290BE9" w:rsidRDefault="00000000">
            <w:r>
              <w:rPr>
                <w:sz w:val="19"/>
              </w:rPr>
              <w:t>4 sem (16,7%)</w:t>
            </w:r>
          </w:p>
        </w:tc>
        <w:tc>
          <w:tcPr>
            <w:tcW w:w="1440" w:type="dxa"/>
            <w:tcBorders>
              <w:top w:val="single" w:sz="4" w:space="0" w:color="B0B8C0"/>
              <w:left w:val="single" w:sz="4" w:space="0" w:color="B0B8C0"/>
              <w:bottom w:val="single" w:sz="4" w:space="0" w:color="B0B8C0"/>
              <w:right w:val="single" w:sz="4" w:space="0" w:color="B0B8C0"/>
            </w:tcBorders>
            <w:vAlign w:val="center"/>
          </w:tcPr>
          <w:p w14:paraId="387F6C90" w14:textId="77777777" w:rsidR="00290BE9" w:rsidRDefault="00000000">
            <w:r>
              <w:rPr>
                <w:sz w:val="19"/>
              </w:rPr>
              <w:t>95,0%</w:t>
            </w:r>
          </w:p>
        </w:tc>
        <w:tc>
          <w:tcPr>
            <w:tcW w:w="1728" w:type="dxa"/>
            <w:tcBorders>
              <w:top w:val="single" w:sz="4" w:space="0" w:color="B0B8C0"/>
              <w:left w:val="single" w:sz="4" w:space="0" w:color="B0B8C0"/>
              <w:bottom w:val="single" w:sz="4" w:space="0" w:color="B0B8C0"/>
              <w:right w:val="single" w:sz="4" w:space="0" w:color="B0B8C0"/>
            </w:tcBorders>
            <w:vAlign w:val="center"/>
          </w:tcPr>
          <w:p w14:paraId="0B749720" w14:textId="77777777" w:rsidR="00290BE9" w:rsidRDefault="00000000">
            <w:r>
              <w:rPr>
                <w:sz w:val="19"/>
              </w:rPr>
              <w:t>R$ 43.666</w:t>
            </w:r>
          </w:p>
        </w:tc>
        <w:tc>
          <w:tcPr>
            <w:tcW w:w="3456" w:type="dxa"/>
            <w:tcBorders>
              <w:top w:val="single" w:sz="4" w:space="0" w:color="B0B8C0"/>
              <w:left w:val="single" w:sz="4" w:space="0" w:color="B0B8C0"/>
              <w:bottom w:val="single" w:sz="4" w:space="0" w:color="B0B8C0"/>
              <w:right w:val="single" w:sz="4" w:space="0" w:color="B0B8C0"/>
            </w:tcBorders>
            <w:vAlign w:val="center"/>
          </w:tcPr>
          <w:p w14:paraId="12D64CB1" w14:textId="77777777" w:rsidR="00290BE9" w:rsidRDefault="00000000">
            <w:r>
              <w:rPr>
                <w:sz w:val="19"/>
              </w:rPr>
              <w:t>4 viagens — R$ 5.000 + 168 kg CO₂</w:t>
            </w:r>
          </w:p>
        </w:tc>
        <w:tc>
          <w:tcPr>
            <w:tcW w:w="1440" w:type="dxa"/>
            <w:tcBorders>
              <w:top w:val="single" w:sz="4" w:space="0" w:color="B0B8C0"/>
              <w:left w:val="single" w:sz="4" w:space="0" w:color="B0B8C0"/>
              <w:bottom w:val="single" w:sz="4" w:space="0" w:color="B0B8C0"/>
              <w:right w:val="single" w:sz="4" w:space="0" w:color="B0B8C0"/>
            </w:tcBorders>
            <w:vAlign w:val="center"/>
          </w:tcPr>
          <w:p w14:paraId="4248E044" w14:textId="77777777" w:rsidR="00290BE9" w:rsidRDefault="00000000">
            <w:r>
              <w:rPr>
                <w:sz w:val="19"/>
              </w:rPr>
              <w:t>R$ 7.999</w:t>
            </w:r>
          </w:p>
        </w:tc>
      </w:tr>
      <w:tr w:rsidR="00290BE9" w14:paraId="349CEB9F" w14:textId="77777777">
        <w:trPr>
          <w:jc w:val="center"/>
        </w:trPr>
        <w:tc>
          <w:tcPr>
            <w:tcW w:w="1008" w:type="dxa"/>
            <w:tcBorders>
              <w:top w:val="single" w:sz="4" w:space="0" w:color="B0B8C0"/>
              <w:left w:val="single" w:sz="4" w:space="0" w:color="B0B8C0"/>
              <w:bottom w:val="single" w:sz="4" w:space="0" w:color="B0B8C0"/>
              <w:right w:val="single" w:sz="4" w:space="0" w:color="B0B8C0"/>
            </w:tcBorders>
            <w:shd w:val="clear" w:color="auto" w:fill="F0F4F8"/>
            <w:vAlign w:val="center"/>
          </w:tcPr>
          <w:p w14:paraId="57D339D0" w14:textId="77777777" w:rsidR="00290BE9" w:rsidRDefault="00000000">
            <w:r>
              <w:rPr>
                <w:sz w:val="19"/>
              </w:rPr>
              <w:lastRenderedPageBreak/>
              <w:t>F2</w:t>
            </w:r>
          </w:p>
        </w:tc>
        <w:tc>
          <w:tcPr>
            <w:tcW w:w="1728" w:type="dxa"/>
            <w:tcBorders>
              <w:top w:val="single" w:sz="4" w:space="0" w:color="B0B8C0"/>
              <w:left w:val="single" w:sz="4" w:space="0" w:color="B0B8C0"/>
              <w:bottom w:val="single" w:sz="4" w:space="0" w:color="B0B8C0"/>
              <w:right w:val="single" w:sz="4" w:space="0" w:color="B0B8C0"/>
            </w:tcBorders>
            <w:shd w:val="clear" w:color="auto" w:fill="F0F4F8"/>
            <w:vAlign w:val="center"/>
          </w:tcPr>
          <w:p w14:paraId="5D5DBCE0" w14:textId="77777777" w:rsidR="00290BE9" w:rsidRDefault="00000000">
            <w:r>
              <w:rPr>
                <w:sz w:val="19"/>
              </w:rPr>
              <w:t>1 sem  (4,2%)</w:t>
            </w:r>
          </w:p>
        </w:tc>
        <w:tc>
          <w:tcPr>
            <w:tcW w:w="1440" w:type="dxa"/>
            <w:tcBorders>
              <w:top w:val="single" w:sz="4" w:space="0" w:color="B0B8C0"/>
              <w:left w:val="single" w:sz="4" w:space="0" w:color="B0B8C0"/>
              <w:bottom w:val="single" w:sz="4" w:space="0" w:color="B0B8C0"/>
              <w:right w:val="single" w:sz="4" w:space="0" w:color="B0B8C0"/>
            </w:tcBorders>
            <w:shd w:val="clear" w:color="auto" w:fill="F0F4F8"/>
            <w:vAlign w:val="center"/>
          </w:tcPr>
          <w:p w14:paraId="7023BA49" w14:textId="77777777" w:rsidR="00290BE9" w:rsidRDefault="00000000">
            <w:r>
              <w:rPr>
                <w:sz w:val="19"/>
              </w:rPr>
              <w:t>97,0%</w:t>
            </w:r>
          </w:p>
        </w:tc>
        <w:tc>
          <w:tcPr>
            <w:tcW w:w="1728" w:type="dxa"/>
            <w:tcBorders>
              <w:top w:val="single" w:sz="4" w:space="0" w:color="B0B8C0"/>
              <w:left w:val="single" w:sz="4" w:space="0" w:color="B0B8C0"/>
              <w:bottom w:val="single" w:sz="4" w:space="0" w:color="B0B8C0"/>
              <w:right w:val="single" w:sz="4" w:space="0" w:color="B0B8C0"/>
            </w:tcBorders>
            <w:shd w:val="clear" w:color="auto" w:fill="F0F4F8"/>
            <w:vAlign w:val="center"/>
          </w:tcPr>
          <w:p w14:paraId="25AE655A" w14:textId="77777777" w:rsidR="00290BE9" w:rsidRDefault="00000000">
            <w:r>
              <w:rPr>
                <w:sz w:val="19"/>
              </w:rPr>
              <w:t>R$ 15.312</w:t>
            </w:r>
          </w:p>
        </w:tc>
        <w:tc>
          <w:tcPr>
            <w:tcW w:w="3456" w:type="dxa"/>
            <w:tcBorders>
              <w:top w:val="single" w:sz="4" w:space="0" w:color="B0B8C0"/>
              <w:left w:val="single" w:sz="4" w:space="0" w:color="B0B8C0"/>
              <w:bottom w:val="single" w:sz="4" w:space="0" w:color="B0B8C0"/>
              <w:right w:val="single" w:sz="4" w:space="0" w:color="B0B8C0"/>
            </w:tcBorders>
            <w:shd w:val="clear" w:color="auto" w:fill="F0F4F8"/>
            <w:vAlign w:val="center"/>
          </w:tcPr>
          <w:p w14:paraId="2E72F7A7" w14:textId="77777777" w:rsidR="00290BE9" w:rsidRDefault="00000000">
            <w:r>
              <w:rPr>
                <w:sz w:val="19"/>
              </w:rPr>
              <w:t>0 (LT de 14d inviabiliza emergência)</w:t>
            </w:r>
          </w:p>
        </w:tc>
        <w:tc>
          <w:tcPr>
            <w:tcW w:w="1440" w:type="dxa"/>
            <w:tcBorders>
              <w:top w:val="single" w:sz="4" w:space="0" w:color="B0B8C0"/>
              <w:left w:val="single" w:sz="4" w:space="0" w:color="B0B8C0"/>
              <w:bottom w:val="single" w:sz="4" w:space="0" w:color="B0B8C0"/>
              <w:right w:val="single" w:sz="4" w:space="0" w:color="B0B8C0"/>
            </w:tcBorders>
            <w:shd w:val="clear" w:color="auto" w:fill="F0F4F8"/>
            <w:vAlign w:val="center"/>
          </w:tcPr>
          <w:p w14:paraId="0B937FDD" w14:textId="77777777" w:rsidR="00290BE9" w:rsidRDefault="00000000">
            <w:r>
              <w:rPr>
                <w:sz w:val="19"/>
              </w:rPr>
              <w:t>R$ 0</w:t>
            </w:r>
          </w:p>
        </w:tc>
      </w:tr>
    </w:tbl>
    <w:p w14:paraId="0307FE4B" w14:textId="77777777" w:rsidR="00290BE9" w:rsidRDefault="00290BE9">
      <w:pPr>
        <w:spacing w:after="80"/>
      </w:pPr>
    </w:p>
    <w:p w14:paraId="64B33A51" w14:textId="77777777" w:rsidR="00290BE9" w:rsidRDefault="00000000">
      <w:pPr>
        <w:spacing w:after="120"/>
        <w:jc w:val="both"/>
      </w:pPr>
      <w:r>
        <w:rPr>
          <w:b/>
        </w:rPr>
        <w:t xml:space="preserve">Leitura contrastante. </w:t>
      </w:r>
      <w:r>
        <w:t>F1 tem RMSE alto em valor absoluto (816 un/semana), mas seu LT curto (2 dias = 0,29 semana) compensa: ES = 1,88 · 816 · √0,29 ≈ 821 unidades, que corresponde a apenas ~27% da demanda média semanal. Mesmo assim, 4 das 24 semanas do teste apresentam ruptura (16,7%), e o fill rate simulado cai para 95% — abaixo do alvo de 97%. A razão é que o H-W não captura perfeitamente picos promocionais do período de teste, e a distribuição normal implícita no z subestima caudas. F2 tem cenário oposto: RMSE absoluto menor (179), mas LT longo (14 dias = 2 semanas) amplifica: ES = 1,28 · 179 · √2 ≈ 325 unidades, que é quase 100% da demanda média. Com ES relativamente robusto, apenas 1 semana registra ruptura (4,2%), e o fill rate simulado fica em 97% — acima do alvo de 90%.</w:t>
      </w:r>
    </w:p>
    <w:p w14:paraId="4AD122AC" w14:textId="77777777" w:rsidR="00290BE9" w:rsidRDefault="00000000">
      <w:pPr>
        <w:spacing w:after="120"/>
        <w:jc w:val="both"/>
      </w:pPr>
      <w:r>
        <w:rPr>
          <w:b/>
        </w:rPr>
        <w:t xml:space="preserve">Impacto operacional assimétrico. </w:t>
      </w:r>
      <w:r>
        <w:t>Em F1, cada semana com ruptura gera uma viagem emergencial (LT curto permite remediar em 2 dias), totalizando 4 viagens no teste (R$ 5.000 + 168 kg CO₂) — e o descarte estimado de ~R$ 8 mil decorre de superprevisões que encontram produto com 7 dias de shelf life. Em F2, nenhuma viagem extra é viável: com LT de 14 dias do importador, a ruptura vira integralmente venda perdida — mas a R$ 42 de custo unitário e 45% de margem, mesmo 1 semana perdida custa R$ 15,3 mil em receita não realizada.</w:t>
      </w:r>
    </w:p>
    <w:p w14:paraId="542C0AE2" w14:textId="77777777" w:rsidR="00290BE9" w:rsidRDefault="00000000">
      <w:pPr>
        <w:jc w:val="center"/>
      </w:pPr>
      <w:r>
        <w:rPr>
          <w:noProof/>
        </w:rPr>
        <w:drawing>
          <wp:inline distT="0" distB="0" distL="0" distR="0" wp14:anchorId="7C484046" wp14:editId="7AD6B1A4">
            <wp:extent cx="5760720" cy="250598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9_impacto_financeir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05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A573E" w14:textId="77777777" w:rsidR="00290BE9" w:rsidRDefault="00000000">
      <w:pPr>
        <w:spacing w:after="160"/>
        <w:jc w:val="center"/>
      </w:pPr>
      <w:r>
        <w:rPr>
          <w:i/>
          <w:color w:val="5A5A5A"/>
          <w:sz w:val="18"/>
        </w:rPr>
        <w:t>Figura 5 — Projeção anual do custo de falhas de previsão (esquerda) e comparação entre o estoque de segurança da política atual (2 semanas fixas) e o recomendado (z · RMSE · √LT) (direita).</w:t>
      </w:r>
    </w:p>
    <w:p w14:paraId="79E1C8E0" w14:textId="77777777" w:rsidR="00290BE9" w:rsidRDefault="00000000">
      <w:pPr>
        <w:spacing w:after="120"/>
        <w:jc w:val="both"/>
      </w:pPr>
      <w:r>
        <w:rPr>
          <w:b/>
        </w:rPr>
        <w:t xml:space="preserve">Projeção anual. </w:t>
      </w:r>
      <w:r>
        <w:t>Escalando os 24 semanas de teste para 52 semanas, F1 custa R$ 209 mil/ano em falhas de previsão (R$ 95 mil em venda perdida + R$ 86 mil em custo operacional de ruptura + R$ 17 mil em descarte + R$ 11 mil em viagens) e F2 custa R$ 69 mil/ano (apenas venda perdida e custo de ruptura, sem viagens nem descarte). Esse valor é um piso, não um teto — representa o custo com o modelo recomendado; a situação real da Vila Aurora, que usa média móvel genérica, tende a ser pior.</w:t>
      </w:r>
    </w:p>
    <w:p w14:paraId="65E43408" w14:textId="77777777" w:rsidR="00290BE9" w:rsidRDefault="00000000">
      <w:pPr>
        <w:spacing w:after="120"/>
        <w:jc w:val="both"/>
      </w:pPr>
      <w:r>
        <w:rPr>
          <w:b/>
        </w:rPr>
        <w:t xml:space="preserve">Dimensionamento absurdo da política atual. </w:t>
      </w:r>
      <w:r>
        <w:t>A regra vigente de 2 semanas fixas de cobertura produz ES de 6.054 unidades em F1 e 628 em F2. A política recomendada é 821 e 325 respectivamente — ou seja, a política atual superdimensiona o ES em 86% em F1 e 48% em F2. O capital parado desnecessário em F1 é de aproximadamente 5.230 unidades extras × R$ 8,50 = R$ 44 mil, com impacto direto em descarte (o produto não sobrevive às 2 semanas de cobertura em shelf life de 7 dias).</w:t>
      </w:r>
    </w:p>
    <w:p w14:paraId="7EACFE14" w14:textId="77777777" w:rsidR="00290BE9" w:rsidRDefault="00000000">
      <w:pPr>
        <w:spacing w:before="280" w:after="120"/>
      </w:pPr>
      <w:r>
        <w:rPr>
          <w:b/>
          <w:color w:val="1E4682"/>
          <w:sz w:val="32"/>
        </w:rPr>
        <w:t>Conclusão e Próximos Passos</w:t>
      </w:r>
    </w:p>
    <w:p w14:paraId="4D9C4A0A" w14:textId="77777777" w:rsidR="00290BE9" w:rsidRDefault="00000000">
      <w:pPr>
        <w:spacing w:after="120"/>
        <w:jc w:val="both"/>
      </w:pPr>
      <w:r>
        <w:t xml:space="preserve">A Vila Aurora apresenta disfunção estrutural em quatro camadas — dados, sistemas, processos e governança — que se retroalimentam. O diagnóstico quantitativo confirma: fill rate médio de 91%, 14 viagens emergenciais/mês, descarte crescente de R$ 31 mil/mês e horas-extras em alta. O caminho de transformação </w:t>
      </w:r>
      <w:r>
        <w:lastRenderedPageBreak/>
        <w:t>começa por previsão diferenciada por família: o benchmark de sete modelos sobre as cinco famílias mostra que 80% do portfólio pode ser mantido em Excel com modelos simples, enquanto F3 justifica migração para ferramenta dedicada e oferece ganho de acurácia de 33%. A cadeia causal F1 × F2 quantifica o custo das falhas em R$ 278 mil/ano combinados, apenas nas duas famílias analisadas — e revela que a política atual de estoque superdimensiona ES em 48-86%.</w:t>
      </w:r>
    </w:p>
    <w:p w14:paraId="7FD13660" w14:textId="77777777" w:rsidR="00290BE9" w:rsidRDefault="00000000">
      <w:pPr>
        <w:spacing w:after="120"/>
        <w:jc w:val="both"/>
      </w:pPr>
      <w:r>
        <w:t>Os próximos blocos tratam de: (i) dilemas de trade-off explicitados com stakeholders e critérios de decisão (Q10); (ii) comparação de políticas de estoque sob cenários com choque e promoção (Q11); (iii) simulação Monte Carlo com fronteira eficiente custo × serviço × ESG (Q12); e (iv) desenho final de S&amp;OE com matriz de riscos, dashboard de semáforos e roadmap de 90 dias (Q13-Q15).</w:t>
      </w:r>
    </w:p>
    <w:sectPr w:rsidR="00290BE9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25228980">
    <w:abstractNumId w:val="8"/>
  </w:num>
  <w:num w:numId="2" w16cid:durableId="1060254273">
    <w:abstractNumId w:val="6"/>
  </w:num>
  <w:num w:numId="3" w16cid:durableId="322010114">
    <w:abstractNumId w:val="5"/>
  </w:num>
  <w:num w:numId="4" w16cid:durableId="125707357">
    <w:abstractNumId w:val="4"/>
  </w:num>
  <w:num w:numId="5" w16cid:durableId="1893151333">
    <w:abstractNumId w:val="7"/>
  </w:num>
  <w:num w:numId="6" w16cid:durableId="1537742132">
    <w:abstractNumId w:val="3"/>
  </w:num>
  <w:num w:numId="7" w16cid:durableId="830406812">
    <w:abstractNumId w:val="2"/>
  </w:num>
  <w:num w:numId="8" w16cid:durableId="72244897">
    <w:abstractNumId w:val="1"/>
  </w:num>
  <w:num w:numId="9" w16cid:durableId="18876452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0BE9"/>
    <w:rsid w:val="0029639D"/>
    <w:rsid w:val="00326F90"/>
    <w:rsid w:val="00377E83"/>
    <w:rsid w:val="004045C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3D6D02"/>
  <w14:defaultImageDpi w14:val="300"/>
  <w15:docId w15:val="{045F363E-2381-4994-AC2D-3902FA46F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3315</Words>
  <Characters>18902</Characters>
  <Application>Microsoft Office Word</Application>
  <DocSecurity>0</DocSecurity>
  <Lines>157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22173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Joao Almeida</cp:lastModifiedBy>
  <cp:revision>2</cp:revision>
  <dcterms:created xsi:type="dcterms:W3CDTF">2026-04-21T20:59:00Z</dcterms:created>
  <dcterms:modified xsi:type="dcterms:W3CDTF">2026-04-21T20:59:00Z</dcterms:modified>
  <cp:category/>
</cp:coreProperties>
</file>