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NS-DOPEY-002-TAXONOMY</w:t>
      </w:r>
    </w:p>
    <w:p/>
    <w:p>
      <w:pPr>
        <w:pStyle w:val="Heading2"/>
      </w:pPr>
      <w:r>
        <w:t>Entities</w:t>
      </w:r>
    </w:p>
    <w:p>
      <w:pPr>
        <w:pStyle w:val="ListBullet"/>
      </w:pPr>
      <w:r>
        <w:t>HoldCo (DOPEY): governance, capital allocation, shared services</w:t>
      </w:r>
    </w:p>
    <w:p>
      <w:pPr>
        <w:pStyle w:val="ListBullet"/>
      </w:pPr>
      <w:r>
        <w:t>OpCo: license-holding dispensary operating company</w:t>
      </w:r>
    </w:p>
    <w:p>
      <w:pPr>
        <w:pStyle w:val="ListBullet"/>
      </w:pPr>
      <w:r>
        <w:t>RECo: real estate entity (lease ownership / buildout)</w:t>
      </w:r>
    </w:p>
    <w:p>
      <w:pPr>
        <w:pStyle w:val="ListBullet"/>
      </w:pPr>
      <w:r>
        <w:t>MSA Provider: management services entity (where compliant)</w:t>
      </w:r>
    </w:p>
    <w:p>
      <w:pPr>
        <w:pStyle w:val="ListBullet"/>
      </w:pPr>
      <w:r>
        <w:t>Store: physical retail location</w:t>
      </w:r>
    </w:p>
    <w:p>
      <w:pPr>
        <w:pStyle w:val="ListBullet"/>
      </w:pPr>
      <w:r>
        <w:t>License: state/local authorization(s) to operate</w:t>
      </w:r>
    </w:p>
    <w:p>
      <w:pPr>
        <w:pStyle w:val="ListBullet"/>
      </w:pPr>
      <w:r>
        <w:t>Seed-to-sale system: regulated inventory tracking platform</w:t>
      </w:r>
    </w:p>
    <w:p>
      <w:pPr>
        <w:pStyle w:val="ListBullet"/>
      </w:pPr>
      <w:r>
        <w:t>POS: point-of-sale system for transactions</w:t>
      </w:r>
    </w:p>
    <w:p>
      <w:pPr>
        <w:pStyle w:val="Heading2"/>
      </w:pPr>
      <w:r>
        <w:t>Operational domains</w:t>
      </w:r>
    </w:p>
    <w:p>
      <w:pPr>
        <w:pStyle w:val="ListBullet"/>
      </w:pPr>
      <w:r>
        <w:t>Licensing &amp; compliance</w:t>
      </w:r>
    </w:p>
    <w:p>
      <w:pPr>
        <w:pStyle w:val="ListBullet"/>
      </w:pPr>
      <w:r>
        <w:t>Inventory &amp; reconciliation</w:t>
      </w:r>
    </w:p>
    <w:p>
      <w:pPr>
        <w:pStyle w:val="ListBullet"/>
      </w:pPr>
      <w:r>
        <w:t>Retail operations &amp; customer experience</w:t>
      </w:r>
    </w:p>
    <w:p>
      <w:pPr>
        <w:pStyle w:val="ListBullet"/>
      </w:pPr>
      <w:r>
        <w:t>Security &amp; loss prevention</w:t>
      </w:r>
    </w:p>
    <w:p>
      <w:pPr>
        <w:pStyle w:val="ListBullet"/>
      </w:pPr>
      <w:r>
        <w:t>Finance, tax, and reporting</w:t>
      </w:r>
    </w:p>
    <w:p>
      <w:pPr>
        <w:pStyle w:val="ListBullet"/>
      </w:pPr>
      <w:r>
        <w:t>People ops: hiring, training, scheduling</w:t>
      </w:r>
    </w:p>
    <w:p>
      <w:pPr>
        <w:pStyle w:val="ListBullet"/>
      </w:pPr>
      <w:r>
        <w:t>Vendor management &amp; procurement</w:t>
      </w:r>
    </w:p>
    <w:p>
      <w:pPr>
        <w:pStyle w:val="Heading2"/>
      </w:pPr>
      <w:r>
        <w:t>Key metrics</w:t>
      </w:r>
    </w:p>
    <w:p>
      <w:pPr>
        <w:pStyle w:val="ListBullet"/>
      </w:pPr>
      <w:r>
        <w:t>Revenue, gross margin %, basket size, transactions/day</w:t>
      </w:r>
    </w:p>
    <w:p>
      <w:pPr>
        <w:pStyle w:val="ListBullet"/>
      </w:pPr>
      <w:r>
        <w:t>Labor % of sales, conversion rate, repeat customers</w:t>
      </w:r>
    </w:p>
    <w:p>
      <w:pPr>
        <w:pStyle w:val="ListBullet"/>
      </w:pPr>
      <w:r>
        <w:t>Shrink %, variance %, cycle count accuracy</w:t>
      </w:r>
    </w:p>
    <w:p>
      <w:pPr>
        <w:pStyle w:val="ListBullet"/>
      </w:pPr>
      <w:r>
        <w:t>Compliance incidents, training completion, audit findings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