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NS-DOPEY-003-ARCHITECTURE</w:t>
      </w:r>
    </w:p>
    <w:p/>
    <w:p>
      <w:pPr>
        <w:pStyle w:val="Heading2"/>
      </w:pPr>
      <w:r>
        <w:t>Operating System Architecture</w:t>
      </w:r>
    </w:p>
    <w:p>
      <w:pPr>
        <w:pStyle w:val="ListBullet"/>
      </w:pPr>
      <w:r>
        <w:t>Governance layer (HoldCo): policies, budgets, KPIs, risk program</w:t>
      </w:r>
    </w:p>
    <w:p>
      <w:pPr>
        <w:pStyle w:val="ListBullet"/>
      </w:pPr>
      <w:r>
        <w:t>Implementation layer: store rollout playbook + project templates</w:t>
      </w:r>
    </w:p>
    <w:p>
      <w:pPr>
        <w:pStyle w:val="ListBullet"/>
      </w:pPr>
      <w:r>
        <w:t>Operations layer: SOP library + training + scheduling + QA</w:t>
      </w:r>
    </w:p>
    <w:p>
      <w:pPr>
        <w:pStyle w:val="ListBullet"/>
      </w:pPr>
      <w:r>
        <w:t>Compliance layer: inventory controls, reporting, audits, incident management</w:t>
      </w:r>
    </w:p>
    <w:p>
      <w:pPr>
        <w:pStyle w:val="ListBullet"/>
      </w:pPr>
      <w:r>
        <w:t>Tech layer: POS + seed-to-sale + payments + data warehouse + dashboards</w:t>
      </w:r>
    </w:p>
    <w:p>
      <w:pPr>
        <w:pStyle w:val="Heading2"/>
      </w:pPr>
      <w:r>
        <w:t>Suggested entity graph</w:t>
      </w:r>
    </w:p>
    <w:p>
      <w:r>
        <w:rPr>
          <w:rFonts w:ascii="Consolas" w:hAnsi="Consolas" w:eastAsia="Consolas"/>
          <w:sz w:val="20"/>
        </w:rPr>
        <w:t>DOPEY HoldCo</w:t>
      </w:r>
    </w:p>
    <w:p>
      <w:r>
        <w:rPr>
          <w:rFonts w:ascii="Consolas" w:hAnsi="Consolas" w:eastAsia="Consolas"/>
          <w:sz w:val="20"/>
        </w:rPr>
        <w:t xml:space="preserve">  ├─ DOPEY Shared Services (Ops/Compliance/Finance/Tech)</w:t>
      </w:r>
    </w:p>
    <w:p>
      <w:r>
        <w:rPr>
          <w:rFonts w:ascii="Consolas" w:hAnsi="Consolas" w:eastAsia="Consolas"/>
          <w:sz w:val="20"/>
        </w:rPr>
        <w:t xml:space="preserve">  ├─ Market A OpCo (License holder)</w:t>
      </w:r>
    </w:p>
    <w:p>
      <w:r>
        <w:rPr>
          <w:rFonts w:ascii="Consolas" w:hAnsi="Consolas" w:eastAsia="Consolas"/>
          <w:sz w:val="20"/>
        </w:rPr>
        <w:t xml:space="preserve">  │    ├─ Store A1</w:t>
      </w:r>
    </w:p>
    <w:p>
      <w:r>
        <w:rPr>
          <w:rFonts w:ascii="Consolas" w:hAnsi="Consolas" w:eastAsia="Consolas"/>
          <w:sz w:val="20"/>
        </w:rPr>
        <w:t xml:space="preserve">  │    └─ Store A2</w:t>
      </w:r>
    </w:p>
    <w:p>
      <w:r>
        <w:rPr>
          <w:rFonts w:ascii="Consolas" w:hAnsi="Consolas" w:eastAsia="Consolas"/>
          <w:sz w:val="20"/>
        </w:rPr>
        <w:t xml:space="preserve">  ├─ Market A RECo (optional)</w:t>
      </w:r>
    </w:p>
    <w:p>
      <w:r>
        <w:rPr>
          <w:rFonts w:ascii="Consolas" w:hAnsi="Consolas" w:eastAsia="Consolas"/>
          <w:sz w:val="20"/>
        </w:rPr>
        <w:t xml:space="preserve">  └─ Market B OpCo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