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NS-DOPEY-005-DECISION-RECORDS</w:t>
      </w:r>
    </w:p>
    <w:p/>
    <w:p>
      <w:pPr>
        <w:pStyle w:val="Heading2"/>
      </w:pPr>
      <w:r>
        <w:t>ADR-001: Compliance-first architecture</w:t>
      </w:r>
    </w:p>
    <w:p>
      <w:r>
        <w:t>Every operational workflow is designed to be auditable and enforceable (inventory controls, reporting, training).</w:t>
      </w:r>
    </w:p>
    <w:p>
      <w:pPr>
        <w:pStyle w:val="Heading2"/>
      </w:pPr>
      <w:r>
        <w:t>ADR-002: Separate HoldCo and OpCos</w:t>
      </w:r>
    </w:p>
    <w:p>
      <w:r>
        <w:t>Use legal separation to isolate risk and maintain clean market-by-market books.</w:t>
      </w:r>
    </w:p>
    <w:p>
      <w:pPr>
        <w:pStyle w:val="Heading2"/>
      </w:pPr>
      <w:r>
        <w:t>ADR-003: Standardized vendor stack</w:t>
      </w:r>
    </w:p>
    <w:p>
      <w:r>
        <w:t>Prefer a repeatable POS + seed-to-sale + security architecture to reduce implementation variance.</w:t>
      </w:r>
    </w:p>
    <w:p>
      <w:pPr>
        <w:pStyle w:val="Heading2"/>
      </w:pPr>
      <w:r>
        <w:t>ADR-004: Store rollout as a product</w:t>
      </w:r>
    </w:p>
    <w:p>
      <w:r>
        <w:t>Treat each dispensary as a deployment of the DIK playbook with measurable gates and post-launch stabilization.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NS-DOPEY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