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NS-DOPEY-006-COMPLIANCE-REGULATORY</w:t>
      </w:r>
    </w:p>
    <w:p/>
    <w:p>
      <w:pPr>
        <w:pStyle w:val="Heading2"/>
      </w:pPr>
      <w:r>
        <w:t>Compliance principles</w:t>
      </w:r>
    </w:p>
    <w:p>
      <w:pPr>
        <w:pStyle w:val="ListBullet"/>
      </w:pPr>
      <w:r>
        <w:t>Jurisdiction-first: every market has a ruleset profile (state + local).</w:t>
      </w:r>
    </w:p>
    <w:p>
      <w:pPr>
        <w:pStyle w:val="ListBullet"/>
      </w:pPr>
      <w:r>
        <w:t>Auditability: every product movement and transaction is traceable.</w:t>
      </w:r>
    </w:p>
    <w:p>
      <w:pPr>
        <w:pStyle w:val="ListBullet"/>
      </w:pPr>
      <w:r>
        <w:t>Training: role-based training with completion logs and refresher schedules.</w:t>
      </w:r>
    </w:p>
    <w:p>
      <w:pPr>
        <w:pStyle w:val="ListBullet"/>
      </w:pPr>
      <w:r>
        <w:t>Security-by-design: access controls, camera coverage, incident response.</w:t>
      </w:r>
    </w:p>
    <w:p>
      <w:pPr>
        <w:pStyle w:val="Heading2"/>
      </w:pPr>
      <w:r>
        <w:t>Federal posture (US) – high-level</w:t>
      </w:r>
    </w:p>
    <w:p>
      <w:pPr>
        <w:pStyle w:val="ListBullet"/>
      </w:pPr>
      <w:r>
        <w:t>Monitor federal scheduling/rescheduling and its operational/tax implications.</w:t>
      </w:r>
    </w:p>
    <w:p>
      <w:pPr>
        <w:pStyle w:val="ListBullet"/>
      </w:pPr>
      <w:r>
        <w:t>Banking access remains a constraint in many scenarios; build cash controls and compliance for financial partners.</w:t>
      </w:r>
    </w:p>
    <w:p>
      <w:pPr>
        <w:pStyle w:val="ListBullet"/>
      </w:pPr>
      <w:r>
        <w:t>Avoid medical claims and follow advertising restrictions.</w:t>
      </w:r>
    </w:p>
    <w:p>
      <w:pPr>
        <w:pStyle w:val="Heading2"/>
      </w:pPr>
      <w:r>
        <w:t>State/local posture</w:t>
      </w:r>
    </w:p>
    <w:p>
      <w:pPr>
        <w:pStyle w:val="ListBullet"/>
      </w:pPr>
      <w:r>
        <w:t>Licensing requirements vary (ownership, residency, background checks, caps).</w:t>
      </w:r>
    </w:p>
    <w:p>
      <w:pPr>
        <w:pStyle w:val="ListBullet"/>
      </w:pPr>
      <w:r>
        <w:t>Seed-to-sale reporting is mandatory in most regulated markets.</w:t>
      </w:r>
    </w:p>
    <w:p>
      <w:pPr>
        <w:pStyle w:val="ListBullet"/>
      </w:pPr>
      <w:r>
        <w:t>Packaging/labeling rules and age verification must be enforced in SOPs.</w:t>
      </w:r>
    </w:p>
    <w:p>
      <w:pPr>
        <w:pStyle w:val="Heading2"/>
      </w:pPr>
      <w:r>
        <w:t>Core control set (minimum)</w:t>
      </w:r>
    </w:p>
    <w:p>
      <w:pPr>
        <w:pStyle w:val="ListBullet"/>
      </w:pPr>
      <w:r>
        <w:t>Inventory: receiving, transfers, adjustments, destructions (all logged + approved).</w:t>
      </w:r>
    </w:p>
    <w:p>
      <w:pPr>
        <w:pStyle w:val="ListBullet"/>
      </w:pPr>
      <w:r>
        <w:t>Cash: dual-control counts, safes, armored transport, deposit logs.</w:t>
      </w:r>
    </w:p>
    <w:p>
      <w:pPr>
        <w:pStyle w:val="ListBullet"/>
      </w:pPr>
      <w:r>
        <w:t>Access: least privilege for POS/seed-to-sale, MFA where possible, badge logs.</w:t>
      </w:r>
    </w:p>
    <w:p>
      <w:pPr>
        <w:pStyle w:val="ListBullet"/>
      </w:pPr>
      <w:r>
        <w:t>Incident response: theft, diversion, reporting, remediation, and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